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丰都县公共资源交易中心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202</w:t>
      </w:r>
      <w:r>
        <w:rPr>
          <w:rFonts w:hint="eastAsia" w:ascii="方正小标宋_GBK" w:hAnsi="Times New Roman" w:eastAsia="方正小标宋_GBK" w:cs="Times New Roman"/>
          <w:sz w:val="44"/>
          <w:szCs w:val="44"/>
          <w:lang w:val="en-US" w:eastAsia="zh-CN"/>
        </w:rPr>
        <w:t>2</w:t>
      </w:r>
      <w:r>
        <w:rPr>
          <w:rFonts w:hint="eastAsia" w:ascii="方正小标宋_GBK" w:hAnsi="Times New Roman" w:eastAsia="方正小标宋_GBK" w:cs="Times New Roman"/>
          <w:sz w:val="44"/>
          <w:szCs w:val="44"/>
        </w:rPr>
        <w:t>年度部门决算情况说明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72" w:firstLineChars="200"/>
        <w:textAlignment w:val="auto"/>
        <w:rPr>
          <w:rFonts w:hint="eastAsia" w:ascii="Times New Roman" w:hAnsi="Times New Roman" w:eastAsia="方正黑体简体" w:cs="Times New Roman"/>
          <w:spacing w:val="8"/>
          <w:kern w:val="0"/>
          <w:sz w:val="32"/>
          <w:szCs w:val="32"/>
        </w:rPr>
      </w:pPr>
      <w:r>
        <w:rPr>
          <w:rFonts w:hint="eastAsia" w:ascii="Times New Roman" w:hAnsi="Times New Roman" w:eastAsia="方正黑体简体" w:cs="Times New Roman"/>
          <w:spacing w:val="8"/>
          <w:kern w:val="0"/>
          <w:sz w:val="32"/>
          <w:szCs w:val="32"/>
        </w:rPr>
        <w:t>一、部门基本情况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40"/>
        <w:jc w:val="both"/>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楷体_GBK" w:cs="Times New Roman"/>
          <w:spacing w:val="8"/>
          <w:kern w:val="0"/>
          <w:sz w:val="32"/>
          <w:szCs w:val="32"/>
          <w:lang w:val="en-US" w:eastAsia="zh-CN" w:bidi="ar-SA"/>
        </w:rPr>
        <w:t>（一）职能职责。</w:t>
      </w:r>
      <w:r>
        <w:rPr>
          <w:rFonts w:hint="eastAsia" w:ascii="方正仿宋_GBK" w:hAnsi="方正仿宋_GBK" w:eastAsia="方正仿宋_GBK" w:cs="方正仿宋_GBK"/>
          <w:kern w:val="0"/>
          <w:sz w:val="32"/>
          <w:szCs w:val="32"/>
          <w:lang w:val="en-US" w:eastAsia="zh-CN" w:bidi="ar-SA"/>
        </w:rPr>
        <w:t>县公共资源交易中心由政府办主管的全额拨款事业单位，主要职能：一是对各类交易活动办理入市交易登记和受理相关业务，统一发布交易信息，受理交易报名，并组织实施各类交易活动;二是收集、存贮、公布公共资源交易的政策法规以及相关价格、企业、科技和人才等方面信息，并为公共资源交易各方面提供信息、咨询等服务，负责综合性评审专家库的维护;三是为监督部门、交易中介（代理）服务机构参与交易活动提供条件，负责交易过程的见证性监督；四是协助制定进入中心项目的交易规则，维护交易场内秩序；五是受招标人委托，依法代理相关招投标事项，并做好交易档案的收集、整理、立卷、归档和管理；六是负责对进入中心的各类公共资源交易活动进行内部监管，配合有关职能部门和监察部门对有关投诉举报进行调查处理；七是建立公共资源交易平台“企业、人员、项目”三大基础数据库，建成市场诚信综合评价体系技术平台，配合有关部门完善对市场主体的实时信用管理；八是建立、运行和维护公共资源网络交易系统；九是承办县政府安排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40"/>
        <w:jc w:val="both"/>
        <w:rPr>
          <w:rFonts w:hint="default" w:ascii="Calibri" w:hAnsi="Calibri" w:cs="Calibri"/>
          <w:i w:val="0"/>
          <w:iCs w:val="0"/>
          <w:caps w:val="0"/>
          <w:color w:val="333333"/>
          <w:spacing w:val="0"/>
          <w:sz w:val="21"/>
          <w:szCs w:val="21"/>
        </w:rPr>
      </w:pPr>
      <w:r>
        <w:rPr>
          <w:rFonts w:hint="eastAsia" w:ascii="Times New Roman" w:hAnsi="Times New Roman" w:eastAsia="方正楷体_GBK" w:cs="Times New Roman"/>
          <w:spacing w:val="8"/>
          <w:kern w:val="0"/>
          <w:sz w:val="32"/>
          <w:szCs w:val="32"/>
          <w:lang w:val="en-US" w:eastAsia="zh-CN" w:bidi="ar-SA"/>
        </w:rPr>
        <w:t>（二）机构设置。</w:t>
      </w:r>
      <w:r>
        <w:rPr>
          <w:rFonts w:hint="eastAsia" w:ascii="方正仿宋_GBK" w:hAnsi="方正仿宋_GBK" w:eastAsia="方正仿宋_GBK" w:cs="方正仿宋_GBK"/>
          <w:kern w:val="0"/>
          <w:sz w:val="32"/>
          <w:szCs w:val="32"/>
          <w:lang w:val="en-US" w:eastAsia="zh-CN" w:bidi="ar-SA"/>
        </w:rPr>
        <w:t>丰都县公共资源交易中心内设5个职能科室，分别为综合科、交易一科、交易二科、交易三科及信息技术科。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40"/>
        <w:jc w:val="both"/>
        <w:rPr>
          <w:rFonts w:hint="default" w:ascii="方正仿宋_GBK" w:hAnsi="方正仿宋_GBK" w:eastAsia="方正仿宋_GBK" w:cs="方正仿宋_GBK"/>
          <w:kern w:val="0"/>
          <w:sz w:val="32"/>
          <w:szCs w:val="32"/>
          <w:lang w:val="en-US" w:eastAsia="zh-CN" w:bidi="ar-SA"/>
        </w:rPr>
      </w:pPr>
      <w:r>
        <w:rPr>
          <w:rFonts w:hint="eastAsia" w:ascii="Times New Roman" w:hAnsi="Times New Roman" w:eastAsia="方正楷体_GBK" w:cs="Times New Roman"/>
          <w:spacing w:val="8"/>
          <w:kern w:val="0"/>
          <w:sz w:val="32"/>
          <w:szCs w:val="32"/>
          <w:lang w:val="en-US" w:eastAsia="zh-CN" w:bidi="ar-SA"/>
        </w:rPr>
        <w:t>（三）单位构成。</w:t>
      </w:r>
      <w:r>
        <w:rPr>
          <w:rFonts w:hint="eastAsia" w:ascii="方正仿宋_GBK" w:hAnsi="方正仿宋_GBK" w:eastAsia="方正仿宋_GBK" w:cs="方正仿宋_GBK"/>
          <w:kern w:val="0"/>
          <w:sz w:val="32"/>
          <w:szCs w:val="32"/>
          <w:lang w:val="en-US" w:eastAsia="zh-CN" w:bidi="ar-SA"/>
        </w:rPr>
        <w:t>从预算单位构成看，本单位无纳入2022年度决算编制的下级预算单位。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Times New Roman" w:hAnsi="Times New Roman" w:eastAsia="方正黑体简体" w:cs="Times New Roman"/>
          <w:spacing w:val="8"/>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eastAsia" w:ascii="宋体" w:hAnsi="宋体" w:eastAsia="宋体" w:cs="宋体"/>
          <w:i w:val="0"/>
          <w:iCs w:val="0"/>
          <w:caps w:val="0"/>
          <w:color w:val="333333"/>
          <w:spacing w:val="0"/>
          <w:sz w:val="27"/>
          <w:szCs w:val="27"/>
          <w:shd w:val="clear" w:fill="FFFFFF"/>
        </w:rPr>
        <w:t> </w:t>
      </w:r>
      <w:r>
        <w:rPr>
          <w:rFonts w:hint="eastAsia" w:ascii="Times New Roman" w:hAnsi="Times New Roman" w:eastAsia="方正黑体简体" w:cs="Times New Roman"/>
          <w:spacing w:val="8"/>
          <w:kern w:val="0"/>
          <w:sz w:val="32"/>
          <w:szCs w:val="32"/>
          <w:lang w:val="en-US" w:eastAsia="zh-CN" w:bidi="ar-SA"/>
        </w:rPr>
        <w:t>二、部门决算情况说明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Times New Roman" w:hAnsi="Times New Roman" w:eastAsia="方正楷体_GBK" w:cs="Times New Roman"/>
          <w:spacing w:val="8"/>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eastAsia" w:ascii="Times New Roman" w:hAnsi="Times New Roman" w:eastAsia="方正楷体_GBK" w:cs="Times New Roman"/>
          <w:spacing w:val="8"/>
          <w:kern w:val="0"/>
          <w:sz w:val="32"/>
          <w:szCs w:val="32"/>
          <w:lang w:val="en-US" w:eastAsia="zh-CN" w:bidi="ar-SA"/>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40"/>
        <w:jc w:val="both"/>
        <w:rPr>
          <w:rFonts w:hint="eastAsia" w:ascii="方正仿宋_GBK" w:hAnsi="方正仿宋_GBK" w:eastAsia="方正仿宋_GBK" w:cs="方正仿宋_GBK"/>
          <w:kern w:val="0"/>
          <w:sz w:val="32"/>
          <w:szCs w:val="32"/>
          <w:lang w:val="en-US" w:eastAsia="zh-CN" w:bidi="ar-SA"/>
        </w:rPr>
      </w:pPr>
      <w:r>
        <w:rPr>
          <w:rFonts w:hint="default" w:ascii="方正仿宋_GBK" w:hAnsi="方正仿宋_GBK" w:eastAsia="方正仿宋_GBK" w:cs="方正仿宋_GBK"/>
          <w:kern w:val="0"/>
          <w:sz w:val="32"/>
          <w:szCs w:val="32"/>
          <w:lang w:val="en-US" w:eastAsia="zh-CN" w:bidi="ar-SA"/>
        </w:rPr>
        <w:t> 1.</w:t>
      </w:r>
      <w:r>
        <w:rPr>
          <w:rFonts w:hint="eastAsia" w:ascii="方正仿宋_GBK" w:hAnsi="方正仿宋_GBK" w:eastAsia="方正仿宋_GBK" w:cs="方正仿宋_GBK"/>
          <w:kern w:val="0"/>
          <w:sz w:val="32"/>
          <w:szCs w:val="32"/>
          <w:lang w:val="en-US" w:eastAsia="zh-CN" w:bidi="ar-SA"/>
        </w:rPr>
        <w:t>总体情况。2022年度收入总计378.33万元，支出总计378.33万元。收支较上年决算数减少106.38万元、减少21.94%，主要原因是2021年有之前收回资金支付2020年未付项目资金和2021年年中新增档案电子化整理项目资金，另外单位要严格按中央八项规定精神和厉行节约要求，控制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40"/>
        <w:jc w:val="both"/>
        <w:rPr>
          <w:rFonts w:hint="eastAsia" w:ascii="方正仿宋_GBK" w:hAnsi="方正仿宋_GBK" w:eastAsia="方正仿宋_GBK" w:cs="方正仿宋_GBK"/>
          <w:kern w:val="0"/>
          <w:sz w:val="32"/>
          <w:szCs w:val="32"/>
          <w:highlight w:val="none"/>
          <w:lang w:val="en-US" w:eastAsia="zh-CN" w:bidi="ar-SA"/>
        </w:rPr>
      </w:pPr>
      <w:r>
        <w:rPr>
          <w:rFonts w:hint="default" w:ascii="方正仿宋_GBK" w:hAnsi="方正仿宋_GBK" w:eastAsia="方正仿宋_GBK" w:cs="方正仿宋_GBK"/>
          <w:kern w:val="0"/>
          <w:sz w:val="32"/>
          <w:szCs w:val="32"/>
          <w:lang w:val="en-US" w:eastAsia="zh-CN" w:bidi="ar-SA"/>
        </w:rPr>
        <w:t>  </w:t>
      </w:r>
      <w:r>
        <w:rPr>
          <w:rFonts w:hint="eastAsia" w:ascii="方正仿宋_GBK" w:hAnsi="方正仿宋_GBK" w:eastAsia="方正仿宋_GBK" w:cs="方正仿宋_GBK"/>
          <w:kern w:val="0"/>
          <w:sz w:val="32"/>
          <w:szCs w:val="32"/>
          <w:lang w:val="en-US" w:eastAsia="zh-CN" w:bidi="ar-SA"/>
        </w:rPr>
        <w:t> </w:t>
      </w:r>
      <w:r>
        <w:rPr>
          <w:rFonts w:hint="default" w:ascii="方正仿宋_GBK" w:hAnsi="方正仿宋_GBK" w:eastAsia="方正仿宋_GBK" w:cs="方正仿宋_GBK"/>
          <w:kern w:val="0"/>
          <w:sz w:val="32"/>
          <w:szCs w:val="32"/>
          <w:lang w:val="en-US" w:eastAsia="zh-CN" w:bidi="ar-SA"/>
        </w:rPr>
        <w:t>2.</w:t>
      </w:r>
      <w:r>
        <w:rPr>
          <w:rFonts w:hint="eastAsia" w:ascii="方正仿宋_GBK" w:hAnsi="方正仿宋_GBK" w:eastAsia="方正仿宋_GBK" w:cs="方正仿宋_GBK"/>
          <w:kern w:val="0"/>
          <w:sz w:val="32"/>
          <w:szCs w:val="32"/>
          <w:lang w:val="en-US" w:eastAsia="zh-CN" w:bidi="ar-SA"/>
        </w:rPr>
        <w:t>收入情况。2022年度收入合计378.33万元，较上年决算数减少106.38万元、减少21.94%，主要原因是2021年有之前收回资金支付2020年未付项目资金和2021年年中新增档案电子化整理项目资金，另外单位要严格按中央八项规定精神和厉行节约要求，控制支出。其中：财政拨款收入378.33万元，占100%；</w:t>
      </w:r>
      <w:r>
        <w:rPr>
          <w:rFonts w:hint="eastAsia" w:ascii="方正仿宋_GBK" w:hAnsi="方正仿宋_GBK" w:eastAsia="方正仿宋_GBK" w:cs="方正仿宋_GBK"/>
          <w:sz w:val="32"/>
          <w:szCs w:val="32"/>
          <w:highlight w:val="none"/>
        </w:rPr>
        <w:t>此外，使用非财政拨款结余</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highlight w:val="none"/>
        </w:rPr>
        <w:t>万元，年初结转和结余</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highlight w:val="none"/>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40"/>
        <w:jc w:val="both"/>
        <w:rPr>
          <w:rFonts w:hint="eastAsia" w:ascii="方正仿宋_GBK" w:hAnsi="方正仿宋_GBK" w:eastAsia="方正仿宋_GBK" w:cs="方正仿宋_GBK"/>
          <w:kern w:val="0"/>
          <w:sz w:val="32"/>
          <w:szCs w:val="32"/>
          <w:highlight w:val="none"/>
          <w:lang w:val="en-US" w:eastAsia="zh-CN" w:bidi="ar-SA"/>
        </w:rPr>
      </w:pPr>
      <w:r>
        <w:rPr>
          <w:rFonts w:hint="default" w:ascii="方正仿宋_GBK" w:hAnsi="方正仿宋_GBK" w:eastAsia="方正仿宋_GBK" w:cs="方正仿宋_GBK"/>
          <w:kern w:val="0"/>
          <w:sz w:val="32"/>
          <w:szCs w:val="32"/>
          <w:lang w:val="en-US" w:eastAsia="zh-CN" w:bidi="ar-SA"/>
        </w:rPr>
        <w:t>  </w:t>
      </w:r>
      <w:r>
        <w:rPr>
          <w:rFonts w:hint="eastAsia" w:ascii="方正仿宋_GBK" w:hAnsi="方正仿宋_GBK" w:eastAsia="方正仿宋_GBK" w:cs="方正仿宋_GBK"/>
          <w:kern w:val="0"/>
          <w:sz w:val="32"/>
          <w:szCs w:val="32"/>
          <w:lang w:val="en-US" w:eastAsia="zh-CN" w:bidi="ar-SA"/>
        </w:rPr>
        <w:t> </w:t>
      </w:r>
      <w:r>
        <w:rPr>
          <w:rFonts w:hint="default" w:ascii="方正仿宋_GBK" w:hAnsi="方正仿宋_GBK" w:eastAsia="方正仿宋_GBK" w:cs="方正仿宋_GBK"/>
          <w:kern w:val="0"/>
          <w:sz w:val="32"/>
          <w:szCs w:val="32"/>
          <w:lang w:val="en-US" w:eastAsia="zh-CN" w:bidi="ar-SA"/>
        </w:rPr>
        <w:t>3.</w:t>
      </w:r>
      <w:r>
        <w:rPr>
          <w:rFonts w:hint="eastAsia" w:ascii="方正仿宋_GBK" w:hAnsi="方正仿宋_GBK" w:eastAsia="方正仿宋_GBK" w:cs="方正仿宋_GBK"/>
          <w:kern w:val="0"/>
          <w:sz w:val="32"/>
          <w:szCs w:val="32"/>
          <w:lang w:val="en-US" w:eastAsia="zh-CN" w:bidi="ar-SA"/>
        </w:rPr>
        <w:t>支出情况。2022年度支出合计378.33万元，较上年决算数减少106.38万元、减少21.94%，主要原因是2021年有之前收回资金支付2020年未付项目资金和2021年年中新增档案电子化整理项目资金，另外单位要严格按中央八项规定精神和厉行节约要求，控制支出。其中：基本支出264.08万元，占69.80%；项目支出114.25万元，占30.20%，</w:t>
      </w:r>
      <w:r>
        <w:rPr>
          <w:rFonts w:hint="eastAsia" w:ascii="方正仿宋_GBK" w:hAnsi="方正仿宋_GBK" w:eastAsia="方正仿宋_GBK" w:cs="方正仿宋_GBK"/>
          <w:sz w:val="32"/>
          <w:szCs w:val="32"/>
          <w:highlight w:val="none"/>
        </w:rPr>
        <w:t>此外，结余分配</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highlight w:val="none"/>
        </w:rPr>
        <w:t>万元</w:t>
      </w:r>
      <w:r>
        <w:rPr>
          <w:rFonts w:hint="eastAsia" w:ascii="方正仿宋_GBK" w:hAnsi="方正仿宋_GBK" w:eastAsia="方正仿宋_GBK" w:cs="方正仿宋_GBK"/>
          <w:kern w:val="0"/>
          <w:sz w:val="32"/>
          <w:szCs w:val="32"/>
          <w:highlight w:val="none"/>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40"/>
        <w:jc w:val="both"/>
        <w:rPr>
          <w:rFonts w:hint="eastAsia" w:ascii="方正仿宋_GBK" w:hAnsi="方正仿宋_GBK" w:eastAsia="方正仿宋_GBK" w:cs="方正仿宋_GBK"/>
          <w:kern w:val="0"/>
          <w:sz w:val="32"/>
          <w:szCs w:val="32"/>
          <w:lang w:val="en-US" w:eastAsia="zh-CN" w:bidi="ar-SA"/>
        </w:rPr>
      </w:pPr>
      <w:r>
        <w:rPr>
          <w:rFonts w:hint="default" w:ascii="方正仿宋_GBK" w:hAnsi="方正仿宋_GBK" w:eastAsia="方正仿宋_GBK" w:cs="方正仿宋_GBK"/>
          <w:kern w:val="0"/>
          <w:sz w:val="32"/>
          <w:szCs w:val="32"/>
          <w:lang w:val="en-US" w:eastAsia="zh-CN" w:bidi="ar-SA"/>
        </w:rPr>
        <w:t> </w:t>
      </w:r>
      <w:r>
        <w:rPr>
          <w:rFonts w:hint="eastAsia" w:ascii="方正仿宋_GBK" w:hAnsi="方正仿宋_GBK" w:eastAsia="方正仿宋_GBK" w:cs="方正仿宋_GBK"/>
          <w:kern w:val="0"/>
          <w:sz w:val="32"/>
          <w:szCs w:val="32"/>
          <w:lang w:val="en-US" w:eastAsia="zh-CN" w:bidi="ar-SA"/>
        </w:rPr>
        <w:t> </w:t>
      </w:r>
      <w:r>
        <w:rPr>
          <w:rFonts w:hint="default" w:ascii="方正仿宋_GBK" w:hAnsi="方正仿宋_GBK" w:eastAsia="方正仿宋_GBK" w:cs="方正仿宋_GBK"/>
          <w:kern w:val="0"/>
          <w:sz w:val="32"/>
          <w:szCs w:val="32"/>
          <w:lang w:val="en-US" w:eastAsia="zh-CN" w:bidi="ar-SA"/>
        </w:rPr>
        <w:t> 4.</w:t>
      </w:r>
      <w:r>
        <w:rPr>
          <w:rFonts w:hint="eastAsia" w:ascii="方正仿宋_GBK" w:hAnsi="方正仿宋_GBK" w:eastAsia="方正仿宋_GBK" w:cs="方正仿宋_GBK"/>
          <w:kern w:val="0"/>
          <w:sz w:val="32"/>
          <w:szCs w:val="32"/>
          <w:lang w:val="en-US" w:eastAsia="zh-CN" w:bidi="ar-SA"/>
        </w:rPr>
        <w:t>结转结余情况。2022年度年末结转和结余0万元，2021年度年末结转结余也是0万元，都不存在结转结余情况。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Times New Roman" w:hAnsi="Times New Roman" w:eastAsia="方正楷体_GBK" w:cs="Times New Roman"/>
          <w:spacing w:val="8"/>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eastAsia" w:ascii="Times New Roman" w:hAnsi="Times New Roman" w:eastAsia="方正楷体_GBK" w:cs="Times New Roman"/>
          <w:spacing w:val="8"/>
          <w:kern w:val="0"/>
          <w:sz w:val="32"/>
          <w:szCs w:val="32"/>
          <w:lang w:val="en-US" w:eastAsia="zh-CN" w:bidi="ar-SA"/>
        </w:rPr>
        <w:t>（二）财政拨款收入支出决算总体情况说明。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40"/>
        <w:jc w:val="both"/>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2022年度财政拨款收、支总计378.33万元。与2021年相比，财政拨款收、支总计各减少106.38万元、减少21.94%，主要原因是2021年有之前收回资金支付2020年未付项目资金和2021年年中新增档案电子化整理项目资金，另外单位要严格按中央八项规定精神和厉行节约要求，控制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宋体" w:hAnsi="宋体" w:eastAsia="宋体" w:cs="宋体"/>
          <w:i w:val="0"/>
          <w:iCs w:val="0"/>
          <w:caps w:val="0"/>
          <w:color w:val="333333"/>
          <w:spacing w:val="0"/>
          <w:sz w:val="24"/>
          <w:szCs w:val="24"/>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default" w:ascii="Times New Roman" w:hAnsi="Times New Roman" w:eastAsia="方正楷体_GBK" w:cs="Times New Roman"/>
          <w:spacing w:val="8"/>
          <w:kern w:val="0"/>
          <w:sz w:val="32"/>
          <w:szCs w:val="32"/>
          <w:lang w:val="en-US" w:eastAsia="zh-CN" w:bidi="ar-SA"/>
        </w:rPr>
        <w:t> </w:t>
      </w:r>
      <w:r>
        <w:rPr>
          <w:rFonts w:hint="eastAsia" w:ascii="Times New Roman" w:hAnsi="Times New Roman" w:eastAsia="方正楷体_GBK" w:cs="Times New Roman"/>
          <w:spacing w:val="8"/>
          <w:kern w:val="0"/>
          <w:sz w:val="32"/>
          <w:szCs w:val="32"/>
          <w:lang w:val="en-US" w:eastAsia="zh-CN" w:bidi="ar-SA"/>
        </w:rPr>
        <w:t>（三）一般公共预算财政拨款收入支出决算情况说明。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40"/>
        <w:jc w:val="both"/>
        <w:rPr>
          <w:rFonts w:hint="eastAsia" w:ascii="方正仿宋_GBK" w:hAnsi="方正仿宋_GBK" w:eastAsia="方正仿宋_GBK" w:cs="方正仿宋_GBK"/>
          <w:kern w:val="0"/>
          <w:sz w:val="32"/>
          <w:szCs w:val="32"/>
          <w:lang w:val="en-US" w:eastAsia="zh-CN" w:bidi="ar-SA"/>
        </w:rPr>
      </w:pPr>
      <w:r>
        <w:rPr>
          <w:rFonts w:hint="default" w:ascii="方正仿宋_GBK" w:hAnsi="方正仿宋_GBK" w:eastAsia="方正仿宋_GBK" w:cs="方正仿宋_GBK"/>
          <w:kern w:val="0"/>
          <w:sz w:val="32"/>
          <w:szCs w:val="32"/>
          <w:lang w:val="en-US" w:eastAsia="zh-CN" w:bidi="ar-SA"/>
        </w:rPr>
        <w:t>1.</w:t>
      </w:r>
      <w:r>
        <w:rPr>
          <w:rFonts w:hint="eastAsia" w:ascii="方正仿宋_GBK" w:hAnsi="方正仿宋_GBK" w:eastAsia="方正仿宋_GBK" w:cs="方正仿宋_GBK"/>
          <w:kern w:val="0"/>
          <w:sz w:val="32"/>
          <w:szCs w:val="32"/>
          <w:lang w:val="en-US" w:eastAsia="zh-CN" w:bidi="ar-SA"/>
        </w:rPr>
        <w:t>收入情况。2022年度一般公共预算财政拨款收入378.33万元，较上年决算数减少106.38万元、减少21.94%。主要原因是2021年有之前收回资金支付2020年未付项目资金和2021年年中新增档案电子化整理项目资金，另外单位要严格按中央八项规定精神和厉行节约要求，控制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40"/>
        <w:jc w:val="both"/>
        <w:rPr>
          <w:rFonts w:hint="eastAsia" w:ascii="方正仿宋_GBK" w:hAnsi="方正仿宋_GBK" w:eastAsia="方正仿宋_GBK" w:cs="方正仿宋_GBK"/>
          <w:kern w:val="0"/>
          <w:sz w:val="32"/>
          <w:szCs w:val="32"/>
          <w:lang w:val="en-US" w:eastAsia="zh-CN" w:bidi="ar-SA"/>
        </w:rPr>
      </w:pPr>
      <w:r>
        <w:rPr>
          <w:rFonts w:hint="default" w:ascii="方正仿宋_GBK" w:hAnsi="方正仿宋_GBK" w:eastAsia="方正仿宋_GBK" w:cs="方正仿宋_GBK"/>
          <w:kern w:val="0"/>
          <w:sz w:val="32"/>
          <w:szCs w:val="32"/>
          <w:lang w:val="en-US" w:eastAsia="zh-CN" w:bidi="ar-SA"/>
        </w:rPr>
        <w:t> 2.</w:t>
      </w:r>
      <w:r>
        <w:rPr>
          <w:rFonts w:hint="eastAsia" w:ascii="方正仿宋_GBK" w:hAnsi="方正仿宋_GBK" w:eastAsia="方正仿宋_GBK" w:cs="方正仿宋_GBK"/>
          <w:kern w:val="0"/>
          <w:sz w:val="32"/>
          <w:szCs w:val="32"/>
          <w:lang w:val="en-US" w:eastAsia="zh-CN" w:bidi="ar-SA"/>
        </w:rPr>
        <w:t>支出情况。2022年度一般公共预算财政拨款支出378.33万元，较上年决算数减少106.38万元，减少21.94%。主要原因是当年有2021年收回资金支付2021年未付项目资金和2022年年中新增档案电子数字化整理项目资金，另外单位要严格按中央八项规定精神和厉行节约要求，控制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40"/>
        <w:jc w:val="both"/>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 </w:t>
      </w:r>
      <w:r>
        <w:rPr>
          <w:rFonts w:hint="default" w:ascii="方正仿宋_GBK" w:hAnsi="方正仿宋_GBK" w:eastAsia="方正仿宋_GBK" w:cs="方正仿宋_GBK"/>
          <w:kern w:val="0"/>
          <w:sz w:val="32"/>
          <w:szCs w:val="32"/>
          <w:lang w:val="en-US" w:eastAsia="zh-CN" w:bidi="ar-SA"/>
        </w:rPr>
        <w:t>3.</w:t>
      </w:r>
      <w:r>
        <w:rPr>
          <w:rFonts w:hint="eastAsia" w:ascii="方正仿宋_GBK" w:hAnsi="方正仿宋_GBK" w:eastAsia="方正仿宋_GBK" w:cs="方正仿宋_GBK"/>
          <w:kern w:val="0"/>
          <w:sz w:val="32"/>
          <w:szCs w:val="32"/>
          <w:lang w:val="en-US" w:eastAsia="zh-CN" w:bidi="ar-SA"/>
        </w:rPr>
        <w:t>结转结余情况。2022年度年末一般公共预算财政拨款结转和结余0万元，与上年决算持平。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40"/>
        <w:jc w:val="both"/>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 </w:t>
      </w:r>
      <w:r>
        <w:rPr>
          <w:rFonts w:hint="default" w:ascii="方正仿宋_GBK" w:hAnsi="方正仿宋_GBK" w:eastAsia="方正仿宋_GBK" w:cs="方正仿宋_GBK"/>
          <w:kern w:val="0"/>
          <w:sz w:val="32"/>
          <w:szCs w:val="32"/>
          <w:lang w:val="en-US" w:eastAsia="zh-CN" w:bidi="ar-SA"/>
        </w:rPr>
        <w:t>4.</w:t>
      </w:r>
      <w:r>
        <w:rPr>
          <w:rFonts w:hint="eastAsia" w:ascii="方正仿宋_GBK" w:hAnsi="方正仿宋_GBK" w:eastAsia="方正仿宋_GBK" w:cs="方正仿宋_GBK"/>
          <w:kern w:val="0"/>
          <w:sz w:val="32"/>
          <w:szCs w:val="32"/>
          <w:lang w:val="en-US" w:eastAsia="zh-CN" w:bidi="ar-SA"/>
        </w:rPr>
        <w:t>比较情况。本部门2022年度一般公共预算财政拨款支出主要用于以下几个方面：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40"/>
        <w:jc w:val="both"/>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（1）一般公共服务支出328.74万元，占86.89%，较年初预算数基本持平。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40"/>
        <w:jc w:val="both"/>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（2）社会保障与就业支出25.77万元，占6.81%，较年初预算数基本持平。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40"/>
        <w:jc w:val="both"/>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（3）卫生健康支出12.31万元，占3.25%，较年初预算数基本持平。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40"/>
        <w:jc w:val="both"/>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（4）住房保障支出11.52万元，占3.04%，较年初预算数基本持平。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Times New Roman" w:hAnsi="Times New Roman" w:eastAsia="方正楷体_GBK" w:cs="Times New Roman"/>
          <w:spacing w:val="8"/>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eastAsia" w:ascii="Times New Roman" w:hAnsi="Times New Roman" w:eastAsia="方正楷体_GBK" w:cs="Times New Roman"/>
          <w:spacing w:val="8"/>
          <w:kern w:val="0"/>
          <w:sz w:val="32"/>
          <w:szCs w:val="32"/>
          <w:lang w:val="en-US" w:eastAsia="zh-CN" w:bidi="ar-SA"/>
        </w:rPr>
        <w:t>（四）一般公共预算财政拨款基本支出决算情况说明。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4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7"/>
          <w:szCs w:val="27"/>
          <w:shd w:val="clear" w:fill="FFFFFF"/>
        </w:rPr>
        <w:t> </w:t>
      </w:r>
      <w:r>
        <w:rPr>
          <w:rFonts w:hint="eastAsia" w:ascii="方正仿宋_GBK" w:hAnsi="方正仿宋_GBK" w:eastAsia="方正仿宋_GBK" w:cs="方正仿宋_GBK"/>
          <w:kern w:val="0"/>
          <w:sz w:val="32"/>
          <w:szCs w:val="32"/>
          <w:lang w:val="en-US" w:eastAsia="zh-CN" w:bidi="ar-SA"/>
        </w:rPr>
        <w:t>2022年度一般公共财政拨款基本支出264.08万元。其中：人员经费246.2万元，较上年决算数减少19.07万元，减少7.18</w:t>
      </w:r>
      <w:r>
        <w:rPr>
          <w:rFonts w:hint="default" w:ascii="方正仿宋_GBK" w:hAnsi="方正仿宋_GBK" w:eastAsia="方正仿宋_GBK" w:cs="方正仿宋_GBK"/>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主要原因是住房公积金缴费标准降低和基本工资津贴补贴降低导致人员经费减少。人员经费用途主要包括基本工资、津贴补贴、社会保障缴费、基本医疗保险等。公用经费17.88万元，较上年决算数减少8万元，下降30.91</w:t>
      </w:r>
      <w:r>
        <w:rPr>
          <w:rFonts w:hint="default" w:ascii="方正仿宋_GBK" w:hAnsi="方正仿宋_GBK" w:eastAsia="方正仿宋_GBK" w:cs="方正仿宋_GBK"/>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，主要原因是牢固树立过“紧日子”思想，减少了办公用品开支。公用经费用途主要包括办公费、邮电费、手续费等支出。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Times New Roman" w:hAnsi="Times New Roman" w:eastAsia="方正楷体_GBK" w:cs="Times New Roman"/>
          <w:spacing w:val="8"/>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eastAsia" w:ascii="Times New Roman" w:hAnsi="Times New Roman" w:eastAsia="方正楷体_GBK" w:cs="Times New Roman"/>
          <w:spacing w:val="8"/>
          <w:kern w:val="0"/>
          <w:sz w:val="32"/>
          <w:szCs w:val="32"/>
          <w:lang w:val="en-US" w:eastAsia="zh-CN" w:bidi="ar-SA"/>
        </w:rPr>
        <w:t>（五）政府性基金预算收支决算情况说明。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40"/>
        <w:jc w:val="both"/>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本部门2022年度无政府性基金预算财政拨款收支。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Times New Roman" w:hAnsi="Times New Roman" w:eastAsia="方正楷体_GBK" w:cs="Times New Roman"/>
          <w:spacing w:val="8"/>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eastAsia" w:ascii="Times New Roman" w:hAnsi="Times New Roman" w:eastAsia="方正楷体_GBK" w:cs="Times New Roman"/>
          <w:spacing w:val="8"/>
          <w:kern w:val="0"/>
          <w:sz w:val="32"/>
          <w:szCs w:val="32"/>
          <w:lang w:val="en-US" w:eastAsia="zh-CN" w:bidi="ar-SA"/>
        </w:rPr>
        <w:t>（六）国有资本经营预算财政拨款支出决算情况说明。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Fonts w:hint="eastAsia" w:ascii="宋体" w:hAnsi="宋体" w:eastAsia="宋体" w:cs="宋体"/>
          <w:i w:val="0"/>
          <w:iCs w:val="0"/>
          <w:caps w:val="0"/>
          <w:color w:val="333333"/>
          <w:spacing w:val="0"/>
          <w:sz w:val="27"/>
          <w:szCs w:val="27"/>
          <w:shd w:val="clear" w:fill="FFFFFF"/>
        </w:rPr>
        <w:t>  </w:t>
      </w:r>
      <w:r>
        <w:rPr>
          <w:rFonts w:hint="eastAsia" w:ascii="方正仿宋_GBK" w:hAnsi="方正仿宋_GBK" w:eastAsia="方正仿宋_GBK" w:cs="方正仿宋_GBK"/>
          <w:kern w:val="0"/>
          <w:sz w:val="32"/>
          <w:szCs w:val="32"/>
          <w:lang w:val="en-US" w:eastAsia="zh-CN" w:bidi="ar-SA"/>
        </w:rPr>
        <w:t> 本部门2022年度无国有资本经营预算财政拨款支出。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270"/>
        <w:rPr>
          <w:rFonts w:hint="eastAsia" w:ascii="宋体" w:hAnsi="宋体" w:eastAsia="宋体" w:cs="宋体"/>
          <w:i w:val="0"/>
          <w:iCs w:val="0"/>
          <w:caps w:val="0"/>
          <w:color w:val="333333"/>
          <w:spacing w:val="0"/>
          <w:sz w:val="24"/>
          <w:szCs w:val="24"/>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eastAsia" w:ascii="Times New Roman" w:hAnsi="Times New Roman" w:eastAsia="方正黑体简体" w:cs="Times New Roman"/>
          <w:spacing w:val="8"/>
          <w:kern w:val="0"/>
          <w:sz w:val="32"/>
          <w:szCs w:val="32"/>
          <w:lang w:val="en-US" w:eastAsia="zh-CN" w:bidi="ar-SA"/>
        </w:rPr>
        <w:t>三、</w:t>
      </w:r>
      <w:r>
        <w:rPr>
          <w:rFonts w:hint="default" w:ascii="Times New Roman" w:hAnsi="Times New Roman" w:eastAsia="方正黑体简体" w:cs="Times New Roman"/>
          <w:spacing w:val="8"/>
          <w:kern w:val="0"/>
          <w:sz w:val="32"/>
          <w:szCs w:val="32"/>
          <w:lang w:val="en-US" w:eastAsia="zh-CN" w:bidi="ar-SA"/>
        </w:rPr>
        <w:t>“</w:t>
      </w:r>
      <w:r>
        <w:rPr>
          <w:rFonts w:hint="eastAsia" w:ascii="Times New Roman" w:hAnsi="Times New Roman" w:eastAsia="方正黑体简体" w:cs="Times New Roman"/>
          <w:spacing w:val="8"/>
          <w:kern w:val="0"/>
          <w:sz w:val="32"/>
          <w:szCs w:val="32"/>
          <w:lang w:val="en-US" w:eastAsia="zh-CN" w:bidi="ar-SA"/>
        </w:rPr>
        <w:t>三公</w:t>
      </w:r>
      <w:r>
        <w:rPr>
          <w:rFonts w:hint="default" w:ascii="Times New Roman" w:hAnsi="Times New Roman" w:eastAsia="方正黑体简体" w:cs="Times New Roman"/>
          <w:spacing w:val="8"/>
          <w:kern w:val="0"/>
          <w:sz w:val="32"/>
          <w:szCs w:val="32"/>
          <w:lang w:val="en-US" w:eastAsia="zh-CN" w:bidi="ar-SA"/>
        </w:rPr>
        <w:t>”</w:t>
      </w:r>
      <w:r>
        <w:rPr>
          <w:rFonts w:hint="eastAsia" w:ascii="Times New Roman" w:hAnsi="Times New Roman" w:eastAsia="方正黑体简体" w:cs="Times New Roman"/>
          <w:spacing w:val="8"/>
          <w:kern w:val="0"/>
          <w:sz w:val="32"/>
          <w:szCs w:val="32"/>
          <w:lang w:val="en-US" w:eastAsia="zh-CN" w:bidi="ar-SA"/>
        </w:rPr>
        <w:t>经费情况说明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Times New Roman" w:hAnsi="Times New Roman" w:eastAsia="方正楷体_GBK" w:cs="Times New Roman"/>
          <w:spacing w:val="8"/>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default" w:ascii="Times New Roman" w:hAnsi="Times New Roman" w:eastAsia="方正楷体_GBK" w:cs="Times New Roman"/>
          <w:spacing w:val="8"/>
          <w:kern w:val="0"/>
          <w:sz w:val="32"/>
          <w:szCs w:val="32"/>
          <w:lang w:val="en-US" w:eastAsia="zh-CN" w:bidi="ar-SA"/>
        </w:rPr>
        <w:t> </w:t>
      </w:r>
      <w:r>
        <w:rPr>
          <w:rFonts w:hint="eastAsia" w:ascii="Times New Roman" w:hAnsi="Times New Roman" w:eastAsia="方正楷体_GBK" w:cs="Times New Roman"/>
          <w:spacing w:val="8"/>
          <w:kern w:val="0"/>
          <w:sz w:val="32"/>
          <w:szCs w:val="32"/>
          <w:lang w:val="en-US" w:eastAsia="zh-CN" w:bidi="ar-SA"/>
        </w:rPr>
        <w:t>（一）</w:t>
      </w:r>
      <w:r>
        <w:rPr>
          <w:rFonts w:hint="default" w:ascii="Times New Roman" w:hAnsi="Times New Roman" w:eastAsia="方正楷体_GBK" w:cs="Times New Roman"/>
          <w:spacing w:val="8"/>
          <w:kern w:val="0"/>
          <w:sz w:val="32"/>
          <w:szCs w:val="32"/>
          <w:lang w:val="en-US" w:eastAsia="zh-CN" w:bidi="ar-SA"/>
        </w:rPr>
        <w:t>“</w:t>
      </w:r>
      <w:r>
        <w:rPr>
          <w:rFonts w:hint="eastAsia" w:ascii="Times New Roman" w:hAnsi="Times New Roman" w:eastAsia="方正楷体_GBK" w:cs="Times New Roman"/>
          <w:spacing w:val="8"/>
          <w:kern w:val="0"/>
          <w:sz w:val="32"/>
          <w:szCs w:val="32"/>
          <w:lang w:val="en-US" w:eastAsia="zh-CN" w:bidi="ar-SA"/>
        </w:rPr>
        <w:t>三公</w:t>
      </w:r>
      <w:r>
        <w:rPr>
          <w:rFonts w:hint="default" w:ascii="Times New Roman" w:hAnsi="Times New Roman" w:eastAsia="方正楷体_GBK" w:cs="Times New Roman"/>
          <w:spacing w:val="8"/>
          <w:kern w:val="0"/>
          <w:sz w:val="32"/>
          <w:szCs w:val="32"/>
          <w:lang w:val="en-US" w:eastAsia="zh-CN" w:bidi="ar-SA"/>
        </w:rPr>
        <w:t>”</w:t>
      </w:r>
      <w:r>
        <w:rPr>
          <w:rFonts w:hint="eastAsia" w:ascii="Times New Roman" w:hAnsi="Times New Roman" w:eastAsia="方正楷体_GBK" w:cs="Times New Roman"/>
          <w:spacing w:val="8"/>
          <w:kern w:val="0"/>
          <w:sz w:val="32"/>
          <w:szCs w:val="32"/>
          <w:lang w:val="en-US" w:eastAsia="zh-CN" w:bidi="ar-SA"/>
        </w:rPr>
        <w:t>经费支出总体情况说明。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640" w:firstLineChars="2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2022年度“三公”经费支出共计3.02万元，较年初预算数完全持平，主要原因牢固树立过“紧日子”思想一是严格落实公务车使用规定，公务车运行成本下降。二是强化公务接待支出管理，严格遵守公务接待开支范围和开支标准。较上年支出数减少1.15万元，减少27.58%，主要原因牢固树立过“紧日子”思想，另外单位要严格按中央八项规定精神和厉行节约要求，控制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Times New Roman" w:hAnsi="Times New Roman" w:eastAsia="方正楷体_GBK" w:cs="Times New Roman"/>
          <w:spacing w:val="8"/>
          <w:kern w:val="0"/>
          <w:sz w:val="32"/>
          <w:szCs w:val="32"/>
          <w:lang w:val="en-US" w:eastAsia="zh-CN" w:bidi="ar-SA"/>
        </w:rPr>
      </w:pPr>
      <w:r>
        <w:rPr>
          <w:rFonts w:hint="eastAsia" w:ascii="Times New Roman" w:hAnsi="Times New Roman" w:eastAsia="方正楷体_GBK" w:cs="Times New Roman"/>
          <w:spacing w:val="8"/>
          <w:kern w:val="0"/>
          <w:sz w:val="32"/>
          <w:szCs w:val="32"/>
          <w:lang w:val="en-US" w:eastAsia="zh-CN" w:bidi="ar-SA"/>
        </w:rPr>
        <w:t>（二）</w:t>
      </w:r>
      <w:r>
        <w:rPr>
          <w:rFonts w:hint="default" w:ascii="Times New Roman" w:hAnsi="Times New Roman" w:eastAsia="方正楷体_GBK" w:cs="Times New Roman"/>
          <w:spacing w:val="8"/>
          <w:kern w:val="0"/>
          <w:sz w:val="32"/>
          <w:szCs w:val="32"/>
          <w:lang w:val="en-US" w:eastAsia="zh-CN" w:bidi="ar-SA"/>
        </w:rPr>
        <w:t>“</w:t>
      </w:r>
      <w:r>
        <w:rPr>
          <w:rFonts w:hint="eastAsia" w:ascii="Times New Roman" w:hAnsi="Times New Roman" w:eastAsia="方正楷体_GBK" w:cs="Times New Roman"/>
          <w:spacing w:val="8"/>
          <w:kern w:val="0"/>
          <w:sz w:val="32"/>
          <w:szCs w:val="32"/>
          <w:lang w:val="en-US" w:eastAsia="zh-CN" w:bidi="ar-SA"/>
        </w:rPr>
        <w:t>三公</w:t>
      </w:r>
      <w:r>
        <w:rPr>
          <w:rFonts w:hint="default" w:ascii="Times New Roman" w:hAnsi="Times New Roman" w:eastAsia="方正楷体_GBK" w:cs="Times New Roman"/>
          <w:spacing w:val="8"/>
          <w:kern w:val="0"/>
          <w:sz w:val="32"/>
          <w:szCs w:val="32"/>
          <w:lang w:val="en-US" w:eastAsia="zh-CN" w:bidi="ar-SA"/>
        </w:rPr>
        <w:t>”</w:t>
      </w:r>
      <w:r>
        <w:rPr>
          <w:rFonts w:hint="eastAsia" w:ascii="Times New Roman" w:hAnsi="Times New Roman" w:eastAsia="方正楷体_GBK" w:cs="Times New Roman"/>
          <w:spacing w:val="8"/>
          <w:kern w:val="0"/>
          <w:sz w:val="32"/>
          <w:szCs w:val="32"/>
          <w:lang w:val="en-US" w:eastAsia="zh-CN" w:bidi="ar-SA"/>
        </w:rPr>
        <w:t>经费分项支出情况。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640" w:firstLineChars="2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2022年度本部门因公出国（境）费用0.00万元，本单位2022年未发生因公出国（境）支出。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640" w:firstLineChars="2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公务车购置费0.00万元，本单位2022年未发生公务车购置支出。公务车运行维护费2.91万元，主要用于公务车运行维护费，费用支出较年初预算数基本持平。较上年支出数减少1.09万元，减少27.25%，主要原因牢固树立过“紧日子”思想，另外单位要严格按中央八项规定精神和厉行节约要求，控制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Fonts w:hint="eastAsia" w:ascii="宋体" w:hAnsi="宋体" w:eastAsia="宋体" w:cs="宋体"/>
          <w:i w:val="0"/>
          <w:iCs w:val="0"/>
          <w:caps w:val="0"/>
          <w:color w:val="333333"/>
          <w:spacing w:val="0"/>
          <w:sz w:val="27"/>
          <w:szCs w:val="27"/>
          <w:shd w:val="clear" w:fill="FFFFFF"/>
        </w:rPr>
        <w:t>   </w:t>
      </w:r>
      <w:r>
        <w:rPr>
          <w:rFonts w:hint="eastAsia" w:ascii="方正仿宋_GBK" w:hAnsi="方正仿宋_GBK" w:eastAsia="方正仿宋_GBK" w:cs="方正仿宋_GBK"/>
          <w:kern w:val="0"/>
          <w:sz w:val="32"/>
          <w:szCs w:val="32"/>
          <w:lang w:val="en-US" w:eastAsia="zh-CN" w:bidi="ar-SA"/>
        </w:rPr>
        <w:t>公务接待费0.11万元，主要用于接待市级部门及招商引资来丰人员，费用支出较年初预算数减少1.89万元，下降94.5%，主要原因是认真贯彻落实中央八项规定精神，严格控制陪餐人数，公务接待费大幅下降，较上年支出数减少0.06万元，减少35.29%，主要原因牢固树立过“紧日子”思想，另外单位要严格按中央八项规定精神和厉行节约要求，控制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Times New Roman" w:hAnsi="Times New Roman" w:eastAsia="方正楷体_GBK" w:cs="Times New Roman"/>
          <w:spacing w:val="8"/>
          <w:kern w:val="0"/>
          <w:sz w:val="32"/>
          <w:szCs w:val="32"/>
          <w:lang w:val="en-US" w:eastAsia="zh-CN" w:bidi="ar-SA"/>
        </w:rPr>
      </w:pPr>
      <w:r>
        <w:rPr>
          <w:rFonts w:hint="eastAsia" w:ascii="Times New Roman" w:hAnsi="Times New Roman" w:eastAsia="方正楷体_GBK" w:cs="Times New Roman"/>
          <w:spacing w:val="8"/>
          <w:kern w:val="0"/>
          <w:sz w:val="32"/>
          <w:szCs w:val="32"/>
          <w:lang w:val="en-US" w:eastAsia="zh-CN" w:bidi="ar-SA"/>
        </w:rPr>
        <w:t>（三）</w:t>
      </w:r>
      <w:r>
        <w:rPr>
          <w:rFonts w:hint="default" w:ascii="Times New Roman" w:hAnsi="Times New Roman" w:eastAsia="方正楷体_GBK" w:cs="Times New Roman"/>
          <w:spacing w:val="8"/>
          <w:kern w:val="0"/>
          <w:sz w:val="32"/>
          <w:szCs w:val="32"/>
          <w:lang w:val="en-US" w:eastAsia="zh-CN" w:bidi="ar-SA"/>
        </w:rPr>
        <w:t>“</w:t>
      </w:r>
      <w:r>
        <w:rPr>
          <w:rFonts w:hint="eastAsia" w:ascii="Times New Roman" w:hAnsi="Times New Roman" w:eastAsia="方正楷体_GBK" w:cs="Times New Roman"/>
          <w:spacing w:val="8"/>
          <w:kern w:val="0"/>
          <w:sz w:val="32"/>
          <w:szCs w:val="32"/>
          <w:lang w:val="en-US" w:eastAsia="zh-CN" w:bidi="ar-SA"/>
        </w:rPr>
        <w:t>三公</w:t>
      </w:r>
      <w:r>
        <w:rPr>
          <w:rFonts w:hint="default" w:ascii="Times New Roman" w:hAnsi="Times New Roman" w:eastAsia="方正楷体_GBK" w:cs="Times New Roman"/>
          <w:spacing w:val="8"/>
          <w:kern w:val="0"/>
          <w:sz w:val="32"/>
          <w:szCs w:val="32"/>
          <w:lang w:val="en-US" w:eastAsia="zh-CN" w:bidi="ar-SA"/>
        </w:rPr>
        <w:t>”</w:t>
      </w:r>
      <w:r>
        <w:rPr>
          <w:rFonts w:hint="eastAsia" w:ascii="Times New Roman" w:hAnsi="Times New Roman" w:eastAsia="方正楷体_GBK" w:cs="Times New Roman"/>
          <w:spacing w:val="8"/>
          <w:kern w:val="0"/>
          <w:sz w:val="32"/>
          <w:szCs w:val="32"/>
          <w:lang w:val="en-US" w:eastAsia="zh-CN" w:bidi="ar-SA"/>
        </w:rPr>
        <w:t>经费实物量情况。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Fonts w:hint="eastAsia" w:ascii="宋体" w:hAnsi="宋体" w:eastAsia="宋体" w:cs="宋体"/>
          <w:i w:val="0"/>
          <w:iCs w:val="0"/>
          <w:caps w:val="0"/>
          <w:color w:val="333333"/>
          <w:spacing w:val="0"/>
          <w:sz w:val="27"/>
          <w:szCs w:val="27"/>
          <w:shd w:val="clear" w:fill="FFFFFF"/>
        </w:rPr>
        <w:t>   </w:t>
      </w:r>
      <w:r>
        <w:rPr>
          <w:rFonts w:hint="eastAsia" w:ascii="方正仿宋_GBK" w:hAnsi="方正仿宋_GBK" w:eastAsia="方正仿宋_GBK" w:cs="方正仿宋_GBK"/>
          <w:kern w:val="0"/>
          <w:sz w:val="32"/>
          <w:szCs w:val="32"/>
          <w:lang w:val="en-US" w:eastAsia="zh-CN" w:bidi="ar-SA"/>
        </w:rPr>
        <w:t>2022年度本部门因公出国（境）共计0个团组，0人；公务用车购置0辆，公务车保有量为1辆；国内公务接待2批次20人，其中：国内外事接待0批次，0人；国（境）外公务接待0批次，0人。2022年本部门人均接待费85.20元，车均购置费0.00万元，车均维护费2.91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宋体" w:hAnsi="宋体" w:eastAsia="宋体" w:cs="宋体"/>
          <w:i w:val="0"/>
          <w:iCs w:val="0"/>
          <w:caps w:val="0"/>
          <w:color w:val="333333"/>
          <w:spacing w:val="0"/>
          <w:sz w:val="24"/>
          <w:szCs w:val="24"/>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eastAsia" w:ascii="Times New Roman" w:hAnsi="Times New Roman" w:eastAsia="方正黑体简体" w:cs="Times New Roman"/>
          <w:spacing w:val="8"/>
          <w:kern w:val="0"/>
          <w:sz w:val="32"/>
          <w:szCs w:val="32"/>
          <w:lang w:val="en-US" w:eastAsia="zh-CN" w:bidi="ar-SA"/>
        </w:rPr>
        <w:t>四、其他需要说明的事项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Times New Roman" w:hAnsi="Times New Roman" w:eastAsia="方正楷体_GBK" w:cs="Times New Roman"/>
          <w:spacing w:val="8"/>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default" w:ascii="Times New Roman" w:hAnsi="Times New Roman" w:eastAsia="方正楷体_GBK" w:cs="Times New Roman"/>
          <w:spacing w:val="8"/>
          <w:kern w:val="0"/>
          <w:sz w:val="32"/>
          <w:szCs w:val="32"/>
          <w:lang w:val="en-US" w:eastAsia="zh-CN" w:bidi="ar-SA"/>
        </w:rPr>
        <w:t> </w:t>
      </w:r>
      <w:r>
        <w:rPr>
          <w:rFonts w:hint="eastAsia" w:ascii="Times New Roman" w:hAnsi="Times New Roman" w:eastAsia="方正楷体_GBK" w:cs="Times New Roman"/>
          <w:spacing w:val="8"/>
          <w:kern w:val="0"/>
          <w:sz w:val="32"/>
          <w:szCs w:val="32"/>
          <w:lang w:val="en-US" w:eastAsia="zh-CN" w:bidi="ar-SA"/>
        </w:rPr>
        <w:t>（一）一般公共预算财政拨款会议费和培训费情况说明。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Fonts w:hint="eastAsia" w:ascii="宋体" w:hAnsi="宋体" w:eastAsia="宋体" w:cs="宋体"/>
          <w:i w:val="0"/>
          <w:iCs w:val="0"/>
          <w:caps w:val="0"/>
          <w:color w:val="333333"/>
          <w:spacing w:val="0"/>
          <w:sz w:val="27"/>
          <w:szCs w:val="27"/>
          <w:shd w:val="clear" w:fill="FFFFFF"/>
        </w:rPr>
        <w:t>  </w:t>
      </w:r>
      <w:r>
        <w:rPr>
          <w:rFonts w:hint="eastAsia" w:ascii="方正仿宋_GBK" w:hAnsi="方正仿宋_GBK" w:eastAsia="方正仿宋_GBK" w:cs="方正仿宋_GBK"/>
          <w:kern w:val="0"/>
          <w:sz w:val="32"/>
          <w:szCs w:val="32"/>
          <w:lang w:val="en-US" w:eastAsia="zh-CN" w:bidi="ar-SA"/>
        </w:rPr>
        <w:t>本年度会议费支出0.00万元，与上年持平。本年度培训费支出0.16万元，较上年决算数减少1.47万元，减少90.18%，主要原因是将2021年将未纳入培训费统计的“党员远程教育费”纳入了培训费统计范围，2022年就没有这笔费用，所以明显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Times New Roman" w:hAnsi="Times New Roman" w:eastAsia="方正楷体_GBK" w:cs="Times New Roman"/>
          <w:spacing w:val="8"/>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default" w:ascii="Times New Roman" w:hAnsi="Times New Roman" w:eastAsia="方正楷体_GBK" w:cs="Times New Roman"/>
          <w:spacing w:val="8"/>
          <w:kern w:val="0"/>
          <w:sz w:val="32"/>
          <w:szCs w:val="32"/>
          <w:lang w:val="en-US" w:eastAsia="zh-CN" w:bidi="ar-SA"/>
        </w:rPr>
        <w:t> </w:t>
      </w:r>
      <w:r>
        <w:rPr>
          <w:rFonts w:hint="eastAsia" w:ascii="Times New Roman" w:hAnsi="Times New Roman" w:eastAsia="方正楷体_GBK" w:cs="Times New Roman"/>
          <w:spacing w:val="8"/>
          <w:kern w:val="0"/>
          <w:sz w:val="32"/>
          <w:szCs w:val="32"/>
          <w:lang w:val="en-US" w:eastAsia="zh-CN" w:bidi="ar-SA"/>
        </w:rPr>
        <w:t>（二）机关运行经费情况说明。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7"/>
          <w:szCs w:val="27"/>
          <w:shd w:val="clear" w:fill="FFFFFF"/>
        </w:rPr>
        <w:t>   </w:t>
      </w:r>
      <w:r>
        <w:rPr>
          <w:rFonts w:hint="eastAsia" w:ascii="方正仿宋_GBK" w:hAnsi="方正仿宋_GBK" w:eastAsia="方正仿宋_GBK" w:cs="方正仿宋_GBK"/>
          <w:kern w:val="0"/>
          <w:sz w:val="32"/>
          <w:szCs w:val="32"/>
          <w:lang w:val="en-US" w:eastAsia="zh-CN" w:bidi="ar-SA"/>
        </w:rPr>
        <w:t>按照部门决算列报口径，我单位不在机关运行经费统计范围之内。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Times New Roman" w:hAnsi="Times New Roman" w:eastAsia="方正楷体_GBK" w:cs="Times New Roman"/>
          <w:spacing w:val="8"/>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default" w:ascii="Times New Roman" w:hAnsi="Times New Roman" w:eastAsia="方正楷体_GBK" w:cs="Times New Roman"/>
          <w:spacing w:val="8"/>
          <w:kern w:val="0"/>
          <w:sz w:val="32"/>
          <w:szCs w:val="32"/>
          <w:lang w:val="en-US" w:eastAsia="zh-CN" w:bidi="ar-SA"/>
        </w:rPr>
        <w:t> </w:t>
      </w:r>
      <w:r>
        <w:rPr>
          <w:rFonts w:hint="eastAsia" w:ascii="Times New Roman" w:hAnsi="Times New Roman" w:eastAsia="方正楷体_GBK" w:cs="Times New Roman"/>
          <w:spacing w:val="8"/>
          <w:kern w:val="0"/>
          <w:sz w:val="32"/>
          <w:szCs w:val="32"/>
          <w:lang w:val="en-US" w:eastAsia="zh-CN" w:bidi="ar-SA"/>
        </w:rPr>
        <w:t>（三）国有资产占用情况说明。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7"/>
          <w:szCs w:val="27"/>
          <w:shd w:val="clear" w:fill="FFFFFF"/>
        </w:rPr>
        <w:t>   </w:t>
      </w:r>
      <w:r>
        <w:rPr>
          <w:rFonts w:hint="eastAsia" w:ascii="方正仿宋_GBK" w:hAnsi="方正仿宋_GBK" w:eastAsia="方正仿宋_GBK" w:cs="方正仿宋_GBK"/>
          <w:kern w:val="0"/>
          <w:sz w:val="32"/>
          <w:szCs w:val="32"/>
          <w:lang w:val="en-US" w:eastAsia="zh-CN" w:bidi="ar-SA"/>
        </w:rPr>
        <w:t>截至2022年12月31日，本部门共有车辆1辆，其中，副部（省）级及以上领导用车0辆、主要领导干部用车0辆、机要通信用车0辆、应急保障用车1辆、执法执勤用车0辆，特种专业技术用车0辆，离退休干部用车0辆，其他用车0辆。单价50万元（含）以上通用设备0台（套），单价100万元（含）以上专用设备0台（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Times New Roman" w:hAnsi="Times New Roman" w:eastAsia="方正楷体_GBK" w:cs="Times New Roman"/>
          <w:spacing w:val="8"/>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eastAsia" w:ascii="Times New Roman" w:hAnsi="Times New Roman" w:eastAsia="方正楷体_GBK" w:cs="Times New Roman"/>
          <w:spacing w:val="8"/>
          <w:kern w:val="0"/>
          <w:sz w:val="32"/>
          <w:szCs w:val="32"/>
          <w:lang w:val="en-US" w:eastAsia="zh-CN" w:bidi="ar-SA"/>
        </w:rPr>
        <w:t>（四）政府采购支出情况说明。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Fonts w:hint="eastAsia" w:ascii="宋体" w:hAnsi="宋体" w:eastAsia="宋体" w:cs="宋体"/>
          <w:i w:val="0"/>
          <w:iCs w:val="0"/>
          <w:caps w:val="0"/>
          <w:color w:val="333333"/>
          <w:spacing w:val="0"/>
          <w:sz w:val="27"/>
          <w:szCs w:val="27"/>
          <w:shd w:val="clear" w:fill="FFFFFF"/>
        </w:rPr>
        <w:t>  </w:t>
      </w:r>
      <w:r>
        <w:rPr>
          <w:rFonts w:hint="eastAsia" w:ascii="方正仿宋_GBK" w:hAnsi="方正仿宋_GBK" w:eastAsia="方正仿宋_GBK" w:cs="方正仿宋_GBK"/>
          <w:kern w:val="0"/>
          <w:sz w:val="32"/>
          <w:szCs w:val="32"/>
          <w:lang w:val="en-US" w:eastAsia="zh-CN" w:bidi="ar-SA"/>
        </w:rPr>
        <w:t>2022年度我单位未发生政府采购事项，无相关经费支出。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Times New Roman" w:hAnsi="Times New Roman" w:eastAsia="方正黑体简体" w:cs="Times New Roman"/>
          <w:spacing w:val="8"/>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eastAsia" w:ascii="Times New Roman" w:hAnsi="Times New Roman" w:eastAsia="方正黑体简体" w:cs="Times New Roman"/>
          <w:spacing w:val="8"/>
          <w:kern w:val="0"/>
          <w:sz w:val="32"/>
          <w:szCs w:val="32"/>
          <w:lang w:val="en-US" w:eastAsia="zh-CN" w:bidi="ar-SA"/>
        </w:rPr>
        <w:t>五、预算绩效管理情况说明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Times New Roman" w:hAnsi="Times New Roman" w:eastAsia="方正楷体_GBK" w:cs="Times New Roman"/>
          <w:spacing w:val="8"/>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default" w:ascii="Times New Roman" w:hAnsi="Times New Roman" w:eastAsia="方正楷体_GBK" w:cs="Times New Roman"/>
          <w:spacing w:val="8"/>
          <w:kern w:val="0"/>
          <w:sz w:val="32"/>
          <w:szCs w:val="32"/>
          <w:lang w:val="en-US" w:eastAsia="zh-CN" w:bidi="ar-SA"/>
        </w:rPr>
        <w:t> </w:t>
      </w:r>
      <w:r>
        <w:rPr>
          <w:rFonts w:hint="eastAsia" w:ascii="Times New Roman" w:hAnsi="Times New Roman" w:eastAsia="方正楷体_GBK" w:cs="Times New Roman"/>
          <w:spacing w:val="8"/>
          <w:kern w:val="0"/>
          <w:sz w:val="32"/>
          <w:szCs w:val="32"/>
          <w:lang w:val="en-US" w:eastAsia="zh-CN" w:bidi="ar-SA"/>
        </w:rPr>
        <w:t>（一）预算绩效管理工作开展情况。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540"/>
        <w:rPr>
          <w:rFonts w:hint="default"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根据预算绩效管理要求，本单位对部门整体绩效和三个项目绩效开展了自评，涉及资金114.25万元。从评价情况来看，项目立项较为规范，绩效目标明确，预算编制合理，管理科学规范，资金到位及时，总体完成情况较好，有力保障交易平台的正常运行，项目基本达到了预期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Times New Roman" w:hAnsi="Times New Roman" w:eastAsia="方正楷体_GBK" w:cs="Times New Roman"/>
          <w:spacing w:val="8"/>
          <w:kern w:val="0"/>
          <w:sz w:val="32"/>
          <w:szCs w:val="32"/>
          <w:lang w:val="en-US" w:eastAsia="zh-CN" w:bidi="ar-SA"/>
        </w:rPr>
      </w:pPr>
      <w:r>
        <w:rPr>
          <w:rFonts w:hint="default" w:ascii="Times New Roman" w:hAnsi="Times New Roman" w:eastAsia="方正楷体_GBK" w:cs="Times New Roman"/>
          <w:spacing w:val="8"/>
          <w:kern w:val="0"/>
          <w:sz w:val="32"/>
          <w:szCs w:val="32"/>
          <w:lang w:val="en-US" w:eastAsia="zh-CN" w:bidi="ar-SA"/>
        </w:rPr>
        <w:t>  </w:t>
      </w:r>
      <w:r>
        <w:rPr>
          <w:rFonts w:hint="eastAsia" w:ascii="Times New Roman" w:hAnsi="Times New Roman" w:eastAsia="方正楷体_GBK" w:cs="Times New Roman"/>
          <w:spacing w:val="8"/>
          <w:kern w:val="0"/>
          <w:sz w:val="32"/>
          <w:szCs w:val="32"/>
          <w:lang w:val="en-US" w:eastAsia="zh-CN" w:bidi="ar-SA"/>
        </w:rPr>
        <w:t>（二）绩效自评结果。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540"/>
        <w:rPr>
          <w:rFonts w:hint="eastAsia" w:ascii="方正仿宋_GBK" w:hAnsi="方正仿宋_GBK" w:eastAsia="方正仿宋_GBK" w:cs="方正仿宋_GBK"/>
          <w:kern w:val="0"/>
          <w:sz w:val="32"/>
          <w:szCs w:val="32"/>
          <w:lang w:val="en-US" w:eastAsia="zh-CN" w:bidi="ar-SA"/>
        </w:rPr>
      </w:pPr>
      <w:r>
        <w:rPr>
          <w:rFonts w:hint="default" w:ascii="方正仿宋_GBK" w:hAnsi="方正仿宋_GBK" w:eastAsia="方正仿宋_GBK" w:cs="方正仿宋_GBK"/>
          <w:kern w:val="0"/>
          <w:sz w:val="32"/>
          <w:szCs w:val="32"/>
          <w:lang w:val="en-US" w:eastAsia="zh-CN" w:bidi="ar-SA"/>
        </w:rPr>
        <w:t>  1.</w:t>
      </w:r>
      <w:r>
        <w:rPr>
          <w:rFonts w:hint="eastAsia" w:ascii="方正仿宋_GBK" w:hAnsi="方正仿宋_GBK" w:eastAsia="方正仿宋_GBK" w:cs="方正仿宋_GBK"/>
          <w:kern w:val="0"/>
          <w:sz w:val="32"/>
          <w:szCs w:val="32"/>
          <w:lang w:val="en-US" w:eastAsia="zh-CN" w:bidi="ar-SA"/>
        </w:rPr>
        <w:t>绩效自评表</w:t>
      </w:r>
    </w:p>
    <w:tbl>
      <w:tblPr>
        <w:tblStyle w:val="3"/>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2"/>
        <w:gridCol w:w="299"/>
        <w:gridCol w:w="465"/>
        <w:gridCol w:w="572"/>
        <w:gridCol w:w="99"/>
        <w:gridCol w:w="237"/>
        <w:gridCol w:w="124"/>
        <w:gridCol w:w="162"/>
        <w:gridCol w:w="703"/>
        <w:gridCol w:w="63"/>
        <w:gridCol w:w="262"/>
        <w:gridCol w:w="370"/>
        <w:gridCol w:w="649"/>
        <w:gridCol w:w="18"/>
        <w:gridCol w:w="262"/>
        <w:gridCol w:w="298"/>
        <w:gridCol w:w="171"/>
        <w:gridCol w:w="174"/>
        <w:gridCol w:w="286"/>
        <w:gridCol w:w="72"/>
        <w:gridCol w:w="244"/>
        <w:gridCol w:w="135"/>
        <w:gridCol w:w="577"/>
        <w:gridCol w:w="99"/>
        <w:gridCol w:w="1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000" w:type="pct"/>
            <w:gridSpan w:val="25"/>
            <w:tcBorders>
              <w:top w:val="nil"/>
              <w:left w:val="nil"/>
              <w:bottom w:val="single" w:color="000000" w:sz="4" w:space="0"/>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微软雅黑" w:hAnsi="微软雅黑" w:eastAsia="微软雅黑" w:cs="微软雅黑"/>
                <w:b/>
                <w:bCs/>
                <w:i w:val="0"/>
                <w:iCs w:val="0"/>
                <w:color w:val="000000"/>
                <w:sz w:val="40"/>
                <w:szCs w:val="40"/>
                <w:u w:val="none"/>
              </w:rPr>
            </w:pPr>
            <w:r>
              <w:rPr>
                <w:rFonts w:hint="default" w:ascii="微软雅黑" w:hAnsi="微软雅黑" w:eastAsia="微软雅黑" w:cs="微软雅黑"/>
                <w:b/>
                <w:bCs/>
                <w:i w:val="0"/>
                <w:iCs w:val="0"/>
                <w:color w:val="000000"/>
                <w:kern w:val="0"/>
                <w:sz w:val="40"/>
                <w:szCs w:val="40"/>
                <w:u w:val="none"/>
                <w:lang w:val="en-US" w:eastAsia="zh-CN" w:bidi="ar"/>
              </w:rPr>
              <w:t>2022年度部门整体绩效自评表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000" w:type="pct"/>
            <w:gridSpan w:val="2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Chars="100"/>
              <w:jc w:val="right"/>
              <w:textAlignment w:val="center"/>
              <w:rPr>
                <w:rFonts w:hint="eastAsia" w:ascii="宋体" w:hAnsi="宋体" w:eastAsia="宋体" w:cs="宋体"/>
                <w:b/>
                <w:bCs/>
                <w:i w:val="0"/>
                <w:iCs w:val="0"/>
                <w:color w:val="DA323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81"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丰都县公共资源交易中心整体自评</w:t>
            </w:r>
          </w:p>
        </w:tc>
        <w:tc>
          <w:tcPr>
            <w:tcW w:w="580"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项目编码：</w:t>
            </w:r>
          </w:p>
        </w:tc>
        <w:tc>
          <w:tcPr>
            <w:tcW w:w="788"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50023000022P000060</w:t>
            </w:r>
          </w:p>
        </w:tc>
        <w:tc>
          <w:tcPr>
            <w:tcW w:w="541"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自评总分：</w:t>
            </w:r>
          </w:p>
        </w:tc>
        <w:tc>
          <w:tcPr>
            <w:tcW w:w="3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475"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22"/>
                <w:szCs w:val="22"/>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项目主管部门：</w:t>
            </w:r>
          </w:p>
        </w:tc>
        <w:tc>
          <w:tcPr>
            <w:tcW w:w="981"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602-丰都县公共资源交易中心</w:t>
            </w:r>
          </w:p>
        </w:tc>
        <w:tc>
          <w:tcPr>
            <w:tcW w:w="580"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财政归口处室：</w:t>
            </w:r>
          </w:p>
        </w:tc>
        <w:tc>
          <w:tcPr>
            <w:tcW w:w="788"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006-经建科</w:t>
            </w:r>
          </w:p>
        </w:tc>
        <w:tc>
          <w:tcPr>
            <w:tcW w:w="541"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部门联系人：</w:t>
            </w:r>
          </w:p>
        </w:tc>
        <w:tc>
          <w:tcPr>
            <w:tcW w:w="3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鲁竹卿</w:t>
            </w:r>
          </w:p>
        </w:tc>
        <w:tc>
          <w:tcPr>
            <w:tcW w:w="475"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联系电话：</w:t>
            </w:r>
          </w:p>
        </w:tc>
        <w:tc>
          <w:tcPr>
            <w:tcW w:w="5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18996759955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000" w:type="pct"/>
            <w:gridSpan w:val="2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微软雅黑" w:hAnsi="微软雅黑" w:eastAsia="微软雅黑" w:cs="微软雅黑"/>
                <w:b/>
                <w:bCs/>
                <w:i w:val="0"/>
                <w:iCs w:val="0"/>
                <w:color w:val="808080"/>
                <w:sz w:val="28"/>
                <w:szCs w:val="28"/>
                <w:u w:val="none"/>
              </w:rPr>
            </w:pPr>
            <w:r>
              <w:rPr>
                <w:rFonts w:hint="default" w:ascii="微软雅黑" w:hAnsi="微软雅黑" w:eastAsia="微软雅黑" w:cs="微软雅黑"/>
                <w:b/>
                <w:bCs/>
                <w:i w:val="0"/>
                <w:iCs w:val="0"/>
                <w:color w:val="808080"/>
                <w:kern w:val="0"/>
                <w:sz w:val="28"/>
                <w:szCs w:val="28"/>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c>
          <w:tcPr>
            <w:tcW w:w="666"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年初预算数</w:t>
            </w:r>
          </w:p>
        </w:tc>
        <w:tc>
          <w:tcPr>
            <w:tcW w:w="910"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全年（调整）预算数</w:t>
            </w:r>
          </w:p>
        </w:tc>
        <w:tc>
          <w:tcPr>
            <w:tcW w:w="76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全年执行数</w:t>
            </w:r>
          </w:p>
        </w:tc>
        <w:tc>
          <w:tcPr>
            <w:tcW w:w="587"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执行率</w:t>
            </w:r>
          </w:p>
        </w:tc>
        <w:tc>
          <w:tcPr>
            <w:tcW w:w="619"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执行率权重</w:t>
            </w:r>
          </w:p>
        </w:tc>
        <w:tc>
          <w:tcPr>
            <w:tcW w:w="5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年度总金额</w:t>
            </w:r>
          </w:p>
        </w:tc>
        <w:tc>
          <w:tcPr>
            <w:tcW w:w="666"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2,328,828.92 </w:t>
            </w:r>
          </w:p>
        </w:tc>
        <w:tc>
          <w:tcPr>
            <w:tcW w:w="910"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3,783,281.46 </w:t>
            </w:r>
          </w:p>
        </w:tc>
        <w:tc>
          <w:tcPr>
            <w:tcW w:w="76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3,783,281.46 </w:t>
            </w:r>
          </w:p>
        </w:tc>
        <w:tc>
          <w:tcPr>
            <w:tcW w:w="587"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right"/>
              <w:rPr>
                <w:rFonts w:hint="eastAsia" w:ascii="宋体" w:hAnsi="宋体" w:eastAsia="宋体" w:cs="宋体"/>
                <w:i w:val="0"/>
                <w:iCs w:val="0"/>
                <w:color w:val="000000"/>
                <w:sz w:val="22"/>
                <w:szCs w:val="22"/>
                <w:u w:val="none"/>
              </w:rPr>
            </w:pPr>
          </w:p>
        </w:tc>
        <w:tc>
          <w:tcPr>
            <w:tcW w:w="619"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right"/>
              <w:rPr>
                <w:rFonts w:hint="eastAsia" w:ascii="宋体" w:hAnsi="宋体" w:eastAsia="宋体" w:cs="宋体"/>
                <w:i w:val="0"/>
                <w:iCs w:val="0"/>
                <w:color w:val="000000"/>
                <w:sz w:val="22"/>
                <w:szCs w:val="22"/>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666"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2,328,828.92 </w:t>
            </w:r>
          </w:p>
        </w:tc>
        <w:tc>
          <w:tcPr>
            <w:tcW w:w="910"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3,783,281.46 </w:t>
            </w:r>
          </w:p>
        </w:tc>
        <w:tc>
          <w:tcPr>
            <w:tcW w:w="76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3,783,281.46 </w:t>
            </w:r>
          </w:p>
        </w:tc>
        <w:tc>
          <w:tcPr>
            <w:tcW w:w="587"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19"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5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000" w:type="pct"/>
            <w:gridSpan w:val="2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微软雅黑" w:hAnsi="微软雅黑" w:eastAsia="微软雅黑" w:cs="微软雅黑"/>
                <w:b/>
                <w:bCs/>
                <w:i w:val="0"/>
                <w:iCs w:val="0"/>
                <w:color w:val="808080"/>
                <w:sz w:val="28"/>
                <w:szCs w:val="28"/>
                <w:u w:val="none"/>
              </w:rPr>
            </w:pPr>
            <w:r>
              <w:rPr>
                <w:rFonts w:hint="default" w:ascii="微软雅黑" w:hAnsi="微软雅黑" w:eastAsia="微软雅黑" w:cs="微软雅黑"/>
                <w:b/>
                <w:bCs/>
                <w:i w:val="0"/>
                <w:iCs w:val="0"/>
                <w:color w:val="808080"/>
                <w:kern w:val="0"/>
                <w:sz w:val="28"/>
                <w:szCs w:val="2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735" w:type="pct"/>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年初绩效目标</w:t>
            </w:r>
          </w:p>
        </w:tc>
        <w:tc>
          <w:tcPr>
            <w:tcW w:w="1635" w:type="pct"/>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全年（调整）绩效目标</w:t>
            </w:r>
          </w:p>
        </w:tc>
        <w:tc>
          <w:tcPr>
            <w:tcW w:w="1628" w:type="pct"/>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735" w:type="pct"/>
            <w:gridSpan w:val="7"/>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平台运行费：电子招投标及业务工作培训、网络安全保障经费、软件正版化、电子招投标系统维护费及驻场人员经费、大数据上云费用及网络营运商费用电信、移动各两条专线，保障中路网络安全及运营。政府采购全流程电子化建设费用。二、专家评审及验收费：根据丰都财政发[2017]42号文件规定，严格按照规定执行专家评审及食宿费用支出，规范政府采购评审专家费用管理，确保政府采购项目正常运行，最大限度节约财政性资金。;</w:t>
            </w:r>
          </w:p>
        </w:tc>
        <w:tc>
          <w:tcPr>
            <w:tcW w:w="1635" w:type="pct"/>
            <w:gridSpan w:val="9"/>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平台运行费：电子招投标及业务工作培训、网络安全保障经费、软件正版化、电子招投标系统维护费及驻场人员经费、大数据上云费用及网络营运商费用电信、移动各两条专线，保障中路网络安全及运营。政府采购全流程电子化建设费用。二、专家评审及验收费：根据丰都财政发[2017]42号文件规定，严格按照规定执行专家评审及食宿费用支出，规范政府采购评审专家费用管理，确保政府采购项目正常运行，最大限度节约财政性资金。;</w:t>
            </w:r>
          </w:p>
        </w:tc>
        <w:tc>
          <w:tcPr>
            <w:tcW w:w="1628" w:type="pct"/>
            <w:gridSpan w:val="9"/>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平台运行费：电子招投标及业务工作培训、网络安全保障经费、软件正版化、电子招投标系统维护费及驻场人员经费、大数据上云费用及网络营运商费用电信、移动各两条专线，保障中路网络安全及运营。政府采购全流程电子化建设费用。二、专家评审及验收费：根据丰都财政发[2017]42号文件规定，严格按照规定执行专家评审及食宿费用支出，规范政府采购评审专家费用管理，确保政府采购项目正常运行，最大限度节约财政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000" w:type="pct"/>
            <w:gridSpan w:val="2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微软雅黑" w:hAnsi="微软雅黑" w:eastAsia="微软雅黑" w:cs="微软雅黑"/>
                <w:b/>
                <w:bCs/>
                <w:i w:val="0"/>
                <w:iCs w:val="0"/>
                <w:color w:val="808080"/>
                <w:sz w:val="28"/>
                <w:szCs w:val="28"/>
                <w:u w:val="none"/>
              </w:rPr>
            </w:pPr>
            <w:r>
              <w:rPr>
                <w:rFonts w:hint="default" w:ascii="微软雅黑" w:hAnsi="微软雅黑" w:eastAsia="微软雅黑" w:cs="微软雅黑"/>
                <w:b/>
                <w:bCs/>
                <w:i w:val="0"/>
                <w:iCs w:val="0"/>
                <w:color w:val="808080"/>
                <w:kern w:val="0"/>
                <w:sz w:val="28"/>
                <w:szCs w:val="28"/>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130"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指标名称</w:t>
            </w:r>
          </w:p>
        </w:tc>
        <w:tc>
          <w:tcPr>
            <w:tcW w:w="3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计量</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36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指标</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性质</w:t>
            </w:r>
          </w:p>
        </w:tc>
        <w:tc>
          <w:tcPr>
            <w:tcW w:w="44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指标值</w:t>
            </w:r>
          </w:p>
        </w:tc>
        <w:tc>
          <w:tcPr>
            <w:tcW w:w="37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全年</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完成值</w:t>
            </w:r>
          </w:p>
        </w:tc>
        <w:tc>
          <w:tcPr>
            <w:tcW w:w="39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偏离度（%）</w:t>
            </w:r>
          </w:p>
        </w:tc>
        <w:tc>
          <w:tcPr>
            <w:tcW w:w="428"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得分系数（%）</w:t>
            </w:r>
          </w:p>
        </w:tc>
        <w:tc>
          <w:tcPr>
            <w:tcW w:w="26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指标权重</w:t>
            </w:r>
          </w:p>
        </w:tc>
        <w:tc>
          <w:tcPr>
            <w:tcW w:w="2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指标得分</w:t>
            </w:r>
          </w:p>
        </w:tc>
        <w:tc>
          <w:tcPr>
            <w:tcW w:w="3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是否核心指标</w:t>
            </w:r>
          </w:p>
        </w:tc>
        <w:tc>
          <w:tcPr>
            <w:tcW w:w="6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说明</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130"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参与评标项目</w:t>
            </w:r>
          </w:p>
        </w:tc>
        <w:tc>
          <w:tcPr>
            <w:tcW w:w="3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6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4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7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9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28"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6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6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130"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购买电子招投标系统运行维护</w:t>
            </w:r>
          </w:p>
        </w:tc>
        <w:tc>
          <w:tcPr>
            <w:tcW w:w="3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36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4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7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9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28"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6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6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130"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建设网络营运商专线</w:t>
            </w:r>
          </w:p>
        </w:tc>
        <w:tc>
          <w:tcPr>
            <w:tcW w:w="3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36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4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7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9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28"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6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6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130"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聘请评审专家</w:t>
            </w:r>
          </w:p>
        </w:tc>
        <w:tc>
          <w:tcPr>
            <w:tcW w:w="3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人/年</w:t>
            </w:r>
          </w:p>
        </w:tc>
        <w:tc>
          <w:tcPr>
            <w:tcW w:w="36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4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37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39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28"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6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6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130"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市场主体对象培训次数</w:t>
            </w:r>
          </w:p>
        </w:tc>
        <w:tc>
          <w:tcPr>
            <w:tcW w:w="3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场次</w:t>
            </w:r>
          </w:p>
        </w:tc>
        <w:tc>
          <w:tcPr>
            <w:tcW w:w="36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4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7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9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28"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6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6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130"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项目验收合格率</w:t>
            </w:r>
          </w:p>
        </w:tc>
        <w:tc>
          <w:tcPr>
            <w:tcW w:w="3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6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4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7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9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28"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6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6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130"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平台维护按计划完成率</w:t>
            </w:r>
          </w:p>
        </w:tc>
        <w:tc>
          <w:tcPr>
            <w:tcW w:w="3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6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4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7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9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28"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6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6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130"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项目总投入</w:t>
            </w:r>
          </w:p>
        </w:tc>
        <w:tc>
          <w:tcPr>
            <w:tcW w:w="3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36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4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132.76</w:t>
            </w:r>
          </w:p>
        </w:tc>
        <w:tc>
          <w:tcPr>
            <w:tcW w:w="37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132.76</w:t>
            </w:r>
          </w:p>
        </w:tc>
        <w:tc>
          <w:tcPr>
            <w:tcW w:w="39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28"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6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6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130"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保障交易平台运行性能</w:t>
            </w:r>
          </w:p>
        </w:tc>
        <w:tc>
          <w:tcPr>
            <w:tcW w:w="3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36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44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w:t>
            </w:r>
          </w:p>
        </w:tc>
        <w:tc>
          <w:tcPr>
            <w:tcW w:w="37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9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28"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6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6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130"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间接或直接提升交易效率</w:t>
            </w:r>
          </w:p>
        </w:tc>
        <w:tc>
          <w:tcPr>
            <w:tcW w:w="3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36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44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w:t>
            </w:r>
          </w:p>
        </w:tc>
        <w:tc>
          <w:tcPr>
            <w:tcW w:w="37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9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28"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6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6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130"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受益对象满意度</w:t>
            </w:r>
          </w:p>
        </w:tc>
        <w:tc>
          <w:tcPr>
            <w:tcW w:w="3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36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44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w:t>
            </w:r>
          </w:p>
        </w:tc>
        <w:tc>
          <w:tcPr>
            <w:tcW w:w="37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9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28"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6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6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bl>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540"/>
        <w:rPr>
          <w:rFonts w:hint="eastAsia" w:ascii="方正仿宋_GBK" w:hAnsi="方正仿宋_GBK" w:eastAsia="方正仿宋_GBK" w:cs="方正仿宋_GBK"/>
          <w:kern w:val="0"/>
          <w:sz w:val="32"/>
          <w:szCs w:val="32"/>
          <w:lang w:val="en-US" w:eastAsia="zh-CN" w:bidi="ar-SA"/>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3"/>
        <w:gridCol w:w="91"/>
        <w:gridCol w:w="699"/>
        <w:gridCol w:w="374"/>
        <w:gridCol w:w="323"/>
        <w:gridCol w:w="795"/>
        <w:gridCol w:w="253"/>
        <w:gridCol w:w="348"/>
        <w:gridCol w:w="682"/>
        <w:gridCol w:w="161"/>
        <w:gridCol w:w="615"/>
        <w:gridCol w:w="440"/>
        <w:gridCol w:w="71"/>
        <w:gridCol w:w="508"/>
        <w:gridCol w:w="97"/>
        <w:gridCol w:w="599"/>
        <w:gridCol w:w="221"/>
        <w:gridCol w:w="381"/>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000" w:type="pct"/>
            <w:gridSpan w:val="19"/>
            <w:tcBorders>
              <w:top w:val="nil"/>
              <w:left w:val="nil"/>
              <w:bottom w:val="single" w:color="000000" w:sz="4" w:space="0"/>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微软雅黑" w:hAnsi="微软雅黑" w:eastAsia="微软雅黑" w:cs="微软雅黑"/>
                <w:b/>
                <w:bCs/>
                <w:i w:val="0"/>
                <w:iCs w:val="0"/>
                <w:color w:val="000000"/>
                <w:sz w:val="40"/>
                <w:szCs w:val="40"/>
                <w:u w:val="none"/>
              </w:rPr>
            </w:pPr>
            <w:r>
              <w:rPr>
                <w:rFonts w:hint="default" w:ascii="微软雅黑" w:hAnsi="微软雅黑" w:eastAsia="微软雅黑" w:cs="微软雅黑"/>
                <w:b/>
                <w:bCs/>
                <w:i w:val="0"/>
                <w:iCs w:val="0"/>
                <w:color w:val="000000"/>
                <w:kern w:val="0"/>
                <w:sz w:val="40"/>
                <w:szCs w:val="40"/>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000"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Chars="100"/>
              <w:jc w:val="right"/>
              <w:textAlignment w:val="center"/>
              <w:rPr>
                <w:rFonts w:hint="eastAsia" w:ascii="宋体" w:hAnsi="宋体" w:eastAsia="宋体" w:cs="宋体"/>
                <w:b/>
                <w:bCs/>
                <w:i w:val="0"/>
                <w:iCs w:val="0"/>
                <w:color w:val="DA323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87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交易中心平台运行费</w:t>
            </w:r>
          </w:p>
        </w:tc>
        <w:tc>
          <w:tcPr>
            <w:tcW w:w="61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项目编码：</w:t>
            </w:r>
          </w:p>
        </w:tc>
        <w:tc>
          <w:tcPr>
            <w:tcW w:w="698"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50023022T000002478892</w:t>
            </w:r>
          </w:p>
        </w:tc>
        <w:tc>
          <w:tcPr>
            <w:tcW w:w="61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自评总分：</w:t>
            </w:r>
          </w:p>
        </w:tc>
        <w:tc>
          <w:tcPr>
            <w:tcW w:w="396"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48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000000"/>
                <w:sz w:val="22"/>
                <w:szCs w:val="22"/>
                <w:u w:val="none"/>
              </w:rPr>
            </w:pPr>
          </w:p>
        </w:tc>
        <w:tc>
          <w:tcPr>
            <w:tcW w:w="6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项目主管部门：</w:t>
            </w:r>
          </w:p>
        </w:tc>
        <w:tc>
          <w:tcPr>
            <w:tcW w:w="87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602-丰都县公共资源交易中心</w:t>
            </w:r>
          </w:p>
        </w:tc>
        <w:tc>
          <w:tcPr>
            <w:tcW w:w="61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财政归口处室：</w:t>
            </w:r>
          </w:p>
        </w:tc>
        <w:tc>
          <w:tcPr>
            <w:tcW w:w="698"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006-经建科</w:t>
            </w:r>
          </w:p>
        </w:tc>
        <w:tc>
          <w:tcPr>
            <w:tcW w:w="61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部门联系人：</w:t>
            </w:r>
          </w:p>
        </w:tc>
        <w:tc>
          <w:tcPr>
            <w:tcW w:w="396"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鲁竹卿</w:t>
            </w:r>
          </w:p>
        </w:tc>
        <w:tc>
          <w:tcPr>
            <w:tcW w:w="48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联系电话：</w:t>
            </w:r>
          </w:p>
        </w:tc>
        <w:tc>
          <w:tcPr>
            <w:tcW w:w="6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Chars="10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18996759955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000"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微软雅黑" w:hAnsi="微软雅黑" w:eastAsia="微软雅黑" w:cs="微软雅黑"/>
                <w:b/>
                <w:bCs/>
                <w:i w:val="0"/>
                <w:iCs w:val="0"/>
                <w:color w:val="808080"/>
                <w:sz w:val="28"/>
                <w:szCs w:val="28"/>
                <w:u w:val="none"/>
              </w:rPr>
            </w:pPr>
            <w:r>
              <w:rPr>
                <w:rFonts w:hint="default" w:ascii="微软雅黑" w:hAnsi="微软雅黑" w:eastAsia="微软雅黑" w:cs="微软雅黑"/>
                <w:b/>
                <w:bCs/>
                <w:i w:val="0"/>
                <w:iCs w:val="0"/>
                <w:color w:val="808080"/>
                <w:kern w:val="0"/>
                <w:sz w:val="28"/>
                <w:szCs w:val="28"/>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c>
          <w:tcPr>
            <w:tcW w:w="87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年初预算数</w:t>
            </w:r>
          </w:p>
        </w:tc>
        <w:tc>
          <w:tcPr>
            <w:tcW w:w="1219"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全年（调整）预算数</w:t>
            </w:r>
          </w:p>
        </w:tc>
        <w:tc>
          <w:tcPr>
            <w:tcW w:w="755"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全年执行数</w:t>
            </w:r>
          </w:p>
        </w:tc>
        <w:tc>
          <w:tcPr>
            <w:tcW w:w="706"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执行率</w:t>
            </w:r>
          </w:p>
        </w:tc>
        <w:tc>
          <w:tcPr>
            <w:tcW w:w="35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执行率权重</w:t>
            </w:r>
          </w:p>
        </w:tc>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Chars="10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年度总金额</w:t>
            </w:r>
          </w:p>
        </w:tc>
        <w:tc>
          <w:tcPr>
            <w:tcW w:w="87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219"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100,000.00 </w:t>
            </w:r>
          </w:p>
        </w:tc>
        <w:tc>
          <w:tcPr>
            <w:tcW w:w="755"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100,000.00 </w:t>
            </w:r>
          </w:p>
        </w:tc>
        <w:tc>
          <w:tcPr>
            <w:tcW w:w="706"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right"/>
              <w:rPr>
                <w:rFonts w:hint="eastAsia" w:ascii="宋体" w:hAnsi="宋体" w:eastAsia="宋体" w:cs="宋体"/>
                <w:i w:val="0"/>
                <w:iCs w:val="0"/>
                <w:color w:val="000000"/>
                <w:sz w:val="22"/>
                <w:szCs w:val="22"/>
                <w:u w:val="none"/>
              </w:rPr>
            </w:pPr>
          </w:p>
        </w:tc>
        <w:tc>
          <w:tcPr>
            <w:tcW w:w="35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right"/>
              <w:rPr>
                <w:rFonts w:hint="eastAsia" w:ascii="宋体" w:hAnsi="宋体" w:eastAsia="宋体" w:cs="宋体"/>
                <w:i w:val="0"/>
                <w:iCs w:val="0"/>
                <w:color w:val="000000"/>
                <w:sz w:val="22"/>
                <w:szCs w:val="22"/>
                <w:u w:val="none"/>
              </w:rPr>
            </w:pPr>
          </w:p>
        </w:tc>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Chars="10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87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219"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100,000.00 </w:t>
            </w:r>
          </w:p>
        </w:tc>
        <w:tc>
          <w:tcPr>
            <w:tcW w:w="755"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100,000.00 </w:t>
            </w:r>
          </w:p>
        </w:tc>
        <w:tc>
          <w:tcPr>
            <w:tcW w:w="706"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5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000"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微软雅黑" w:hAnsi="微软雅黑" w:eastAsia="微软雅黑" w:cs="微软雅黑"/>
                <w:b/>
                <w:bCs/>
                <w:i w:val="0"/>
                <w:iCs w:val="0"/>
                <w:color w:val="808080"/>
                <w:sz w:val="28"/>
                <w:szCs w:val="28"/>
                <w:u w:val="none"/>
              </w:rPr>
            </w:pPr>
            <w:r>
              <w:rPr>
                <w:rFonts w:hint="default" w:ascii="微软雅黑" w:hAnsi="微软雅黑" w:eastAsia="微软雅黑" w:cs="微软雅黑"/>
                <w:b/>
                <w:bCs/>
                <w:i w:val="0"/>
                <w:iCs w:val="0"/>
                <w:color w:val="808080"/>
                <w:kern w:val="0"/>
                <w:sz w:val="28"/>
                <w:szCs w:val="2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365"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年初绩效目标</w:t>
            </w:r>
          </w:p>
        </w:tc>
        <w:tc>
          <w:tcPr>
            <w:tcW w:w="2163" w:type="pct"/>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全年（调整）绩效目标</w:t>
            </w:r>
          </w:p>
        </w:tc>
        <w:tc>
          <w:tcPr>
            <w:tcW w:w="1470"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365" w:type="pct"/>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2"/>
                <w:szCs w:val="22"/>
                <w:u w:val="none"/>
              </w:rPr>
            </w:pPr>
          </w:p>
        </w:tc>
        <w:tc>
          <w:tcPr>
            <w:tcW w:w="2163" w:type="pct"/>
            <w:gridSpan w:val="9"/>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共资源交易中心平台运行的常规性支出涉及网络运营、电子招投标系统运行维护费及驻场人员费用，市场主体对象培训费、政府采购全流程电子化建设费用等。建设网络运营商专线4条，市场主体对象培训4次。</w:t>
            </w:r>
          </w:p>
        </w:tc>
        <w:tc>
          <w:tcPr>
            <w:tcW w:w="1470" w:type="pct"/>
            <w:gridSpan w:val="6"/>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2022年交易中心平台运行的常规性支出包括网络运营、电子招投标系统运行维护及驻场人员费用等均已按年初计划完成。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000"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微软雅黑" w:hAnsi="微软雅黑" w:eastAsia="微软雅黑" w:cs="微软雅黑"/>
                <w:b/>
                <w:bCs/>
                <w:i w:val="0"/>
                <w:iCs w:val="0"/>
                <w:color w:val="808080"/>
                <w:sz w:val="28"/>
                <w:szCs w:val="28"/>
                <w:u w:val="none"/>
              </w:rPr>
            </w:pPr>
            <w:r>
              <w:rPr>
                <w:rFonts w:hint="default" w:ascii="微软雅黑" w:hAnsi="微软雅黑" w:eastAsia="微软雅黑" w:cs="微软雅黑"/>
                <w:b/>
                <w:bCs/>
                <w:i w:val="0"/>
                <w:iCs w:val="0"/>
                <w:color w:val="808080"/>
                <w:kern w:val="0"/>
                <w:sz w:val="28"/>
                <w:szCs w:val="28"/>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指标名称</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计量单位</w:t>
            </w: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指标性质</w:t>
            </w:r>
          </w:p>
        </w:tc>
        <w:tc>
          <w:tcPr>
            <w:tcW w:w="4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指标值</w:t>
            </w:r>
          </w:p>
        </w:tc>
        <w:tc>
          <w:tcPr>
            <w:tcW w:w="3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全年完成值</w:t>
            </w:r>
          </w:p>
        </w:tc>
        <w:tc>
          <w:tcPr>
            <w:tcW w:w="4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偏离度（%）</w:t>
            </w:r>
          </w:p>
        </w:tc>
        <w:tc>
          <w:tcPr>
            <w:tcW w:w="4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得分系数（%）</w:t>
            </w:r>
          </w:p>
        </w:tc>
        <w:tc>
          <w:tcPr>
            <w:tcW w:w="29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指标权重</w:t>
            </w:r>
          </w:p>
        </w:tc>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指标得分</w:t>
            </w: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是否核心指标</w:t>
            </w:r>
          </w:p>
        </w:tc>
        <w:tc>
          <w:tcPr>
            <w:tcW w:w="7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说明</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购买电子招投标系统</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9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7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建设网络运营商专线</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9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7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市场主体对象培训次数</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场次</w:t>
            </w: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9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7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项目验收合格率</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9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7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平台维护按计划完成率</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3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4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9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7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项目总投入</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91.76</w:t>
            </w:r>
          </w:p>
        </w:tc>
        <w:tc>
          <w:tcPr>
            <w:tcW w:w="3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91.76</w:t>
            </w:r>
          </w:p>
        </w:tc>
        <w:tc>
          <w:tcPr>
            <w:tcW w:w="4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9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7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保障交易平台运行性能</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4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明显改善</w:t>
            </w:r>
          </w:p>
        </w:tc>
        <w:tc>
          <w:tcPr>
            <w:tcW w:w="3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9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7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间接或直接提升交易环境</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4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w:t>
            </w:r>
          </w:p>
        </w:tc>
        <w:tc>
          <w:tcPr>
            <w:tcW w:w="3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9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7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项目后期延续性</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4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w:t>
            </w:r>
          </w:p>
        </w:tc>
        <w:tc>
          <w:tcPr>
            <w:tcW w:w="3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9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7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bookmarkStart w:id="0" w:name="_GoBack" w:colFirst="10" w:colLast="10"/>
            <w:r>
              <w:rPr>
                <w:rFonts w:hint="eastAsia" w:ascii="宋体" w:hAnsi="宋体" w:eastAsia="宋体" w:cs="宋体"/>
                <w:i w:val="0"/>
                <w:iCs w:val="0"/>
                <w:color w:val="000000"/>
                <w:kern w:val="0"/>
                <w:sz w:val="22"/>
                <w:szCs w:val="22"/>
                <w:u w:val="none"/>
                <w:lang w:val="en-US" w:eastAsia="zh-CN" w:bidi="ar"/>
              </w:rPr>
              <w:t>受益对象满意度</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4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w:t>
            </w:r>
          </w:p>
        </w:tc>
        <w:tc>
          <w:tcPr>
            <w:tcW w:w="3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9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0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c>
          <w:tcPr>
            <w:tcW w:w="76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i w:val="0"/>
                <w:iCs w:val="0"/>
                <w:color w:val="000000"/>
                <w:sz w:val="22"/>
                <w:szCs w:val="22"/>
                <w:u w:val="none"/>
              </w:rPr>
            </w:pP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right="0"/>
        <w:rPr>
          <w:rFonts w:hint="eastAsia" w:ascii="方正仿宋_GBK" w:hAnsi="方正仿宋_GBK" w:eastAsia="方正仿宋_GBK" w:cs="方正仿宋_GBK"/>
          <w:kern w:val="0"/>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540"/>
        <w:rPr>
          <w:rFonts w:hint="eastAsia" w:ascii="方正仿宋_GBK" w:hAnsi="方正仿宋_GBK" w:eastAsia="方正仿宋_GBK" w:cs="方正仿宋_GBK"/>
          <w:kern w:val="0"/>
          <w:sz w:val="32"/>
          <w:szCs w:val="32"/>
          <w:lang w:val="en-US" w:eastAsia="zh-CN" w:bidi="ar-SA"/>
        </w:rPr>
      </w:pPr>
      <w:r>
        <w:rPr>
          <w:rFonts w:hint="default" w:ascii="方正仿宋_GBK" w:hAnsi="方正仿宋_GBK" w:eastAsia="方正仿宋_GBK" w:cs="方正仿宋_GBK"/>
          <w:kern w:val="0"/>
          <w:sz w:val="32"/>
          <w:szCs w:val="32"/>
          <w:lang w:val="en-US" w:eastAsia="zh-CN" w:bidi="ar-SA"/>
        </w:rPr>
        <w:t>2. </w:t>
      </w:r>
      <w:r>
        <w:rPr>
          <w:rFonts w:hint="eastAsia" w:ascii="方正仿宋_GBK" w:hAnsi="方正仿宋_GBK" w:eastAsia="方正仿宋_GBK" w:cs="方正仿宋_GBK"/>
          <w:kern w:val="0"/>
          <w:sz w:val="32"/>
          <w:szCs w:val="32"/>
          <w:lang w:val="en-US" w:eastAsia="zh-CN" w:bidi="ar-SA"/>
        </w:rPr>
        <w:t>绩效自评报告或案例。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54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我单位未委托第三方开展绩效自评 。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540"/>
        <w:rPr>
          <w:rFonts w:hint="eastAsia" w:ascii="方正仿宋_GBK" w:hAnsi="方正仿宋_GBK" w:eastAsia="方正仿宋_GBK" w:cs="方正仿宋_GBK"/>
          <w:kern w:val="0"/>
          <w:sz w:val="32"/>
          <w:szCs w:val="32"/>
          <w:lang w:val="en-US" w:eastAsia="zh-CN" w:bidi="ar-SA"/>
        </w:rPr>
      </w:pPr>
      <w:r>
        <w:rPr>
          <w:rFonts w:hint="default" w:ascii="方正仿宋_GBK" w:hAnsi="方正仿宋_GBK" w:eastAsia="方正仿宋_GBK" w:cs="方正仿宋_GBK"/>
          <w:kern w:val="0"/>
          <w:sz w:val="32"/>
          <w:szCs w:val="32"/>
          <w:lang w:val="en-US" w:eastAsia="zh-CN" w:bidi="ar-SA"/>
        </w:rPr>
        <w:t>3. </w:t>
      </w:r>
      <w:r>
        <w:rPr>
          <w:rFonts w:hint="eastAsia" w:ascii="方正仿宋_GBK" w:hAnsi="方正仿宋_GBK" w:eastAsia="方正仿宋_GBK" w:cs="方正仿宋_GBK"/>
          <w:kern w:val="0"/>
          <w:sz w:val="32"/>
          <w:szCs w:val="32"/>
          <w:lang w:val="en-US" w:eastAsia="zh-CN" w:bidi="ar-SA"/>
        </w:rPr>
        <w:t>关于绩效自评结果的说明。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540"/>
        <w:rPr>
          <w:rFonts w:hint="eastAsia" w:ascii="宋体" w:hAnsi="宋体" w:eastAsia="宋体" w:cs="宋体"/>
          <w:i w:val="0"/>
          <w:iCs w:val="0"/>
          <w:caps w:val="0"/>
          <w:color w:val="333333"/>
          <w:spacing w:val="0"/>
          <w:sz w:val="24"/>
          <w:szCs w:val="24"/>
        </w:rPr>
      </w:pPr>
      <w:r>
        <w:rPr>
          <w:rFonts w:hint="eastAsia" w:ascii="方正仿宋_GBK" w:hAnsi="方正仿宋_GBK" w:eastAsia="方正仿宋_GBK" w:cs="方正仿宋_GBK"/>
          <w:kern w:val="0"/>
          <w:sz w:val="32"/>
          <w:szCs w:val="32"/>
          <w:lang w:val="en-US" w:eastAsia="zh-CN" w:bidi="ar-SA"/>
        </w:rPr>
        <w:t>我单位绩效自评均已完成年度绩效目标。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Times New Roman" w:hAnsi="Times New Roman" w:eastAsia="方正楷体_GBK" w:cs="Times New Roman"/>
          <w:spacing w:val="8"/>
          <w:kern w:val="0"/>
          <w:sz w:val="32"/>
          <w:szCs w:val="32"/>
          <w:lang w:val="en-US" w:eastAsia="zh-CN" w:bidi="ar-SA"/>
        </w:rPr>
      </w:pPr>
      <w:r>
        <w:rPr>
          <w:rFonts w:hint="eastAsia" w:ascii="Times New Roman" w:hAnsi="Times New Roman" w:eastAsia="方正楷体_GBK" w:cs="Times New Roman"/>
          <w:spacing w:val="8"/>
          <w:kern w:val="0"/>
          <w:sz w:val="32"/>
          <w:szCs w:val="32"/>
          <w:lang w:val="en-US" w:eastAsia="zh-CN" w:bidi="ar-SA"/>
        </w:rPr>
        <w:t>（三）重点绩效评价结果。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735" w:right="0" w:firstLine="0"/>
        <w:jc w:val="both"/>
        <w:rPr>
          <w:rFonts w:hint="default" w:ascii="Calibri" w:hAnsi="Calibri" w:cs="Calibri"/>
          <w:i w:val="0"/>
          <w:iCs w:val="0"/>
          <w:caps w:val="0"/>
          <w:color w:val="333333"/>
          <w:spacing w:val="0"/>
          <w:sz w:val="21"/>
          <w:szCs w:val="21"/>
        </w:rPr>
      </w:pPr>
      <w:r>
        <w:rPr>
          <w:rFonts w:hint="eastAsia" w:ascii="方正仿宋_GBK" w:hAnsi="方正仿宋_GBK" w:eastAsia="方正仿宋_GBK" w:cs="方正仿宋_GBK"/>
          <w:kern w:val="0"/>
          <w:sz w:val="32"/>
          <w:szCs w:val="32"/>
          <w:lang w:val="en-US" w:eastAsia="zh-CN" w:bidi="ar-SA"/>
        </w:rPr>
        <w:t>我单位未委托第三方开展重点绩效评价。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宋体" w:hAnsi="宋体" w:eastAsia="宋体" w:cs="宋体"/>
          <w:i w:val="0"/>
          <w:iCs w:val="0"/>
          <w:caps w:val="0"/>
          <w:color w:val="333333"/>
          <w:spacing w:val="0"/>
          <w:sz w:val="24"/>
          <w:szCs w:val="24"/>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eastAsia" w:ascii="Times New Roman" w:hAnsi="Times New Roman" w:eastAsia="方正黑体简体" w:cs="Times New Roman"/>
          <w:spacing w:val="8"/>
          <w:kern w:val="0"/>
          <w:sz w:val="32"/>
          <w:szCs w:val="32"/>
          <w:lang w:val="en-US" w:eastAsia="zh-CN" w:bidi="ar-SA"/>
        </w:rPr>
        <w:t>六、专业名词解释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7"/>
          <w:szCs w:val="27"/>
          <w:shd w:val="clear" w:fill="FFFFFF"/>
        </w:rPr>
        <w:t xml:space="preserve">  </w:t>
      </w:r>
      <w:r>
        <w:rPr>
          <w:rFonts w:hint="eastAsia" w:ascii="宋体" w:hAnsi="宋体" w:eastAsia="宋体" w:cs="宋体"/>
          <w:i w:val="0"/>
          <w:iCs w:val="0"/>
          <w:caps w:val="0"/>
          <w:color w:val="333333"/>
          <w:spacing w:val="0"/>
          <w:sz w:val="27"/>
          <w:szCs w:val="27"/>
          <w:shd w:val="clear" w:fill="FFFFFF"/>
          <w:lang w:val="en-US" w:eastAsia="zh-CN"/>
        </w:rPr>
        <w:t xml:space="preserve"> </w:t>
      </w:r>
      <w:r>
        <w:rPr>
          <w:rStyle w:val="5"/>
          <w:rFonts w:hint="default" w:ascii="Times New Roman" w:hAnsi="Times New Roman" w:eastAsia="宋体" w:cs="Times New Roman"/>
          <w:i w:val="0"/>
          <w:iCs w:val="0"/>
          <w:caps w:val="0"/>
          <w:color w:val="333333"/>
          <w:spacing w:val="0"/>
          <w:sz w:val="27"/>
          <w:szCs w:val="27"/>
          <w:shd w:val="clear" w:fill="FFFFFF"/>
        </w:rPr>
        <w:t> </w:t>
      </w:r>
      <w:r>
        <w:rPr>
          <w:rFonts w:hint="default" w:ascii="Times New Roman" w:hAnsi="Times New Roman" w:eastAsia="方正楷体_GBK" w:cs="Times New Roman"/>
          <w:spacing w:val="8"/>
          <w:kern w:val="0"/>
          <w:sz w:val="32"/>
          <w:szCs w:val="32"/>
          <w:lang w:val="en-US" w:eastAsia="zh-CN" w:bidi="ar-SA"/>
        </w:rPr>
        <w:t> </w:t>
      </w:r>
      <w:r>
        <w:rPr>
          <w:rFonts w:hint="eastAsia" w:ascii="Times New Roman" w:hAnsi="Times New Roman" w:eastAsia="方正楷体_GBK" w:cs="Times New Roman"/>
          <w:spacing w:val="8"/>
          <w:kern w:val="0"/>
          <w:sz w:val="32"/>
          <w:szCs w:val="32"/>
          <w:lang w:val="en-US" w:eastAsia="zh-CN" w:bidi="ar-SA"/>
        </w:rPr>
        <w:t>（一）财政拨款收入：</w:t>
      </w:r>
      <w:r>
        <w:rPr>
          <w:rFonts w:hint="eastAsia" w:ascii="方正仿宋_GBK" w:hAnsi="方正仿宋_GBK" w:eastAsia="方正仿宋_GBK" w:cs="方正仿宋_GBK"/>
          <w:kern w:val="0"/>
          <w:sz w:val="32"/>
          <w:szCs w:val="32"/>
          <w:lang w:val="en-US" w:eastAsia="zh-CN" w:bidi="ar-SA"/>
        </w:rPr>
        <w:t>指本年度从本级财政部门取得的财政拨款，包括一般公共预算财政拨款和政府性基金预算财政拨款。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Style w:val="5"/>
          <w:rFonts w:hint="eastAsia" w:ascii="Times New Roman" w:hAnsi="Times New Roman" w:eastAsia="宋体" w:cs="Times New Roman"/>
          <w:i w:val="0"/>
          <w:iCs w:val="0"/>
          <w:caps w:val="0"/>
          <w:color w:val="333333"/>
          <w:spacing w:val="0"/>
          <w:sz w:val="27"/>
          <w:szCs w:val="27"/>
          <w:shd w:val="clear" w:fill="FFFFFF"/>
          <w:lang w:val="en-US" w:eastAsia="zh-CN"/>
        </w:rPr>
        <w:t xml:space="preserve">  </w:t>
      </w:r>
      <w:r>
        <w:rPr>
          <w:rFonts w:hint="eastAsia" w:ascii="Times New Roman" w:hAnsi="Times New Roman" w:eastAsia="方正楷体_GBK" w:cs="Times New Roman"/>
          <w:spacing w:val="8"/>
          <w:kern w:val="0"/>
          <w:sz w:val="32"/>
          <w:szCs w:val="32"/>
          <w:lang w:val="en-US" w:eastAsia="zh-CN" w:bidi="ar-SA"/>
        </w:rPr>
        <w:t>（二）事业收入：</w:t>
      </w:r>
      <w:r>
        <w:rPr>
          <w:rFonts w:hint="eastAsia" w:ascii="方正仿宋_GBK" w:hAnsi="方正仿宋_GBK" w:eastAsia="方正仿宋_GBK" w:cs="方正仿宋_GBK"/>
          <w:kern w:val="0"/>
          <w:sz w:val="32"/>
          <w:szCs w:val="32"/>
          <w:lang w:val="en-US" w:eastAsia="zh-CN" w:bidi="ar-SA"/>
        </w:rPr>
        <w:t>指事业单位开展专业业务活动及其辅助活动取得的现金流入；事业单位收到的财政专户实际核拨的教育收费等资金在此反映。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Style w:val="5"/>
          <w:rFonts w:hint="eastAsia" w:ascii="Times New Roman" w:hAnsi="Times New Roman" w:eastAsia="宋体" w:cs="Times New Roman"/>
          <w:i w:val="0"/>
          <w:iCs w:val="0"/>
          <w:caps w:val="0"/>
          <w:color w:val="333333"/>
          <w:spacing w:val="0"/>
          <w:sz w:val="27"/>
          <w:szCs w:val="27"/>
          <w:shd w:val="clear" w:fill="FFFFFF"/>
          <w:lang w:val="en-US" w:eastAsia="zh-CN"/>
        </w:rPr>
        <w:t xml:space="preserve">  </w:t>
      </w:r>
      <w:r>
        <w:rPr>
          <w:rFonts w:hint="eastAsia" w:ascii="Times New Roman" w:hAnsi="Times New Roman" w:eastAsia="方正楷体_GBK" w:cs="Times New Roman"/>
          <w:spacing w:val="8"/>
          <w:kern w:val="0"/>
          <w:sz w:val="32"/>
          <w:szCs w:val="32"/>
          <w:lang w:val="en-US" w:eastAsia="zh-CN" w:bidi="ar-SA"/>
        </w:rPr>
        <w:t>（三）经营收入：</w:t>
      </w:r>
      <w:r>
        <w:rPr>
          <w:rFonts w:hint="eastAsia" w:ascii="方正仿宋_GBK" w:hAnsi="方正仿宋_GBK" w:eastAsia="方正仿宋_GBK" w:cs="方正仿宋_GBK"/>
          <w:kern w:val="0"/>
          <w:sz w:val="32"/>
          <w:szCs w:val="32"/>
          <w:lang w:val="en-US" w:eastAsia="zh-CN" w:bidi="ar-SA"/>
        </w:rPr>
        <w:t>指事业单位在专业业务活动及其辅助活动之外开展非独立核算经营活动取得的现金流入。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default" w:ascii="Times New Roman" w:hAnsi="Times New Roman" w:eastAsia="方正楷体_GBK" w:cs="Times New Roman"/>
          <w:spacing w:val="8"/>
          <w:kern w:val="0"/>
          <w:sz w:val="32"/>
          <w:szCs w:val="32"/>
          <w:lang w:val="en-US" w:eastAsia="zh-CN" w:bidi="ar-SA"/>
        </w:rPr>
        <w:t> </w:t>
      </w:r>
      <w:r>
        <w:rPr>
          <w:rFonts w:hint="eastAsia" w:ascii="Times New Roman" w:hAnsi="Times New Roman" w:eastAsia="方正楷体_GBK" w:cs="Times New Roman"/>
          <w:spacing w:val="8"/>
          <w:kern w:val="0"/>
          <w:sz w:val="32"/>
          <w:szCs w:val="32"/>
          <w:lang w:val="en-US" w:eastAsia="zh-CN" w:bidi="ar-SA"/>
        </w:rPr>
        <w:t xml:space="preserve">  （四）其他收入：</w:t>
      </w:r>
      <w:r>
        <w:rPr>
          <w:rFonts w:hint="eastAsia" w:ascii="方正仿宋_GBK" w:hAnsi="方正仿宋_GBK" w:eastAsia="方正仿宋_GBK" w:cs="方正仿宋_GBK"/>
          <w:kern w:val="0"/>
          <w:sz w:val="32"/>
          <w:szCs w:val="32"/>
          <w:lang w:val="en-US" w:eastAsia="zh-CN" w:bidi="ar-SA"/>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Style w:val="5"/>
          <w:rFonts w:hint="eastAsia" w:ascii="Times New Roman" w:hAnsi="Times New Roman" w:eastAsia="宋体" w:cs="Times New Roman"/>
          <w:i w:val="0"/>
          <w:iCs w:val="0"/>
          <w:caps w:val="0"/>
          <w:color w:val="333333"/>
          <w:spacing w:val="0"/>
          <w:sz w:val="27"/>
          <w:szCs w:val="27"/>
          <w:shd w:val="clear" w:fill="FFFFFF"/>
          <w:lang w:val="en-US" w:eastAsia="zh-CN"/>
        </w:rPr>
        <w:t xml:space="preserve">  </w:t>
      </w:r>
      <w:r>
        <w:rPr>
          <w:rFonts w:hint="eastAsia" w:ascii="Times New Roman" w:hAnsi="Times New Roman" w:eastAsia="方正楷体_GBK" w:cs="Times New Roman"/>
          <w:spacing w:val="8"/>
          <w:kern w:val="0"/>
          <w:sz w:val="32"/>
          <w:szCs w:val="32"/>
          <w:lang w:val="en-US" w:eastAsia="zh-CN" w:bidi="ar-SA"/>
        </w:rPr>
        <w:t>（五）使用非财政拨款结余：</w:t>
      </w:r>
      <w:r>
        <w:rPr>
          <w:rFonts w:hint="eastAsia" w:ascii="方正仿宋_GBK" w:hAnsi="方正仿宋_GBK" w:eastAsia="方正仿宋_GBK" w:cs="方正仿宋_GBK"/>
          <w:kern w:val="0"/>
          <w:sz w:val="32"/>
          <w:szCs w:val="32"/>
          <w:lang w:val="en-US" w:eastAsia="zh-CN" w:bidi="ar-SA"/>
        </w:rPr>
        <w:t>指单位在当年的“财政拨款收入”、“事业收入”、“经营收入”、“其他收入”等不足以安排当年支出的情况下，使用以前年度积累的非财政拨款结余弥补本年度收支缺口的资金。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Style w:val="5"/>
          <w:rFonts w:hint="eastAsia" w:ascii="Times New Roman" w:hAnsi="Times New Roman" w:eastAsia="宋体" w:cs="Times New Roman"/>
          <w:i w:val="0"/>
          <w:iCs w:val="0"/>
          <w:caps w:val="0"/>
          <w:color w:val="333333"/>
          <w:spacing w:val="0"/>
          <w:sz w:val="27"/>
          <w:szCs w:val="27"/>
          <w:shd w:val="clear" w:fill="FFFFFF"/>
          <w:lang w:val="en-US" w:eastAsia="zh-CN"/>
        </w:rPr>
        <w:t xml:space="preserve">  </w:t>
      </w:r>
      <w:r>
        <w:rPr>
          <w:rFonts w:hint="eastAsia" w:ascii="Times New Roman" w:hAnsi="Times New Roman" w:eastAsia="方正楷体_GBK" w:cs="Times New Roman"/>
          <w:spacing w:val="8"/>
          <w:kern w:val="0"/>
          <w:sz w:val="32"/>
          <w:szCs w:val="32"/>
          <w:lang w:val="en-US" w:eastAsia="zh-CN" w:bidi="ar-SA"/>
        </w:rPr>
        <w:t>（六）年初结转和结余：</w:t>
      </w:r>
      <w:r>
        <w:rPr>
          <w:rFonts w:hint="eastAsia" w:ascii="方正仿宋_GBK" w:hAnsi="方正仿宋_GBK" w:eastAsia="方正仿宋_GBK" w:cs="方正仿宋_GBK"/>
          <w:kern w:val="0"/>
          <w:sz w:val="32"/>
          <w:szCs w:val="32"/>
          <w:lang w:val="en-US" w:eastAsia="zh-CN" w:bidi="ar-SA"/>
        </w:rPr>
        <w:t>指单位上年结转本年使用的基本支出结转、项目支出结转和结余、经营结余。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宋体" w:hAnsi="宋体" w:eastAsia="宋体" w:cs="宋体"/>
          <w:i w:val="0"/>
          <w:iCs w:val="0"/>
          <w:caps w:val="0"/>
          <w:color w:val="333333"/>
          <w:spacing w:val="0"/>
          <w:sz w:val="24"/>
          <w:szCs w:val="24"/>
        </w:rPr>
      </w:pPr>
      <w:r>
        <w:rPr>
          <w:rStyle w:val="5"/>
          <w:rFonts w:hint="default" w:ascii="Times New Roman" w:hAnsi="Times New Roman" w:eastAsia="宋体" w:cs="Times New Roman"/>
          <w:i w:val="0"/>
          <w:iCs w:val="0"/>
          <w:caps w:val="0"/>
          <w:color w:val="333333"/>
          <w:spacing w:val="0"/>
          <w:sz w:val="27"/>
          <w:szCs w:val="27"/>
          <w:shd w:val="clear" w:fill="FFFFFF"/>
        </w:rPr>
        <w:t>  </w:t>
      </w:r>
      <w:r>
        <w:rPr>
          <w:rStyle w:val="5"/>
          <w:rFonts w:hint="eastAsia" w:ascii="Times New Roman" w:hAnsi="Times New Roman" w:eastAsia="宋体" w:cs="Times New Roman"/>
          <w:i w:val="0"/>
          <w:iCs w:val="0"/>
          <w:caps w:val="0"/>
          <w:color w:val="333333"/>
          <w:spacing w:val="0"/>
          <w:sz w:val="27"/>
          <w:szCs w:val="27"/>
          <w:shd w:val="clear" w:fill="FFFFFF"/>
          <w:lang w:val="en-US" w:eastAsia="zh-CN"/>
        </w:rPr>
        <w:t xml:space="preserve">  </w:t>
      </w:r>
      <w:r>
        <w:rPr>
          <w:rFonts w:hint="eastAsia" w:ascii="Times New Roman" w:hAnsi="Times New Roman" w:eastAsia="方正楷体_GBK" w:cs="Times New Roman"/>
          <w:spacing w:val="8"/>
          <w:kern w:val="0"/>
          <w:sz w:val="32"/>
          <w:szCs w:val="32"/>
          <w:lang w:val="en-US" w:eastAsia="zh-CN" w:bidi="ar-SA"/>
        </w:rPr>
        <w:t>（七）结余分配：</w:t>
      </w:r>
      <w:r>
        <w:rPr>
          <w:rFonts w:hint="eastAsia" w:ascii="方正仿宋_GBK" w:hAnsi="方正仿宋_GBK" w:eastAsia="方正仿宋_GBK" w:cs="方正仿宋_GBK"/>
          <w:kern w:val="0"/>
          <w:sz w:val="32"/>
          <w:szCs w:val="32"/>
          <w:lang w:val="en-US" w:eastAsia="zh-CN" w:bidi="ar-SA"/>
        </w:rPr>
        <w:t>指单位按照国家有关规定，缴纳所得税、提取专用基金、转入非财政拨款结余等当年结余的分配情况。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Style w:val="5"/>
          <w:rFonts w:hint="eastAsia" w:ascii="Times New Roman" w:hAnsi="Times New Roman" w:eastAsia="宋体" w:cs="Times New Roman"/>
          <w:i w:val="0"/>
          <w:iCs w:val="0"/>
          <w:caps w:val="0"/>
          <w:color w:val="333333"/>
          <w:spacing w:val="0"/>
          <w:sz w:val="27"/>
          <w:szCs w:val="27"/>
          <w:shd w:val="clear" w:fill="FFFFFF"/>
          <w:lang w:val="en-US" w:eastAsia="zh-CN"/>
        </w:rPr>
        <w:t xml:space="preserve">  </w:t>
      </w:r>
      <w:r>
        <w:rPr>
          <w:rStyle w:val="5"/>
          <w:rFonts w:hint="default" w:ascii="Times New Roman" w:hAnsi="Times New Roman" w:eastAsia="宋体" w:cs="Times New Roman"/>
          <w:i w:val="0"/>
          <w:iCs w:val="0"/>
          <w:caps w:val="0"/>
          <w:color w:val="333333"/>
          <w:spacing w:val="0"/>
          <w:sz w:val="27"/>
          <w:szCs w:val="27"/>
          <w:shd w:val="clear" w:fill="FFFFFF"/>
        </w:rPr>
        <w:t> </w:t>
      </w:r>
      <w:r>
        <w:rPr>
          <w:rFonts w:hint="eastAsia" w:ascii="Times New Roman" w:hAnsi="Times New Roman" w:eastAsia="方正楷体_GBK" w:cs="Times New Roman"/>
          <w:spacing w:val="8"/>
          <w:kern w:val="0"/>
          <w:sz w:val="32"/>
          <w:szCs w:val="32"/>
          <w:lang w:val="en-US" w:eastAsia="zh-CN" w:bidi="ar-SA"/>
        </w:rPr>
        <w:t>（八）年末结转和结余：</w:t>
      </w:r>
      <w:r>
        <w:rPr>
          <w:rFonts w:hint="eastAsia" w:ascii="方正仿宋_GBK" w:hAnsi="方正仿宋_GBK" w:eastAsia="方正仿宋_GBK" w:cs="方正仿宋_GBK"/>
          <w:kern w:val="0"/>
          <w:sz w:val="32"/>
          <w:szCs w:val="32"/>
          <w:lang w:val="en-US" w:eastAsia="zh-CN" w:bidi="ar-SA"/>
        </w:rPr>
        <w:t>指单位结转下年的基本支出结转、项目支出结转和结余、经营结余。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Style w:val="5"/>
          <w:rFonts w:hint="eastAsia" w:ascii="Times New Roman" w:hAnsi="Times New Roman" w:eastAsia="宋体" w:cs="Times New Roman"/>
          <w:i w:val="0"/>
          <w:iCs w:val="0"/>
          <w:caps w:val="0"/>
          <w:color w:val="333333"/>
          <w:spacing w:val="0"/>
          <w:sz w:val="27"/>
          <w:szCs w:val="27"/>
          <w:shd w:val="clear" w:fill="FFFFFF"/>
          <w:lang w:val="en-US" w:eastAsia="zh-CN"/>
        </w:rPr>
        <w:t xml:space="preserve">  </w:t>
      </w:r>
      <w:r>
        <w:rPr>
          <w:rStyle w:val="5"/>
          <w:rFonts w:hint="default" w:ascii="Times New Roman" w:hAnsi="Times New Roman" w:eastAsia="宋体" w:cs="Times New Roman"/>
          <w:i w:val="0"/>
          <w:iCs w:val="0"/>
          <w:caps w:val="0"/>
          <w:color w:val="333333"/>
          <w:spacing w:val="0"/>
          <w:sz w:val="27"/>
          <w:szCs w:val="27"/>
          <w:shd w:val="clear" w:fill="FFFFFF"/>
        </w:rPr>
        <w:t> </w:t>
      </w:r>
      <w:r>
        <w:rPr>
          <w:rFonts w:hint="eastAsia" w:ascii="Times New Roman" w:hAnsi="Times New Roman" w:eastAsia="方正楷体_GBK" w:cs="Times New Roman"/>
          <w:spacing w:val="8"/>
          <w:kern w:val="0"/>
          <w:sz w:val="32"/>
          <w:szCs w:val="32"/>
          <w:lang w:val="en-US" w:eastAsia="zh-CN" w:bidi="ar-SA"/>
        </w:rPr>
        <w:t>（九）基本支出：</w:t>
      </w:r>
      <w:r>
        <w:rPr>
          <w:rFonts w:hint="eastAsia" w:ascii="方正仿宋_GBK" w:hAnsi="方正仿宋_GBK" w:eastAsia="方正仿宋_GBK" w:cs="方正仿宋_GBK"/>
          <w:kern w:val="0"/>
          <w:sz w:val="32"/>
          <w:szCs w:val="32"/>
          <w:lang w:val="en-US" w:eastAsia="zh-CN" w:bidi="ar-SA"/>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Style w:val="5"/>
          <w:rFonts w:hint="eastAsia" w:ascii="Times New Roman" w:hAnsi="Times New Roman" w:eastAsia="宋体" w:cs="Times New Roman"/>
          <w:i w:val="0"/>
          <w:iCs w:val="0"/>
          <w:caps w:val="0"/>
          <w:color w:val="333333"/>
          <w:spacing w:val="0"/>
          <w:sz w:val="27"/>
          <w:szCs w:val="27"/>
          <w:shd w:val="clear" w:fill="FFFFFF"/>
          <w:lang w:val="en-US" w:eastAsia="zh-CN"/>
        </w:rPr>
        <w:t xml:space="preserve">  </w:t>
      </w:r>
      <w:r>
        <w:rPr>
          <w:rFonts w:hint="eastAsia" w:ascii="Times New Roman" w:hAnsi="Times New Roman" w:eastAsia="方正楷体_GBK" w:cs="Times New Roman"/>
          <w:spacing w:val="8"/>
          <w:kern w:val="0"/>
          <w:sz w:val="32"/>
          <w:szCs w:val="32"/>
          <w:lang w:val="en-US" w:eastAsia="zh-CN" w:bidi="ar-SA"/>
        </w:rPr>
        <w:t>（十）项目支出：</w:t>
      </w:r>
      <w:r>
        <w:rPr>
          <w:rFonts w:hint="eastAsia" w:ascii="方正仿宋_GBK" w:hAnsi="方正仿宋_GBK" w:eastAsia="方正仿宋_GBK" w:cs="方正仿宋_GBK"/>
          <w:kern w:val="0"/>
          <w:sz w:val="32"/>
          <w:szCs w:val="32"/>
          <w:lang w:val="en-US" w:eastAsia="zh-CN" w:bidi="ar-SA"/>
        </w:rPr>
        <w:t>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default" w:ascii="Times New Roman" w:hAnsi="Times New Roman" w:eastAsia="方正楷体_GBK" w:cs="Times New Roman"/>
          <w:spacing w:val="8"/>
          <w:kern w:val="0"/>
          <w:sz w:val="32"/>
          <w:szCs w:val="32"/>
          <w:lang w:val="en-US" w:eastAsia="zh-CN" w:bidi="ar-SA"/>
        </w:rPr>
        <w:t> </w:t>
      </w:r>
      <w:r>
        <w:rPr>
          <w:rFonts w:hint="eastAsia" w:ascii="Times New Roman" w:hAnsi="Times New Roman" w:eastAsia="方正楷体_GBK" w:cs="Times New Roman"/>
          <w:spacing w:val="8"/>
          <w:kern w:val="0"/>
          <w:sz w:val="32"/>
          <w:szCs w:val="32"/>
          <w:lang w:val="en-US" w:eastAsia="zh-CN" w:bidi="ar-SA"/>
        </w:rPr>
        <w:t xml:space="preserve">  （十一）经营支出：</w:t>
      </w:r>
      <w:r>
        <w:rPr>
          <w:rFonts w:hint="eastAsia" w:ascii="方正仿宋_GBK" w:hAnsi="方正仿宋_GBK" w:eastAsia="方正仿宋_GBK" w:cs="方正仿宋_GBK"/>
          <w:kern w:val="0"/>
          <w:sz w:val="32"/>
          <w:szCs w:val="32"/>
          <w:lang w:val="en-US" w:eastAsia="zh-CN" w:bidi="ar-SA"/>
        </w:rPr>
        <w:t>指事业单位在专业业务活动及其辅助活动之外开展非独立核算经营活动发生的支出。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default" w:ascii="Times New Roman" w:hAnsi="Times New Roman" w:eastAsia="方正楷体_GBK" w:cs="Times New Roman"/>
          <w:spacing w:val="8"/>
          <w:kern w:val="0"/>
          <w:sz w:val="32"/>
          <w:szCs w:val="32"/>
          <w:lang w:val="en-US" w:eastAsia="zh-CN" w:bidi="ar-SA"/>
        </w:rPr>
        <w:t> </w:t>
      </w:r>
      <w:r>
        <w:rPr>
          <w:rFonts w:hint="eastAsia" w:ascii="Times New Roman" w:hAnsi="Times New Roman" w:eastAsia="方正楷体_GBK" w:cs="Times New Roman"/>
          <w:spacing w:val="8"/>
          <w:kern w:val="0"/>
          <w:sz w:val="32"/>
          <w:szCs w:val="32"/>
          <w:lang w:val="en-US" w:eastAsia="zh-CN" w:bidi="ar-SA"/>
        </w:rPr>
        <w:t xml:space="preserve">  （十二）</w:t>
      </w:r>
      <w:r>
        <w:rPr>
          <w:rFonts w:hint="default" w:ascii="Times New Roman" w:hAnsi="Times New Roman" w:eastAsia="方正楷体_GBK" w:cs="Times New Roman"/>
          <w:spacing w:val="8"/>
          <w:kern w:val="0"/>
          <w:sz w:val="32"/>
          <w:szCs w:val="32"/>
          <w:lang w:val="en-US" w:eastAsia="zh-CN" w:bidi="ar-SA"/>
        </w:rPr>
        <w:t>“</w:t>
      </w:r>
      <w:r>
        <w:rPr>
          <w:rFonts w:hint="eastAsia" w:ascii="Times New Roman" w:hAnsi="Times New Roman" w:eastAsia="方正楷体_GBK" w:cs="Times New Roman"/>
          <w:spacing w:val="8"/>
          <w:kern w:val="0"/>
          <w:sz w:val="32"/>
          <w:szCs w:val="32"/>
          <w:lang w:val="en-US" w:eastAsia="zh-CN" w:bidi="ar-SA"/>
        </w:rPr>
        <w:t>三公</w:t>
      </w:r>
      <w:r>
        <w:rPr>
          <w:rFonts w:hint="default" w:ascii="Times New Roman" w:hAnsi="Times New Roman" w:eastAsia="方正楷体_GBK" w:cs="Times New Roman"/>
          <w:spacing w:val="8"/>
          <w:kern w:val="0"/>
          <w:sz w:val="32"/>
          <w:szCs w:val="32"/>
          <w:lang w:val="en-US" w:eastAsia="zh-CN" w:bidi="ar-SA"/>
        </w:rPr>
        <w:t>”</w:t>
      </w:r>
      <w:r>
        <w:rPr>
          <w:rFonts w:hint="eastAsia" w:ascii="Times New Roman" w:hAnsi="Times New Roman" w:eastAsia="方正楷体_GBK" w:cs="Times New Roman"/>
          <w:spacing w:val="8"/>
          <w:kern w:val="0"/>
          <w:sz w:val="32"/>
          <w:szCs w:val="32"/>
          <w:lang w:val="en-US" w:eastAsia="zh-CN" w:bidi="ar-SA"/>
        </w:rPr>
        <w:t>经费：</w:t>
      </w:r>
      <w:r>
        <w:rPr>
          <w:rFonts w:hint="eastAsia" w:ascii="方正仿宋_GBK" w:hAnsi="方正仿宋_GBK" w:eastAsia="方正仿宋_GBK" w:cs="方正仿宋_GBK"/>
          <w:kern w:val="0"/>
          <w:sz w:val="32"/>
          <w:szCs w:val="32"/>
          <w:lang w:val="en-US"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Style w:val="5"/>
          <w:rFonts w:hint="eastAsia" w:ascii="Times New Roman" w:hAnsi="Times New Roman" w:eastAsia="宋体" w:cs="Times New Roman"/>
          <w:i w:val="0"/>
          <w:iCs w:val="0"/>
          <w:caps w:val="0"/>
          <w:color w:val="333333"/>
          <w:spacing w:val="0"/>
          <w:sz w:val="27"/>
          <w:szCs w:val="27"/>
          <w:shd w:val="clear" w:fill="FFFFFF"/>
          <w:lang w:val="en-US" w:eastAsia="zh-CN"/>
        </w:rPr>
        <w:t xml:space="preserve">  </w:t>
      </w:r>
      <w:r>
        <w:rPr>
          <w:rFonts w:hint="eastAsia" w:ascii="Times New Roman" w:hAnsi="Times New Roman" w:eastAsia="方正楷体_GBK" w:cs="Times New Roman"/>
          <w:spacing w:val="8"/>
          <w:kern w:val="0"/>
          <w:sz w:val="32"/>
          <w:szCs w:val="32"/>
          <w:lang w:val="en-US" w:eastAsia="zh-CN" w:bidi="ar-SA"/>
        </w:rPr>
        <w:t>（十三）机关运行经费：</w:t>
      </w:r>
      <w:r>
        <w:rPr>
          <w:rFonts w:hint="eastAsia" w:ascii="方正仿宋_GBK" w:hAnsi="方正仿宋_GBK" w:eastAsia="方正仿宋_GBK" w:cs="方正仿宋_GBK"/>
          <w:kern w:val="0"/>
          <w:sz w:val="32"/>
          <w:szCs w:val="32"/>
          <w:lang w:val="en-US" w:eastAsia="zh-CN" w:bidi="ar-SA"/>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Style w:val="5"/>
          <w:rFonts w:hint="eastAsia" w:ascii="Times New Roman" w:hAnsi="Times New Roman" w:eastAsia="宋体" w:cs="Times New Roman"/>
          <w:i w:val="0"/>
          <w:iCs w:val="0"/>
          <w:caps w:val="0"/>
          <w:color w:val="333333"/>
          <w:spacing w:val="0"/>
          <w:sz w:val="27"/>
          <w:szCs w:val="27"/>
          <w:shd w:val="clear" w:fill="FFFFFF"/>
          <w:lang w:val="en-US" w:eastAsia="zh-CN"/>
        </w:rPr>
        <w:t xml:space="preserve">  </w:t>
      </w:r>
      <w:r>
        <w:rPr>
          <w:rFonts w:hint="eastAsia" w:ascii="Times New Roman" w:hAnsi="Times New Roman" w:eastAsia="方正楷体_GBK" w:cs="Times New Roman"/>
          <w:spacing w:val="8"/>
          <w:kern w:val="0"/>
          <w:sz w:val="32"/>
          <w:szCs w:val="32"/>
          <w:lang w:val="en-US" w:eastAsia="zh-CN" w:bidi="ar-SA"/>
        </w:rPr>
        <w:t>（十四）工资福利支出（支出经济分类科目类级）：</w:t>
      </w:r>
      <w:r>
        <w:rPr>
          <w:rFonts w:hint="eastAsia" w:ascii="方正仿宋_GBK" w:hAnsi="方正仿宋_GBK" w:eastAsia="方正仿宋_GBK" w:cs="方正仿宋_GBK"/>
          <w:kern w:val="0"/>
          <w:sz w:val="32"/>
          <w:szCs w:val="32"/>
          <w:lang w:val="en-US" w:eastAsia="zh-CN" w:bidi="ar-SA"/>
        </w:rPr>
        <w:t>反映单位开支的在职职工和编制外长期聘用人员的各类劳动报酬，以及为上述人员缴纳的各项社会保险费等。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Style w:val="5"/>
          <w:rFonts w:hint="eastAsia" w:ascii="Times New Roman" w:hAnsi="Times New Roman" w:eastAsia="宋体" w:cs="Times New Roman"/>
          <w:i w:val="0"/>
          <w:iCs w:val="0"/>
          <w:caps w:val="0"/>
          <w:color w:val="333333"/>
          <w:spacing w:val="0"/>
          <w:sz w:val="27"/>
          <w:szCs w:val="27"/>
          <w:shd w:val="clear" w:fill="FFFFFF"/>
          <w:lang w:val="en-US" w:eastAsia="zh-CN"/>
        </w:rPr>
        <w:t xml:space="preserve">  </w:t>
      </w:r>
      <w:r>
        <w:rPr>
          <w:rFonts w:hint="eastAsia" w:ascii="Times New Roman" w:hAnsi="Times New Roman" w:eastAsia="方正楷体_GBK" w:cs="Times New Roman"/>
          <w:spacing w:val="8"/>
          <w:kern w:val="0"/>
          <w:sz w:val="32"/>
          <w:szCs w:val="32"/>
          <w:lang w:val="en-US" w:eastAsia="zh-CN" w:bidi="ar-SA"/>
        </w:rPr>
        <w:t>（十五）商品和服务支出（支出经济分类科目类级）：</w:t>
      </w:r>
      <w:r>
        <w:rPr>
          <w:rFonts w:hint="eastAsia" w:ascii="方正仿宋_GBK" w:hAnsi="方正仿宋_GBK" w:eastAsia="方正仿宋_GBK" w:cs="方正仿宋_GBK"/>
          <w:kern w:val="0"/>
          <w:sz w:val="32"/>
          <w:szCs w:val="32"/>
          <w:lang w:val="en-US" w:eastAsia="zh-CN" w:bidi="ar-SA"/>
        </w:rPr>
        <w:t>反映单位购买商品和服务的支出（不包括用于购置固定资产的支出、战略性和应急储备支出）。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Style w:val="5"/>
          <w:rFonts w:hint="eastAsia" w:ascii="Times New Roman" w:hAnsi="Times New Roman" w:eastAsia="宋体" w:cs="Times New Roman"/>
          <w:i w:val="0"/>
          <w:iCs w:val="0"/>
          <w:caps w:val="0"/>
          <w:color w:val="333333"/>
          <w:spacing w:val="0"/>
          <w:sz w:val="27"/>
          <w:szCs w:val="27"/>
          <w:shd w:val="clear" w:fill="FFFFFF"/>
          <w:lang w:val="en-US" w:eastAsia="zh-CN"/>
        </w:rPr>
        <w:t xml:space="preserve">  </w:t>
      </w:r>
      <w:r>
        <w:rPr>
          <w:rFonts w:hint="eastAsia" w:ascii="Times New Roman" w:hAnsi="Times New Roman" w:eastAsia="方正楷体_GBK" w:cs="Times New Roman"/>
          <w:spacing w:val="8"/>
          <w:kern w:val="0"/>
          <w:sz w:val="32"/>
          <w:szCs w:val="32"/>
          <w:lang w:val="en-US" w:eastAsia="zh-CN" w:bidi="ar-SA"/>
        </w:rPr>
        <w:t>（十六）对个人和家庭的补助（支出经济分类科目类级）：</w:t>
      </w:r>
      <w:r>
        <w:rPr>
          <w:rFonts w:hint="eastAsia" w:ascii="方正仿宋_GBK" w:hAnsi="方正仿宋_GBK" w:eastAsia="方正仿宋_GBK" w:cs="方正仿宋_GBK"/>
          <w:kern w:val="0"/>
          <w:sz w:val="32"/>
          <w:szCs w:val="32"/>
          <w:lang w:val="en-US" w:eastAsia="zh-CN" w:bidi="ar-SA"/>
        </w:rPr>
        <w:t>反映用于对个人和家庭的补助支出。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Style w:val="5"/>
          <w:rFonts w:hint="eastAsia" w:ascii="Times New Roman" w:hAnsi="Times New Roman" w:eastAsia="宋体" w:cs="Times New Roman"/>
          <w:i w:val="0"/>
          <w:iCs w:val="0"/>
          <w:caps w:val="0"/>
          <w:color w:val="333333"/>
          <w:spacing w:val="0"/>
          <w:sz w:val="27"/>
          <w:szCs w:val="27"/>
          <w:shd w:val="clear" w:fill="FFFFFF"/>
          <w:lang w:val="en-US" w:eastAsia="zh-CN"/>
        </w:rPr>
        <w:t xml:space="preserve">  </w:t>
      </w:r>
      <w:r>
        <w:rPr>
          <w:rFonts w:hint="eastAsia" w:ascii="Times New Roman" w:hAnsi="Times New Roman" w:eastAsia="方正楷体_GBK" w:cs="Times New Roman"/>
          <w:spacing w:val="8"/>
          <w:kern w:val="0"/>
          <w:sz w:val="32"/>
          <w:szCs w:val="32"/>
          <w:lang w:val="en-US" w:eastAsia="zh-CN" w:bidi="ar-SA"/>
        </w:rPr>
        <w:t>（十七）其他资本性支出（支出经济分类科目类级）：</w:t>
      </w:r>
      <w:r>
        <w:rPr>
          <w:rFonts w:hint="eastAsia" w:ascii="方正仿宋_GBK" w:hAnsi="方正仿宋_GBK" w:eastAsia="方正仿宋_GBK" w:cs="方正仿宋_GBK"/>
          <w:kern w:val="0"/>
          <w:sz w:val="32"/>
          <w:szCs w:val="32"/>
          <w:lang w:val="en-US" w:eastAsia="zh-CN" w:bidi="ar-SA"/>
        </w:rPr>
        <w:t>反映非各级发展与改革部门集中安排的用于购置固定资产、战略性和应急性储备、土地和无形资产，以及构建基础设施、大型修缮和财政支持企业更新改造所发生的支出。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Times New Roman" w:hAnsi="Times New Roman" w:eastAsia="方正黑体简体" w:cs="Times New Roman"/>
          <w:spacing w:val="8"/>
          <w:kern w:val="0"/>
          <w:sz w:val="32"/>
          <w:szCs w:val="32"/>
          <w:lang w:val="en-US" w:eastAsia="zh-CN" w:bidi="ar-SA"/>
        </w:rPr>
      </w:pPr>
      <w:r>
        <w:rPr>
          <w:rStyle w:val="5"/>
          <w:rFonts w:hint="default" w:ascii="Times New Roman" w:hAnsi="Times New Roman" w:eastAsia="宋体" w:cs="Times New Roman"/>
          <w:i w:val="0"/>
          <w:iCs w:val="0"/>
          <w:caps w:val="0"/>
          <w:color w:val="333333"/>
          <w:spacing w:val="0"/>
          <w:sz w:val="27"/>
          <w:szCs w:val="27"/>
          <w:shd w:val="clear" w:fill="FFFFFF"/>
        </w:rPr>
        <w:t>  </w:t>
      </w:r>
      <w:r>
        <w:rPr>
          <w:rFonts w:hint="eastAsia" w:ascii="Times New Roman" w:hAnsi="Times New Roman" w:eastAsia="方正黑体简体" w:cs="Times New Roman"/>
          <w:spacing w:val="8"/>
          <w:kern w:val="0"/>
          <w:sz w:val="32"/>
          <w:szCs w:val="32"/>
          <w:lang w:val="en-US" w:eastAsia="zh-CN" w:bidi="ar-SA"/>
        </w:rPr>
        <w:t>七、决算公开联系方式及信息反馈渠道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left="0" w:right="0" w:firstLine="0"/>
        <w:rPr>
          <w:rFonts w:hint="eastAsia" w:ascii="方正仿宋_GBK" w:hAnsi="方正仿宋_GBK" w:eastAsia="方正仿宋_GBK" w:cs="方正仿宋_GBK"/>
          <w:kern w:val="0"/>
          <w:sz w:val="32"/>
          <w:szCs w:val="32"/>
          <w:lang w:val="en-US" w:eastAsia="zh-CN" w:bidi="ar-SA"/>
        </w:rPr>
      </w:pPr>
      <w:r>
        <w:rPr>
          <w:rFonts w:hint="eastAsia" w:ascii="宋体" w:hAnsi="宋体" w:eastAsia="宋体" w:cs="宋体"/>
          <w:i w:val="0"/>
          <w:iCs w:val="0"/>
          <w:caps w:val="0"/>
          <w:color w:val="333333"/>
          <w:spacing w:val="0"/>
          <w:sz w:val="27"/>
          <w:szCs w:val="27"/>
          <w:shd w:val="clear" w:fill="FFFFFF"/>
        </w:rPr>
        <w:t> </w:t>
      </w:r>
      <w:r>
        <w:rPr>
          <w:rFonts w:hint="eastAsia" w:ascii="方正仿宋_GBK" w:hAnsi="方正仿宋_GBK" w:eastAsia="方正仿宋_GBK" w:cs="方正仿宋_GBK"/>
          <w:kern w:val="0"/>
          <w:sz w:val="32"/>
          <w:szCs w:val="32"/>
          <w:lang w:val="en-US" w:eastAsia="zh-CN" w:bidi="ar-SA"/>
        </w:rPr>
        <w:t xml:space="preserve"> 本单位决算公开信息反馈和联系方式：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ind w:right="0" w:firstLine="320" w:firstLineChars="1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鲁竹卿  023-70731858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2OGQyZWQyYTcxOTVmOTIwODRhZTU0MzVhMzVmODcifQ=="/>
  </w:docVars>
  <w:rsids>
    <w:rsidRoot w:val="025E0D5C"/>
    <w:rsid w:val="025E0D5C"/>
    <w:rsid w:val="02F53218"/>
    <w:rsid w:val="03E41A3C"/>
    <w:rsid w:val="057448C8"/>
    <w:rsid w:val="07BC60B3"/>
    <w:rsid w:val="092B7994"/>
    <w:rsid w:val="097906FF"/>
    <w:rsid w:val="09CC40BF"/>
    <w:rsid w:val="0AD54D55"/>
    <w:rsid w:val="11C73FD2"/>
    <w:rsid w:val="121A0D4B"/>
    <w:rsid w:val="123A0C48"/>
    <w:rsid w:val="12661A3D"/>
    <w:rsid w:val="12C51E8E"/>
    <w:rsid w:val="15BB5BFB"/>
    <w:rsid w:val="16297009"/>
    <w:rsid w:val="169D3553"/>
    <w:rsid w:val="19033B41"/>
    <w:rsid w:val="19402B8B"/>
    <w:rsid w:val="19831126"/>
    <w:rsid w:val="1A3505F7"/>
    <w:rsid w:val="1C2E5379"/>
    <w:rsid w:val="1C846B66"/>
    <w:rsid w:val="1F59095F"/>
    <w:rsid w:val="21B52099"/>
    <w:rsid w:val="21C347B6"/>
    <w:rsid w:val="21EF7359"/>
    <w:rsid w:val="224F6049"/>
    <w:rsid w:val="232C638A"/>
    <w:rsid w:val="236D42CA"/>
    <w:rsid w:val="251D242F"/>
    <w:rsid w:val="25CD6118"/>
    <w:rsid w:val="262D66A1"/>
    <w:rsid w:val="28DA4193"/>
    <w:rsid w:val="2AF4778E"/>
    <w:rsid w:val="2DB256DE"/>
    <w:rsid w:val="2FDB53C0"/>
    <w:rsid w:val="302420E6"/>
    <w:rsid w:val="325A4DC1"/>
    <w:rsid w:val="36C50230"/>
    <w:rsid w:val="3748158D"/>
    <w:rsid w:val="376D112C"/>
    <w:rsid w:val="38417D8A"/>
    <w:rsid w:val="39C649EB"/>
    <w:rsid w:val="3AF539A8"/>
    <w:rsid w:val="3DE84774"/>
    <w:rsid w:val="3E725142"/>
    <w:rsid w:val="3F033FEC"/>
    <w:rsid w:val="3F4A1AD3"/>
    <w:rsid w:val="3F7A243C"/>
    <w:rsid w:val="410D73A4"/>
    <w:rsid w:val="42A04F26"/>
    <w:rsid w:val="42AB0C22"/>
    <w:rsid w:val="42FE0D52"/>
    <w:rsid w:val="44510CF4"/>
    <w:rsid w:val="470277FC"/>
    <w:rsid w:val="479559FD"/>
    <w:rsid w:val="47B10B40"/>
    <w:rsid w:val="498C4AE5"/>
    <w:rsid w:val="4B223A4B"/>
    <w:rsid w:val="4BA257C5"/>
    <w:rsid w:val="51112598"/>
    <w:rsid w:val="51A45E61"/>
    <w:rsid w:val="56083427"/>
    <w:rsid w:val="585B234B"/>
    <w:rsid w:val="63F91396"/>
    <w:rsid w:val="64405216"/>
    <w:rsid w:val="644D348F"/>
    <w:rsid w:val="66AC6B93"/>
    <w:rsid w:val="6A4E1D0F"/>
    <w:rsid w:val="6ADE12E5"/>
    <w:rsid w:val="6AED1528"/>
    <w:rsid w:val="6CE30E35"/>
    <w:rsid w:val="6D033285"/>
    <w:rsid w:val="6FBA2F21"/>
    <w:rsid w:val="70C60E7D"/>
    <w:rsid w:val="726E2F4F"/>
    <w:rsid w:val="735956FC"/>
    <w:rsid w:val="74575C64"/>
    <w:rsid w:val="779D297C"/>
    <w:rsid w:val="7C9766AA"/>
    <w:rsid w:val="7DD81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6351</Words>
  <Characters>7147</Characters>
  <Lines>0</Lines>
  <Paragraphs>0</Paragraphs>
  <TotalTime>16</TotalTime>
  <ScaleCrop>false</ScaleCrop>
  <LinksUpToDate>false</LinksUpToDate>
  <CharactersWithSpaces>7240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2023-09-12T04:16:00Z</dcterms:created>
  <dc:creator>hp555</dc:creator>
  <cp:lastModifiedBy>hp555</cp:lastModifiedBy>
  <dcterms:modified xsi:type="dcterms:W3CDTF">2023-09-20T09:21:59Z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41DDF75587594C25B4A897022F638006_11</vt:lpwstr>
  </property>
</Properties>
</file>