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rFonts w:ascii="微软雅黑" w:hAnsi="微软雅黑" w:eastAsia="微软雅黑" w:cs="微软雅黑"/>
          <w:i w:val="0"/>
          <w:iCs w:val="0"/>
          <w:caps w:val="0"/>
          <w:color w:val="333333"/>
          <w:spacing w:val="0"/>
          <w:sz w:val="45"/>
          <w:szCs w:val="45"/>
          <w:shd w:val="clear" w:fill="FFFFFF"/>
        </w:rPr>
        <w:t>重庆市丰都县工业园区管理委员会 2020年度部门决算公开说明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33"/>
          <w:szCs w:val="33"/>
          <w:shd w:val="clear" w:fill="FFFFFF"/>
        </w:rPr>
        <w:t>一、部门基本情况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7"/>
          <w:szCs w:val="27"/>
          <w:shd w:val="clear" w:fill="FFFFFF"/>
        </w:rPr>
        <w:t>（一）职能职责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sz w:val="24"/>
          <w:szCs w:val="24"/>
        </w:rPr>
      </w:pPr>
      <w:r>
        <w:rPr>
          <w:rFonts w:ascii="仿宋" w:hAnsi="仿宋" w:eastAsia="仿宋" w:cs="仿宋"/>
          <w:i w:val="0"/>
          <w:iCs w:val="0"/>
          <w:caps w:val="0"/>
          <w:color w:val="333333"/>
          <w:spacing w:val="0"/>
          <w:sz w:val="31"/>
          <w:szCs w:val="31"/>
          <w:shd w:val="clear" w:fill="FFFFFF"/>
        </w:rPr>
        <w:t>1、</w:t>
      </w:r>
      <w:r>
        <w:rPr>
          <w:rFonts w:hint="eastAsia" w:ascii="宋体" w:hAnsi="宋体" w:eastAsia="宋体" w:cs="宋体"/>
          <w:i w:val="0"/>
          <w:iCs w:val="0"/>
          <w:caps w:val="0"/>
          <w:color w:val="333333"/>
          <w:spacing w:val="0"/>
          <w:sz w:val="30"/>
          <w:szCs w:val="30"/>
          <w:shd w:val="clear" w:fill="FFFFFF"/>
        </w:rPr>
        <w:t>重庆丰都工业园区管理委员会。负责编制工业园区产业发展规划并组织实施；负责编制工业园区的开发建设规划，负责工业园区固定投资项目的建设管理，负责工业园区基础设施的建设管理；负责工业园区的招商引资工作；负责入园工业项目及工业企业各种手续的代办服务和人力资源服务工作；负责工业园区市政设施建设、维护和管理，负责工业园区市政、绿化、环卫公用事业管理，负责环境卫生、污水处理、垃圾清运处置；协助相关乡镇（街道）、部门做好工业园区内土地征用和居民搬迁安置工作；负责工业园区财政性资金管理，组织编制实施园区财政预决算，负责工业园区财政收支结算和国有资产监管；负责工业园区安全生产监管工作；承办县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30"/>
          <w:szCs w:val="30"/>
          <w:shd w:val="clear" w:fill="FFFFFF"/>
        </w:rPr>
        <w:t>2、丰都工业园区公用事业服务中心。承担原丰都工业园区企业服务中心、丰都工业园区土地储备中心的公用事业服务职能，为工业园区公用事业服务。负责工业园区市政市容工作；负责工业园区路灯等市政基础设施的日常管理工作；负责工业园区的市政绿化工作。</w:t>
      </w:r>
      <w:r>
        <w:rPr>
          <w:rFonts w:hint="eastAsia" w:ascii="宋体" w:hAnsi="宋体" w:eastAsia="宋体" w:cs="宋体"/>
          <w:i w:val="0"/>
          <w:iCs w:val="0"/>
          <w:caps w:val="0"/>
          <w:color w:val="333333"/>
          <w:spacing w:val="0"/>
          <w:sz w:val="27"/>
          <w:szCs w:val="27"/>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7"/>
          <w:szCs w:val="27"/>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30"/>
          <w:szCs w:val="30"/>
          <w:shd w:val="clear" w:fill="FFFFFF"/>
        </w:rPr>
        <w:t>重庆丰都工业园区管理委员会内设5个职能部室、1个直属事业单位，事业单位为丰都工业园区公用事业服务中心。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7"/>
          <w:szCs w:val="27"/>
          <w:shd w:val="clear" w:fill="FFFFFF"/>
        </w:rPr>
        <w:t>（三）单位构成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30"/>
          <w:szCs w:val="30"/>
          <w:shd w:val="clear" w:fill="FFFFFF"/>
        </w:rPr>
        <w:t>从预算单位构成看，纳入本单位2020年度决算编制的二级预算单位主要包括丰都县工业园区管理委员会（本级）、丰都工业园区公用事业服务中心。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36"/>
          <w:szCs w:val="36"/>
          <w:shd w:val="clear" w:fill="FFFFFF"/>
        </w:rPr>
        <w:t>二、部门决算情况说明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7"/>
          <w:szCs w:val="27"/>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27"/>
          <w:szCs w:val="27"/>
          <w:shd w:val="clear" w:fill="FFFFFF"/>
        </w:rPr>
        <w:t>1.</w:t>
      </w:r>
      <w:r>
        <w:rPr>
          <w:rStyle w:val="5"/>
          <w:rFonts w:hint="eastAsia" w:ascii="宋体" w:hAnsi="宋体" w:eastAsia="宋体" w:cs="宋体"/>
          <w:i w:val="0"/>
          <w:iCs w:val="0"/>
          <w:caps w:val="0"/>
          <w:color w:val="333333"/>
          <w:spacing w:val="0"/>
          <w:sz w:val="27"/>
          <w:szCs w:val="27"/>
          <w:shd w:val="clear" w:fill="FFFFFF"/>
        </w:rPr>
        <w:t>总体情况</w:t>
      </w:r>
      <w:r>
        <w:rPr>
          <w:rFonts w:hint="eastAsia" w:ascii="宋体" w:hAnsi="宋体" w:eastAsia="宋体" w:cs="宋体"/>
          <w:i w:val="0"/>
          <w:iCs w:val="0"/>
          <w:caps w:val="0"/>
          <w:color w:val="333333"/>
          <w:spacing w:val="0"/>
          <w:sz w:val="27"/>
          <w:szCs w:val="27"/>
          <w:shd w:val="clear" w:fill="FFFFFF"/>
        </w:rPr>
        <w:t>。2020年度收入总计17,440.18万元，支出总计17,440.18万元。收支较上年决算数 增加13,012.40万元、 增长293.9%，主要原因是园区基础设施建设资金和招商引资优惠政策兑现增加。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27"/>
          <w:szCs w:val="27"/>
          <w:shd w:val="clear" w:fill="FFFFFF"/>
        </w:rPr>
        <w:t>2.</w:t>
      </w:r>
      <w:r>
        <w:rPr>
          <w:rStyle w:val="5"/>
          <w:rFonts w:hint="eastAsia" w:ascii="宋体" w:hAnsi="宋体" w:eastAsia="宋体" w:cs="宋体"/>
          <w:i w:val="0"/>
          <w:iCs w:val="0"/>
          <w:caps w:val="0"/>
          <w:color w:val="333333"/>
          <w:spacing w:val="0"/>
          <w:sz w:val="27"/>
          <w:szCs w:val="27"/>
          <w:shd w:val="clear" w:fill="FFFFFF"/>
        </w:rPr>
        <w:t>收入情况。</w:t>
      </w:r>
      <w:r>
        <w:rPr>
          <w:rFonts w:hint="eastAsia" w:ascii="宋体" w:hAnsi="宋体" w:eastAsia="宋体" w:cs="宋体"/>
          <w:i w:val="0"/>
          <w:iCs w:val="0"/>
          <w:caps w:val="0"/>
          <w:color w:val="333333"/>
          <w:spacing w:val="0"/>
          <w:sz w:val="27"/>
          <w:szCs w:val="27"/>
          <w:shd w:val="clear" w:fill="FFFFFF"/>
        </w:rPr>
        <w:t>2020年度收入合计17,440.00万元，较上年决算数增加13,019.78万元，增长294.6%，主要原因是园区基础设施建设资金和招商引资优惠政策兑现增加。其中：财政拨款收入17,439.95万元，占100%；其他收入0.05万元，占0%。此外，使用非财政拨款结余0.00万元，年初结转和结余0.18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27"/>
          <w:szCs w:val="27"/>
          <w:shd w:val="clear" w:fill="FFFFFF"/>
        </w:rPr>
        <w:t>3.</w:t>
      </w:r>
      <w:r>
        <w:rPr>
          <w:rStyle w:val="5"/>
          <w:rFonts w:hint="eastAsia" w:ascii="宋体" w:hAnsi="宋体" w:eastAsia="宋体" w:cs="宋体"/>
          <w:i w:val="0"/>
          <w:iCs w:val="0"/>
          <w:caps w:val="0"/>
          <w:color w:val="333333"/>
          <w:spacing w:val="0"/>
          <w:sz w:val="27"/>
          <w:szCs w:val="27"/>
          <w:shd w:val="clear" w:fill="FFFFFF"/>
        </w:rPr>
        <w:t>支出情况。</w:t>
      </w:r>
      <w:r>
        <w:rPr>
          <w:rFonts w:hint="eastAsia" w:ascii="宋体" w:hAnsi="宋体" w:eastAsia="宋体" w:cs="宋体"/>
          <w:i w:val="0"/>
          <w:iCs w:val="0"/>
          <w:caps w:val="0"/>
          <w:color w:val="333333"/>
          <w:spacing w:val="0"/>
          <w:sz w:val="27"/>
          <w:szCs w:val="27"/>
          <w:shd w:val="clear" w:fill="FFFFFF"/>
        </w:rPr>
        <w:t>2020年度支出合计17,439.30万元，较上年决算数增加13,011.71万元，增长293.9%，主要原因是园区基础设施建设资金和招商引资优惠政策兑现增加。其中：基本支出 816.85万元，占4.7%；项目支出16,622.45万元，占95.3%。此外，结余分配0万元。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27"/>
          <w:szCs w:val="27"/>
          <w:shd w:val="clear" w:fill="FFFFFF"/>
        </w:rPr>
        <w:t>4.</w:t>
      </w:r>
      <w:r>
        <w:rPr>
          <w:rStyle w:val="5"/>
          <w:rFonts w:hint="eastAsia" w:ascii="宋体" w:hAnsi="宋体" w:eastAsia="宋体" w:cs="宋体"/>
          <w:i w:val="0"/>
          <w:iCs w:val="0"/>
          <w:caps w:val="0"/>
          <w:color w:val="333333"/>
          <w:spacing w:val="0"/>
          <w:sz w:val="27"/>
          <w:szCs w:val="27"/>
          <w:shd w:val="clear" w:fill="FFFFFF"/>
        </w:rPr>
        <w:t>结转结余情况。</w:t>
      </w:r>
      <w:r>
        <w:rPr>
          <w:rFonts w:hint="eastAsia" w:ascii="宋体" w:hAnsi="宋体" w:eastAsia="宋体" w:cs="宋体"/>
          <w:i w:val="0"/>
          <w:iCs w:val="0"/>
          <w:caps w:val="0"/>
          <w:color w:val="333333"/>
          <w:spacing w:val="0"/>
          <w:sz w:val="27"/>
          <w:szCs w:val="27"/>
          <w:shd w:val="clear" w:fill="FFFFFF"/>
        </w:rPr>
        <w:t>2020年度年末结转和结余0.89万元，较上年决算数增加0.71万元，增长394.4%，主要原因是用今年的资金支付了其他年度应付工程款7040元。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7"/>
          <w:szCs w:val="27"/>
          <w:shd w:val="clear" w:fill="FFFFFF"/>
        </w:rPr>
        <w:t>（二）财政拨款收入支出决算总体情况说明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2020年度财政拨款收、支总计17,440.14万元。与2019年相比，财政拨款收、支总计各增加13,032.36万 元，增长295.7%。主要原因是园区基础设施建设资金和招商引资优惠政策兑现增加。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7"/>
          <w:szCs w:val="27"/>
          <w:shd w:val="clear" w:fill="FFFFFF"/>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27"/>
          <w:szCs w:val="27"/>
          <w:shd w:val="clear" w:fill="FFFFFF"/>
        </w:rPr>
        <w:t>1.</w:t>
      </w:r>
      <w:r>
        <w:rPr>
          <w:rStyle w:val="5"/>
          <w:rFonts w:hint="eastAsia" w:ascii="宋体" w:hAnsi="宋体" w:eastAsia="宋体" w:cs="宋体"/>
          <w:i w:val="0"/>
          <w:iCs w:val="0"/>
          <w:caps w:val="0"/>
          <w:color w:val="333333"/>
          <w:spacing w:val="0"/>
          <w:sz w:val="27"/>
          <w:szCs w:val="27"/>
          <w:shd w:val="clear" w:fill="FFFFFF"/>
        </w:rPr>
        <w:t>收入情况。</w:t>
      </w:r>
      <w:r>
        <w:rPr>
          <w:rFonts w:hint="eastAsia" w:ascii="宋体" w:hAnsi="宋体" w:eastAsia="宋体" w:cs="宋体"/>
          <w:i w:val="0"/>
          <w:iCs w:val="0"/>
          <w:caps w:val="0"/>
          <w:color w:val="333333"/>
          <w:spacing w:val="0"/>
          <w:sz w:val="27"/>
          <w:szCs w:val="27"/>
          <w:shd w:val="clear" w:fill="FFFFFF"/>
        </w:rPr>
        <w:t>2020年度一般公共预算财政拨款收入3,147.61万元，较上年决算数减少1,252.61万元，下降28.5%。主要原因是招商引资优惠政策兑现减少、工业园区内清扫保洁、市政维护内容划出等。较年初预算数增加2,409.69万元，增长326.6%。主要原因是年中追加招商引资优惠政策兑现资金和园区市政维护维修及绿化项目资金。此外，年初财政拨款结转和结余0.18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27"/>
          <w:szCs w:val="27"/>
          <w:shd w:val="clear" w:fill="FFFFFF"/>
        </w:rPr>
        <w:t>2.</w:t>
      </w:r>
      <w:r>
        <w:rPr>
          <w:rStyle w:val="5"/>
          <w:rFonts w:hint="eastAsia" w:ascii="宋体" w:hAnsi="宋体" w:eastAsia="宋体" w:cs="宋体"/>
          <w:i w:val="0"/>
          <w:iCs w:val="0"/>
          <w:caps w:val="0"/>
          <w:color w:val="333333"/>
          <w:spacing w:val="0"/>
          <w:sz w:val="27"/>
          <w:szCs w:val="27"/>
          <w:shd w:val="clear" w:fill="FFFFFF"/>
        </w:rPr>
        <w:t>支出情况。</w:t>
      </w:r>
      <w:r>
        <w:rPr>
          <w:rFonts w:hint="eastAsia" w:ascii="宋体" w:hAnsi="宋体" w:eastAsia="宋体" w:cs="宋体"/>
          <w:i w:val="0"/>
          <w:iCs w:val="0"/>
          <w:caps w:val="0"/>
          <w:color w:val="333333"/>
          <w:spacing w:val="0"/>
          <w:sz w:val="27"/>
          <w:szCs w:val="27"/>
          <w:shd w:val="clear" w:fill="FFFFFF"/>
        </w:rPr>
        <w:t>2020年度一般公共预算财政拨款支出3,146.91万元，较上年决算数减少1,260.68万元，下降28.6%。主要原因是招商引资优惠政策兑现减少和工业园区内清扫保洁、市政维护内容划出等。较年初预算数增加2,408.99万 元，增长326.5%。主要原因是年中人员经费的调整、增加了招商引资优惠政策兑现项目及园区基础设施建设项目和园区市政维护维修及绿化项目。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27"/>
          <w:szCs w:val="27"/>
          <w:shd w:val="clear" w:fill="FFFFFF"/>
        </w:rPr>
        <w:t>3.</w:t>
      </w:r>
      <w:r>
        <w:rPr>
          <w:rStyle w:val="5"/>
          <w:rFonts w:hint="eastAsia" w:ascii="宋体" w:hAnsi="宋体" w:eastAsia="宋体" w:cs="宋体"/>
          <w:i w:val="0"/>
          <w:iCs w:val="0"/>
          <w:caps w:val="0"/>
          <w:color w:val="333333"/>
          <w:spacing w:val="0"/>
          <w:sz w:val="27"/>
          <w:szCs w:val="27"/>
          <w:shd w:val="clear" w:fill="FFFFFF"/>
        </w:rPr>
        <w:t>结转结余情况。</w:t>
      </w:r>
      <w:r>
        <w:rPr>
          <w:rFonts w:hint="eastAsia" w:ascii="宋体" w:hAnsi="宋体" w:eastAsia="宋体" w:cs="宋体"/>
          <w:i w:val="0"/>
          <w:iCs w:val="0"/>
          <w:caps w:val="0"/>
          <w:color w:val="333333"/>
          <w:spacing w:val="0"/>
          <w:sz w:val="27"/>
          <w:szCs w:val="27"/>
          <w:shd w:val="clear" w:fill="FFFFFF"/>
        </w:rPr>
        <w:t>2020年度年末一般公共预算财政拨款结转和结余0.89万元，较上年决算数增加0.71万元，增长394.4%，主要原因是用今年的资金支付了其他年度应付工程款7040元。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27"/>
          <w:szCs w:val="27"/>
          <w:shd w:val="clear" w:fill="FFFFFF"/>
        </w:rPr>
        <w:t>4.</w:t>
      </w:r>
      <w:r>
        <w:rPr>
          <w:rStyle w:val="5"/>
          <w:rFonts w:hint="eastAsia" w:ascii="宋体" w:hAnsi="宋体" w:eastAsia="宋体" w:cs="宋体"/>
          <w:i w:val="0"/>
          <w:iCs w:val="0"/>
          <w:caps w:val="0"/>
          <w:color w:val="333333"/>
          <w:spacing w:val="0"/>
          <w:sz w:val="27"/>
          <w:szCs w:val="27"/>
          <w:shd w:val="clear" w:fill="FFFFFF"/>
        </w:rPr>
        <w:t>比较情况</w:t>
      </w:r>
      <w:r>
        <w:rPr>
          <w:rFonts w:hint="eastAsia" w:ascii="宋体" w:hAnsi="宋体" w:eastAsia="宋体" w:cs="宋体"/>
          <w:i w:val="0"/>
          <w:iCs w:val="0"/>
          <w:caps w:val="0"/>
          <w:color w:val="333333"/>
          <w:spacing w:val="0"/>
          <w:sz w:val="27"/>
          <w:szCs w:val="27"/>
          <w:shd w:val="clear" w:fill="FFFFFF"/>
        </w:rPr>
        <w:t>。本部门2020年度一般公共预算财政拨款支出主要用于以下几个方面：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（1）一般公共服务支出2,143.82万元，占68.1%，较年初预算数增加1,564.69万 元，增长270.2%，主要原因是人员经费的调整、办公支行经费支出、招商引资优惠政策兑现及园区基础设施建设项目支出增加。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（2）科学技术支出114.14万元，占3.6%，较年初预算数增加114.14万 元，增长100%，主要原因是年中追加招商引资优惠政策兑现资金。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（3）社会保障与就业支出88.74万元，占2.8%，较年初预算数增加4.86万 元，增长5.8%，主要原因是职工养老保险及职业年金正常调整。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（4）卫生健康支出41.26万元，占1.3%，较年初预算数增加1.21万 元，增长3%，主要原因是职工医疗保险正常调整。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（5）城乡社区支出282.29万元，占9%，较年初预算数增加282.29万 元，增长100%，主要原因是园区基础设施建设资金增加。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（6）金融支出437.15万元，占13.9%，较年初预算数增加437.15万 元，增长100%，主要原因是园区基础设施建设资金增加。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（7）住房保障支出36.32万元，占1.2%，较年初预算数增加1.46万 元，增长4.2%，主要原因是职工住房公积金正常调整。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（8）其他支出3.19万元，占0.1%，较年初预算数增加3.19万 元，增长100%，主要原因是工业园区非公党组织活动经费增加。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7"/>
          <w:szCs w:val="27"/>
          <w:shd w:val="clear" w:fill="FFFFFF"/>
        </w:rPr>
        <w:t>（四）一般公共预算财政拨款基本支出决算情况说明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2020年度一般公共财政拨款基本支出816.80万元。其中：人员经费677.65万元，较上年决算数增加31.87万 元，增长4.9%，主要原因是职工正常调资、人员调入以及上年发放了以前年度的目标绩效工资。人员经费用途主要包括基本工资、津贴补贴、奖金、绩效工资、社会保障费、住房公积金等。公用经费139.15万元，较上年决算数增加11.29万元，增长8.8%，主要原因是广告宣传费用增加。公用经费用途主要包括办公费、印刷费、咨询费、水电费、邮电费、差旅费、维护费、租赁费、培训费、公务接待费、委托业务费、工会经费、其他交通费用、劳务费、公车运行维护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7"/>
          <w:szCs w:val="27"/>
          <w:shd w:val="clear" w:fill="FFFFFF"/>
        </w:rPr>
        <w:t>（五）政府性基金预算收支决算情况说明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2020年度政府性基金预算财政拨款年初结转结余0.00万元，年末结转结余0.00万元。本年收入14,292.34万元，较上年决算数增加14,292.34万元，增长100%，主要原因是园区基础设施建设项目资金增加。本年支出14,292.34万元，较上年决算数增加14,292.34万元，增长%，主要原因是园区基础设施建设项目资金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7"/>
          <w:szCs w:val="27"/>
          <w:shd w:val="clear" w:fill="FFFFFF"/>
        </w:rPr>
        <w:t>（六）国有资本经营预算财政拨款支出决算情况说明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本部门2020年度无国有资本经营预算财政拨款支出。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36"/>
          <w:szCs w:val="36"/>
          <w:shd w:val="clear" w:fill="FFFFFF"/>
        </w:rPr>
        <w:t>三、“三公”经费情况说明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7"/>
          <w:szCs w:val="27"/>
          <w:shd w:val="clear" w:fill="FFFFFF"/>
        </w:rPr>
        <w:t>（一）“三公”经费支出总体情况说明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2020年度“三公”经费支出共计10.53万元，较年初预算数减少12.27万元，下降53.8%，主要原因是招商引资接待费减少、园区清扫保洁、市政维护内容划出，降低特种车辆运行费用。较上年支出数减少19.90万 元，下降65.4%，主要原因是一是认真贯彻落实中央八项规定精神，按照只减不增的要求从严控制“三公”经费，全年实际支出较去年有所下降。二是强化公务接待支出管理，严格遵守公务接待开支范围和开支标准，严格控制陪餐人数，对应由接待对象承担的费用一律由接待对象自行支付，公务接待费大幅下降。三是区清扫保洁、市政维护内容划出，降低特种车辆运行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7"/>
          <w:szCs w:val="27"/>
          <w:shd w:val="clear" w:fill="FFFFFF"/>
        </w:rPr>
        <w:t>（二）“三公”经费分项支出情况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本部门2020年度未发生因公出国（境）费用，与上年持平。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本部门2020年度未发生公务车购置费，与上年度持平。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公务车运行维护费2.50万元，主要用于本单位特种车辆运行维护支出。费用支出较年初预算数减少5.50万元，下降68.8%，较上年支出数减少4.25万元，下降63%，较年初预算和上年决算下降的主要原因是园区清扫保洁、市政维护内容划出，降低特种车辆运行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公务接待费8.03万元，主要用于招商引资项目接待费用。费用支出较年初预算数减少6.77万元，下降45.7%。较上年支出数减少15.65万元，下降66.1%，较年初预算和上年决算下降的主要原因是招商引资接待中严格控制接待标准和陪餐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7"/>
          <w:szCs w:val="27"/>
          <w:shd w:val="clear" w:fill="FFFFFF"/>
        </w:rPr>
        <w:t>（三）“三公”经费实物量情况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2020年度本部门因公出国（境）共计0个团组，0人；公务用车购置0辆，公务车保有量为4辆；国内公务接待89批次816人，其中：国内外 事接待0批次，0人；国（境）外公务接待0批次，0人。2020年本部门人均接待费98.38元，车均购置费0.00万元，车均维护费0.63万元。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36"/>
          <w:szCs w:val="36"/>
          <w:shd w:val="clear" w:fill="FFFFFF"/>
        </w:rPr>
        <w:t>四、其他需要说明的事项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7"/>
          <w:szCs w:val="27"/>
          <w:shd w:val="clear" w:fill="FFFFFF"/>
        </w:rPr>
        <w:t>（一）机关运行经费情况说明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2020年度本部门机关运行经费支出93.19万元，机关运行经费主要用于开支办公费、印刷费、水费、电费、邮电费、差旅费、租赁费、培训费、公务接待费、</w:t>
      </w:r>
      <w:bookmarkStart w:id="0" w:name="_GoBack"/>
      <w:bookmarkEnd w:id="0"/>
      <w:r>
        <w:rPr>
          <w:rFonts w:hint="eastAsia" w:ascii="宋体" w:hAnsi="宋体" w:eastAsia="宋体" w:cs="宋体"/>
          <w:i w:val="0"/>
          <w:iCs w:val="0"/>
          <w:caps w:val="0"/>
          <w:color w:val="333333"/>
          <w:spacing w:val="0"/>
          <w:sz w:val="27"/>
          <w:szCs w:val="27"/>
          <w:shd w:val="clear" w:fill="FFFFFF"/>
        </w:rPr>
        <w:t>劳务费、工会经费、其他交通费用等。 机关运行经费较上年决算数增加9.63万元，增长11.5%，主要原因是为开展工作需要，增加广告宣传费用。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本年度会议费支出0.00万元，与上年决算数持平。本年度培训费支出 2.17万元，较上年决算数增加0.53万元，增长32.3%，主要原因是2020年我单位加强了职工的业务及党内相关知识的网络培训。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7"/>
          <w:szCs w:val="27"/>
          <w:shd w:val="clear" w:fill="FFFFFF"/>
        </w:rPr>
        <w:t>（二）国有资产占用情况说明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截至2020年12月31日，本部门共有车辆4辆，其中，副部（省）级及以上领导用车0辆、主要领导干部用车0辆、机要通信用车0辆、应急保障用车0辆、执法执勤用车0辆，特种专业技术用车4辆，离退休干部用车0辆，其他用车0辆。单价50万元（含）以上通用设备0台（套），单价100万元（含）以上专用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7"/>
          <w:szCs w:val="27"/>
          <w:shd w:val="clear" w:fill="FFFFFF"/>
        </w:rPr>
        <w:t>（三）政府采购支出情况说明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2020年度本部门政府采购支出总额4.59万元，其中：政府采购货物支出4.59万元、政府采购工程支出0.00万元、政府采购服务支出0.00万元。授予中小企业合同金额4.59万元，占政府采购支出总额的100%，其中：授予小微企业合同金额 4.59万元，占政府采购支出总额的100%。主要用于采购办公电脑和正版办公软件及操作系统。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36"/>
          <w:szCs w:val="36"/>
          <w:shd w:val="clear" w:fill="FFFFFF"/>
        </w:rPr>
        <w:t>五、预算绩效管理情况说明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7"/>
          <w:szCs w:val="27"/>
          <w:shd w:val="clear" w:fill="FFFFFF"/>
        </w:rPr>
        <w:t>（一）预算绩效管理工作开展情况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7"/>
          <w:szCs w:val="27"/>
          <w:shd w:val="clear" w:fill="FFFFFF"/>
        </w:rPr>
        <w:t>根据预算绩效管理要求，本部门对5个项目开展了绩效自评，其中，以填报目标自评表形式开展自评5项，涉及资金5145.74万元；以委托第三方形式开展绩效自评0项，涉及资金0万元，从评价情况来看，我单位项目专项工作均已完成当年计划，完成了年度绩效目标。所有项目的日常管理工作均按照我单位相关管理制度执行，建 立了工作有计划、实施有方案、日常有监督的管理机制，工作取得了 较好的成效，效能得到了提高、获得了社会公众的好评率95%以上。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7"/>
          <w:szCs w:val="27"/>
          <w:shd w:val="clear" w:fill="FFFFFF"/>
        </w:rPr>
        <w:t>（二）绩效自评结果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50" w:lineRule="atLeast"/>
        <w:ind w:left="0" w:right="0" w:firstLine="420"/>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27"/>
          <w:szCs w:val="27"/>
          <w:shd w:val="clear" w:fill="FFFFFF"/>
        </w:rPr>
        <w:t>1.</w:t>
      </w:r>
      <w:r>
        <w:rPr>
          <w:rStyle w:val="5"/>
          <w:rFonts w:hint="eastAsia" w:ascii="宋体" w:hAnsi="宋体" w:eastAsia="宋体" w:cs="宋体"/>
          <w:i w:val="0"/>
          <w:iCs w:val="0"/>
          <w:caps w:val="0"/>
          <w:color w:val="333333"/>
          <w:spacing w:val="0"/>
          <w:sz w:val="27"/>
          <w:szCs w:val="27"/>
          <w:shd w:val="clear" w:fill="FFFFFF"/>
        </w:rPr>
        <w:t>绩效自评表</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0"/>
        <w:gridCol w:w="5"/>
        <w:gridCol w:w="750"/>
        <w:gridCol w:w="868"/>
        <w:gridCol w:w="983"/>
        <w:gridCol w:w="97"/>
        <w:gridCol w:w="1076"/>
        <w:gridCol w:w="975"/>
        <w:gridCol w:w="991"/>
        <w:gridCol w:w="225"/>
        <w:gridCol w:w="792"/>
        <w:gridCol w:w="79"/>
        <w:gridCol w:w="86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9645" w:type="dxa"/>
            <w:gridSpan w:val="13"/>
            <w:tcBorders>
              <w:top w:val="nil"/>
              <w:left w:val="nil"/>
              <w:bottom w:val="nil"/>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420"/>
              <w:jc w:val="center"/>
              <w:rPr>
                <w:rFonts w:hint="eastAsia" w:ascii="宋体" w:hAnsi="宋体" w:eastAsia="宋体" w:cs="宋体"/>
                <w:sz w:val="24"/>
                <w:szCs w:val="24"/>
              </w:rPr>
            </w:pPr>
            <w:r>
              <w:rPr>
                <w:rFonts w:hint="default" w:ascii="Times New Roman" w:hAnsi="Times New Roman" w:eastAsia="宋体" w:cs="Times New Roman"/>
                <w:sz w:val="36"/>
                <w:szCs w:val="3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20"/>
              <w:jc w:val="center"/>
              <w:rPr>
                <w:rFonts w:hint="eastAsia" w:ascii="宋体" w:hAnsi="宋体" w:eastAsia="宋体" w:cs="宋体"/>
                <w:sz w:val="24"/>
                <w:szCs w:val="24"/>
              </w:rPr>
            </w:pPr>
            <w:r>
              <w:rPr>
                <w:rFonts w:hint="default" w:ascii="Times New Roman" w:hAnsi="Times New Roman" w:eastAsia="宋体" w:cs="Times New Roman"/>
                <w:sz w:val="36"/>
                <w:szCs w:val="36"/>
              </w:rPr>
              <w:t>2020</w:t>
            </w:r>
            <w:r>
              <w:rPr>
                <w:rFonts w:ascii="方正小标宋_GBK" w:hAnsi="方正小标宋_GBK" w:eastAsia="方正小标宋_GBK" w:cs="方正小标宋_GBK"/>
                <w:sz w:val="36"/>
                <w:szCs w:val="36"/>
              </w:rPr>
              <w:t>年度项目绩效自评表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0" w:hRule="atLeast"/>
          <w:jc w:val="center"/>
        </w:trPr>
        <w:tc>
          <w:tcPr>
            <w:tcW w:w="69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ascii="方正仿宋_GBK" w:hAnsi="方正仿宋_GBK" w:eastAsia="方正仿宋_GBK" w:cs="方正仿宋_GBK"/>
                <w:sz w:val="18"/>
                <w:szCs w:val="18"/>
              </w:rPr>
              <w:t>项目</w:t>
            </w:r>
            <w:r>
              <w:rPr>
                <w:rFonts w:hint="default" w:ascii="方正仿宋_GBK" w:hAnsi="方正仿宋_GBK" w:eastAsia="方正仿宋_GBK" w:cs="方正仿宋_GBK"/>
                <w:sz w:val="18"/>
                <w:szCs w:val="18"/>
              </w:rPr>
              <w:t>名称</w:t>
            </w:r>
          </w:p>
        </w:tc>
        <w:tc>
          <w:tcPr>
            <w:tcW w:w="4410" w:type="dxa"/>
            <w:gridSpan w:val="6"/>
            <w:tcBorders>
              <w:top w:val="single" w:color="auto" w:sz="6" w:space="0"/>
              <w:left w:val="nil"/>
              <w:bottom w:val="single" w:color="auto"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丰都县工业园区联网道路工程</w:t>
            </w:r>
          </w:p>
        </w:tc>
        <w:tc>
          <w:tcPr>
            <w:tcW w:w="735"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自评总分</w:t>
            </w:r>
          </w:p>
        </w:tc>
        <w:tc>
          <w:tcPr>
            <w:tcW w:w="3810" w:type="dxa"/>
            <w:gridSpan w:val="5"/>
            <w:tcBorders>
              <w:top w:val="single" w:color="auto" w:sz="6" w:space="0"/>
              <w:left w:val="nil"/>
              <w:bottom w:val="single" w:color="auto"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87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705" w:type="dxa"/>
            <w:gridSpan w:val="2"/>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主管部门</w:t>
            </w:r>
          </w:p>
        </w:tc>
        <w:tc>
          <w:tcPr>
            <w:tcW w:w="4395" w:type="dxa"/>
            <w:gridSpan w:val="5"/>
            <w:tcBorders>
              <w:top w:val="nil"/>
              <w:left w:val="nil"/>
              <w:bottom w:val="single" w:color="auto"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重庆丰都工业园区管理委员会</w:t>
            </w:r>
          </w:p>
        </w:tc>
        <w:tc>
          <w:tcPr>
            <w:tcW w:w="735"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实施单位</w:t>
            </w:r>
          </w:p>
        </w:tc>
        <w:tc>
          <w:tcPr>
            <w:tcW w:w="3810" w:type="dxa"/>
            <w:gridSpan w:val="5"/>
            <w:tcBorders>
              <w:top w:val="nil"/>
              <w:left w:val="nil"/>
              <w:bottom w:val="single" w:color="auto"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重庆丰敦投资开发有限公司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705" w:type="dxa"/>
            <w:gridSpan w:val="2"/>
            <w:vMerge w:val="restart"/>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项目资金（万元）</w:t>
            </w:r>
          </w:p>
        </w:tc>
        <w:tc>
          <w:tcPr>
            <w:tcW w:w="1695" w:type="dxa"/>
            <w:gridSpan w:val="2"/>
            <w:tcBorders>
              <w:top w:val="nil"/>
              <w:left w:val="nil"/>
              <w:bottom w:val="single" w:color="auto" w:sz="6" w:space="0"/>
              <w:right w:val="nil"/>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140" w:type="dxa"/>
            <w:tcBorders>
              <w:top w:val="nil"/>
              <w:left w:val="single" w:color="auto" w:sz="6" w:space="0"/>
              <w:bottom w:val="single" w:color="auto"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年初预算数</w:t>
            </w:r>
          </w:p>
        </w:tc>
        <w:tc>
          <w:tcPr>
            <w:tcW w:w="1560" w:type="dxa"/>
            <w:gridSpan w:val="2"/>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全年预算数</w:t>
            </w:r>
          </w:p>
        </w:tc>
        <w:tc>
          <w:tcPr>
            <w:tcW w:w="735"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全年执行数</w:t>
            </w:r>
          </w:p>
        </w:tc>
        <w:tc>
          <w:tcPr>
            <w:tcW w:w="1545"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分值</w:t>
            </w:r>
          </w:p>
        </w:tc>
        <w:tc>
          <w:tcPr>
            <w:tcW w:w="1080" w:type="dxa"/>
            <w:gridSpan w:val="2"/>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执行率</w:t>
            </w:r>
            <w:r>
              <w:rPr>
                <w:rFonts w:hint="default" w:ascii="Times New Roman" w:hAnsi="Times New Roman" w:eastAsia="宋体" w:cs="Times New Roman"/>
                <w:sz w:val="18"/>
                <w:szCs w:val="18"/>
              </w:rPr>
              <w:br w:type="textWrapping"/>
            </w:r>
            <w:r>
              <w:rPr>
                <w:rFonts w:hint="default" w:ascii="方正仿宋_GBK" w:hAnsi="方正仿宋_GBK" w:eastAsia="方正仿宋_GBK" w:cs="方正仿宋_GBK"/>
                <w:sz w:val="18"/>
                <w:szCs w:val="18"/>
              </w:rPr>
              <w:t>（</w:t>
            </w:r>
            <w:r>
              <w:rPr>
                <w:rFonts w:hint="default" w:ascii="Times New Roman" w:hAnsi="Times New Roman" w:eastAsia="宋体" w:cs="Times New Roman"/>
                <w:sz w:val="18"/>
                <w:szCs w:val="18"/>
              </w:rPr>
              <w:t>%</w:t>
            </w:r>
            <w:r>
              <w:rPr>
                <w:rFonts w:hint="default" w:ascii="方正仿宋_GBK" w:hAnsi="方正仿宋_GBK" w:eastAsia="方正仿宋_GBK" w:cs="方正仿宋_GBK"/>
                <w:sz w:val="18"/>
                <w:szCs w:val="18"/>
              </w:rPr>
              <w:t>）</w:t>
            </w:r>
          </w:p>
        </w:tc>
        <w:tc>
          <w:tcPr>
            <w:tcW w:w="1185" w:type="dxa"/>
            <w:gridSpan w:val="2"/>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执行率得分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705" w:type="dxa"/>
            <w:gridSpan w:val="2"/>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695" w:type="dxa"/>
            <w:gridSpan w:val="2"/>
            <w:tcBorders>
              <w:top w:val="nil"/>
              <w:left w:val="nil"/>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年度总金额</w:t>
            </w:r>
          </w:p>
        </w:tc>
        <w:tc>
          <w:tcPr>
            <w:tcW w:w="1140" w:type="dxa"/>
            <w:tcBorders>
              <w:top w:val="nil"/>
              <w:left w:val="single" w:color="auto" w:sz="6" w:space="0"/>
              <w:bottom w:val="single" w:color="auto"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0</w:t>
            </w:r>
          </w:p>
        </w:tc>
        <w:tc>
          <w:tcPr>
            <w:tcW w:w="1560" w:type="dxa"/>
            <w:gridSpan w:val="2"/>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256.5</w:t>
            </w:r>
          </w:p>
        </w:tc>
        <w:tc>
          <w:tcPr>
            <w:tcW w:w="735"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256.5</w:t>
            </w:r>
          </w:p>
        </w:tc>
        <w:tc>
          <w:tcPr>
            <w:tcW w:w="1545"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89</w:t>
            </w:r>
          </w:p>
        </w:tc>
        <w:tc>
          <w:tcPr>
            <w:tcW w:w="1080" w:type="dxa"/>
            <w:gridSpan w:val="2"/>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100%</w:t>
            </w:r>
          </w:p>
        </w:tc>
        <w:tc>
          <w:tcPr>
            <w:tcW w:w="1185" w:type="dxa"/>
            <w:gridSpan w:val="2"/>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705" w:type="dxa"/>
            <w:gridSpan w:val="2"/>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695" w:type="dxa"/>
            <w:gridSpan w:val="2"/>
            <w:tcBorders>
              <w:top w:val="nil"/>
              <w:left w:val="nil"/>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其中：财政拨款</w:t>
            </w:r>
          </w:p>
        </w:tc>
        <w:tc>
          <w:tcPr>
            <w:tcW w:w="1140" w:type="dxa"/>
            <w:tcBorders>
              <w:top w:val="nil"/>
              <w:left w:val="single" w:color="auto" w:sz="6" w:space="0"/>
              <w:bottom w:val="single" w:color="auto"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0</w:t>
            </w:r>
          </w:p>
        </w:tc>
        <w:tc>
          <w:tcPr>
            <w:tcW w:w="1560" w:type="dxa"/>
            <w:gridSpan w:val="2"/>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256.5</w:t>
            </w:r>
          </w:p>
        </w:tc>
        <w:tc>
          <w:tcPr>
            <w:tcW w:w="735"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256.5</w:t>
            </w:r>
          </w:p>
        </w:tc>
        <w:tc>
          <w:tcPr>
            <w:tcW w:w="1545"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080" w:type="dxa"/>
            <w:gridSpan w:val="2"/>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185" w:type="dxa"/>
            <w:gridSpan w:val="2"/>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705" w:type="dxa"/>
            <w:gridSpan w:val="2"/>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695" w:type="dxa"/>
            <w:gridSpan w:val="2"/>
            <w:tcBorders>
              <w:top w:val="nil"/>
              <w:left w:val="nil"/>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上年结转结余</w:t>
            </w:r>
          </w:p>
        </w:tc>
        <w:tc>
          <w:tcPr>
            <w:tcW w:w="1140" w:type="dxa"/>
            <w:tcBorders>
              <w:top w:val="nil"/>
              <w:left w:val="single" w:color="auto" w:sz="6" w:space="0"/>
              <w:bottom w:val="single" w:color="auto"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560" w:type="dxa"/>
            <w:gridSpan w:val="2"/>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735"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545"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080" w:type="dxa"/>
            <w:gridSpan w:val="2"/>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185" w:type="dxa"/>
            <w:gridSpan w:val="2"/>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jc w:val="center"/>
        </w:trPr>
        <w:tc>
          <w:tcPr>
            <w:tcW w:w="705" w:type="dxa"/>
            <w:gridSpan w:val="2"/>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695" w:type="dxa"/>
            <w:gridSpan w:val="2"/>
            <w:tcBorders>
              <w:top w:val="nil"/>
              <w:left w:val="nil"/>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其他资金</w:t>
            </w:r>
          </w:p>
        </w:tc>
        <w:tc>
          <w:tcPr>
            <w:tcW w:w="1140" w:type="dxa"/>
            <w:tcBorders>
              <w:top w:val="nil"/>
              <w:left w:val="single" w:color="auto" w:sz="6" w:space="0"/>
              <w:bottom w:val="single" w:color="auto"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560" w:type="dxa"/>
            <w:gridSpan w:val="2"/>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735"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545"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080" w:type="dxa"/>
            <w:gridSpan w:val="2"/>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185" w:type="dxa"/>
            <w:gridSpan w:val="2"/>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705" w:type="dxa"/>
            <w:gridSpan w:val="2"/>
            <w:vMerge w:val="restart"/>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年度总体目标</w:t>
            </w:r>
          </w:p>
        </w:tc>
        <w:tc>
          <w:tcPr>
            <w:tcW w:w="4395" w:type="dxa"/>
            <w:gridSpan w:val="5"/>
            <w:tcBorders>
              <w:top w:val="nil"/>
              <w:left w:val="nil"/>
              <w:bottom w:val="single" w:color="auto"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预期目标</w:t>
            </w:r>
          </w:p>
        </w:tc>
        <w:tc>
          <w:tcPr>
            <w:tcW w:w="4530" w:type="dxa"/>
            <w:gridSpan w:val="6"/>
            <w:tcBorders>
              <w:top w:val="nil"/>
              <w:left w:val="nil"/>
              <w:bottom w:val="single" w:color="auto"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全年完成情况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35" w:hRule="atLeast"/>
          <w:jc w:val="center"/>
        </w:trPr>
        <w:tc>
          <w:tcPr>
            <w:tcW w:w="705" w:type="dxa"/>
            <w:gridSpan w:val="2"/>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4395" w:type="dxa"/>
            <w:gridSpan w:val="5"/>
            <w:tcBorders>
              <w:top w:val="nil"/>
              <w:left w:val="nil"/>
              <w:bottom w:val="single" w:color="auto"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完成丰都工业园区联网道路工程（除</w:t>
            </w:r>
            <w:r>
              <w:rPr>
                <w:rFonts w:hint="default" w:ascii="Times New Roman" w:hAnsi="Times New Roman" w:eastAsia="方正仿宋_GBK" w:cs="Times New Roman"/>
                <w:sz w:val="18"/>
                <w:szCs w:val="18"/>
              </w:rPr>
              <w:t>Z6</w:t>
            </w:r>
            <w:r>
              <w:rPr>
                <w:rFonts w:hint="default" w:ascii="方正仿宋_GBK" w:hAnsi="方正仿宋_GBK" w:eastAsia="方正仿宋_GBK" w:cs="方正仿宋_GBK"/>
                <w:sz w:val="18"/>
                <w:szCs w:val="18"/>
              </w:rPr>
              <w:t>、</w:t>
            </w:r>
            <w:r>
              <w:rPr>
                <w:rFonts w:hint="default" w:ascii="Times New Roman" w:hAnsi="Times New Roman" w:eastAsia="方正仿宋_GBK" w:cs="Times New Roman"/>
                <w:sz w:val="18"/>
                <w:szCs w:val="18"/>
              </w:rPr>
              <w:t>Z6</w:t>
            </w:r>
            <w:r>
              <w:rPr>
                <w:rFonts w:hint="default" w:ascii="方正仿宋_GBK" w:hAnsi="方正仿宋_GBK" w:eastAsia="方正仿宋_GBK" w:cs="方正仿宋_GBK"/>
                <w:sz w:val="18"/>
                <w:szCs w:val="18"/>
              </w:rPr>
              <w:t>支路、南拓连接道局部），包括路基、路面、管网、电照。</w:t>
            </w:r>
          </w:p>
        </w:tc>
        <w:tc>
          <w:tcPr>
            <w:tcW w:w="4530" w:type="dxa"/>
            <w:gridSpan w:val="6"/>
            <w:tcBorders>
              <w:top w:val="nil"/>
              <w:left w:val="nil"/>
              <w:bottom w:val="single" w:color="auto"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已完成丰都工业园区联网道路工程（除</w:t>
            </w:r>
            <w:r>
              <w:rPr>
                <w:rFonts w:hint="default" w:ascii="Times New Roman" w:hAnsi="Times New Roman" w:eastAsia="方正仿宋_GBK" w:cs="Times New Roman"/>
                <w:sz w:val="18"/>
                <w:szCs w:val="18"/>
              </w:rPr>
              <w:t>Z6</w:t>
            </w:r>
            <w:r>
              <w:rPr>
                <w:rFonts w:hint="default" w:ascii="方正仿宋_GBK" w:hAnsi="方正仿宋_GBK" w:eastAsia="方正仿宋_GBK" w:cs="方正仿宋_GBK"/>
                <w:sz w:val="18"/>
                <w:szCs w:val="18"/>
              </w:rPr>
              <w:t>、</w:t>
            </w:r>
            <w:r>
              <w:rPr>
                <w:rFonts w:hint="default" w:ascii="Times New Roman" w:hAnsi="Times New Roman" w:eastAsia="方正仿宋_GBK" w:cs="Times New Roman"/>
                <w:sz w:val="18"/>
                <w:szCs w:val="18"/>
              </w:rPr>
              <w:t>Z6</w:t>
            </w:r>
            <w:r>
              <w:rPr>
                <w:rFonts w:hint="default" w:ascii="方正仿宋_GBK" w:hAnsi="方正仿宋_GBK" w:eastAsia="方正仿宋_GBK" w:cs="方正仿宋_GBK"/>
                <w:sz w:val="18"/>
                <w:szCs w:val="18"/>
              </w:rPr>
              <w:t>支路、南拓连接道局部），包括路基、路面、管网、电照。财政拨款用于购道路照明路灯</w:t>
            </w:r>
            <w:r>
              <w:rPr>
                <w:rFonts w:hint="default" w:ascii="Times New Roman" w:hAnsi="Times New Roman" w:eastAsia="方正仿宋_GBK" w:cs="Times New Roman"/>
                <w:sz w:val="18"/>
                <w:szCs w:val="18"/>
              </w:rPr>
              <w:t>1251</w:t>
            </w:r>
            <w:r>
              <w:rPr>
                <w:rFonts w:hint="default" w:ascii="方正仿宋_GBK" w:hAnsi="方正仿宋_GBK" w:eastAsia="方正仿宋_GBK" w:cs="方正仿宋_GBK"/>
                <w:sz w:val="18"/>
                <w:szCs w:val="18"/>
              </w:rPr>
              <w:t>盏，已达到预期目标。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705" w:type="dxa"/>
            <w:gridSpan w:val="2"/>
            <w:vMerge w:val="restart"/>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绩效指标</w:t>
            </w:r>
          </w:p>
        </w:tc>
        <w:tc>
          <w:tcPr>
            <w:tcW w:w="570" w:type="dxa"/>
            <w:tcBorders>
              <w:top w:val="nil"/>
              <w:left w:val="nil"/>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一级指标</w:t>
            </w:r>
          </w:p>
        </w:tc>
        <w:tc>
          <w:tcPr>
            <w:tcW w:w="1140"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二级指标</w:t>
            </w:r>
          </w:p>
        </w:tc>
        <w:tc>
          <w:tcPr>
            <w:tcW w:w="1425" w:type="dxa"/>
            <w:gridSpan w:val="2"/>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三级指标</w:t>
            </w:r>
          </w:p>
        </w:tc>
        <w:tc>
          <w:tcPr>
            <w:tcW w:w="1275"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年度指标值</w:t>
            </w:r>
          </w:p>
        </w:tc>
        <w:tc>
          <w:tcPr>
            <w:tcW w:w="2505" w:type="dxa"/>
            <w:gridSpan w:val="3"/>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实际</w:t>
            </w:r>
            <w:r>
              <w:rPr>
                <w:rFonts w:hint="default" w:ascii="Times New Roman" w:hAnsi="Times New Roman" w:eastAsia="宋体" w:cs="Times New Roman"/>
                <w:sz w:val="18"/>
                <w:szCs w:val="18"/>
              </w:rPr>
              <w:br w:type="textWrapping"/>
            </w:r>
            <w:r>
              <w:rPr>
                <w:rFonts w:hint="default" w:ascii="方正仿宋_GBK" w:hAnsi="方正仿宋_GBK" w:eastAsia="方正仿宋_GBK" w:cs="方正仿宋_GBK"/>
                <w:sz w:val="18"/>
                <w:szCs w:val="18"/>
              </w:rPr>
              <w:t>完成值</w:t>
            </w:r>
          </w:p>
        </w:tc>
        <w:tc>
          <w:tcPr>
            <w:tcW w:w="1080" w:type="dxa"/>
            <w:gridSpan w:val="2"/>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分值</w:t>
            </w:r>
          </w:p>
        </w:tc>
        <w:tc>
          <w:tcPr>
            <w:tcW w:w="945"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5" w:hRule="atLeast"/>
          <w:jc w:val="center"/>
        </w:trPr>
        <w:tc>
          <w:tcPr>
            <w:tcW w:w="705" w:type="dxa"/>
            <w:gridSpan w:val="2"/>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570" w:type="dxa"/>
            <w:vMerge w:val="restart"/>
            <w:tcBorders>
              <w:top w:val="nil"/>
              <w:left w:val="nil"/>
              <w:bottom w:val="nil"/>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产出指标</w:t>
            </w:r>
          </w:p>
        </w:tc>
        <w:tc>
          <w:tcPr>
            <w:tcW w:w="1140"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数量指标</w:t>
            </w:r>
          </w:p>
        </w:tc>
        <w:tc>
          <w:tcPr>
            <w:tcW w:w="1425"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购置道路照明路灯</w:t>
            </w:r>
          </w:p>
        </w:tc>
        <w:tc>
          <w:tcPr>
            <w:tcW w:w="1275"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方正仿宋_GBK" w:cs="Times New Roman"/>
                <w:sz w:val="18"/>
                <w:szCs w:val="18"/>
              </w:rPr>
              <w:t>1251</w:t>
            </w:r>
            <w:r>
              <w:rPr>
                <w:rFonts w:hint="default" w:ascii="方正仿宋_GBK" w:hAnsi="方正仿宋_GBK" w:eastAsia="方正仿宋_GBK" w:cs="方正仿宋_GBK"/>
                <w:sz w:val="18"/>
                <w:szCs w:val="18"/>
              </w:rPr>
              <w:t>盏</w:t>
            </w:r>
          </w:p>
        </w:tc>
        <w:tc>
          <w:tcPr>
            <w:tcW w:w="2505" w:type="dxa"/>
            <w:gridSpan w:val="3"/>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方正仿宋_GBK" w:cs="Times New Roman"/>
                <w:sz w:val="18"/>
                <w:szCs w:val="18"/>
              </w:rPr>
              <w:t>1251</w:t>
            </w:r>
            <w:r>
              <w:rPr>
                <w:rFonts w:hint="default" w:ascii="方正仿宋_GBK" w:hAnsi="方正仿宋_GBK" w:eastAsia="方正仿宋_GBK" w:cs="方正仿宋_GBK"/>
                <w:sz w:val="18"/>
                <w:szCs w:val="18"/>
              </w:rPr>
              <w:t>盏</w:t>
            </w:r>
          </w:p>
        </w:tc>
        <w:tc>
          <w:tcPr>
            <w:tcW w:w="1080"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15</w:t>
            </w:r>
          </w:p>
        </w:tc>
        <w:tc>
          <w:tcPr>
            <w:tcW w:w="94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5" w:hRule="atLeast"/>
          <w:jc w:val="center"/>
        </w:trPr>
        <w:tc>
          <w:tcPr>
            <w:tcW w:w="705" w:type="dxa"/>
            <w:gridSpan w:val="2"/>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570" w:type="dxa"/>
            <w:vMerge w:val="continue"/>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c>
          <w:tcPr>
            <w:tcW w:w="1140"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质量指标</w:t>
            </w:r>
          </w:p>
        </w:tc>
        <w:tc>
          <w:tcPr>
            <w:tcW w:w="1425"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项目（工程）验收合格率（</w:t>
            </w:r>
            <w:r>
              <w:rPr>
                <w:rFonts w:hint="default" w:ascii="Times New Roman" w:hAnsi="Times New Roman" w:eastAsia="方正仿宋_GBK" w:cs="Times New Roman"/>
                <w:sz w:val="18"/>
                <w:szCs w:val="18"/>
              </w:rPr>
              <w:t>100%</w:t>
            </w:r>
            <w:r>
              <w:rPr>
                <w:rFonts w:hint="default" w:ascii="方正仿宋_GBK" w:hAnsi="方正仿宋_GBK" w:eastAsia="方正仿宋_GBK" w:cs="方正仿宋_GBK"/>
                <w:sz w:val="18"/>
                <w:szCs w:val="18"/>
              </w:rPr>
              <w:t>）</w:t>
            </w:r>
          </w:p>
        </w:tc>
        <w:tc>
          <w:tcPr>
            <w:tcW w:w="1275"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100%</w:t>
            </w:r>
          </w:p>
        </w:tc>
        <w:tc>
          <w:tcPr>
            <w:tcW w:w="2505" w:type="dxa"/>
            <w:gridSpan w:val="3"/>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100%</w:t>
            </w:r>
          </w:p>
        </w:tc>
        <w:tc>
          <w:tcPr>
            <w:tcW w:w="1080"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15</w:t>
            </w:r>
          </w:p>
        </w:tc>
        <w:tc>
          <w:tcPr>
            <w:tcW w:w="94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5" w:hRule="atLeast"/>
          <w:jc w:val="center"/>
        </w:trPr>
        <w:tc>
          <w:tcPr>
            <w:tcW w:w="705" w:type="dxa"/>
            <w:gridSpan w:val="2"/>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570" w:type="dxa"/>
            <w:vMerge w:val="continue"/>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c>
          <w:tcPr>
            <w:tcW w:w="1140"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时效指标</w:t>
            </w:r>
          </w:p>
        </w:tc>
        <w:tc>
          <w:tcPr>
            <w:tcW w:w="1425"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项目按计划完工率</w:t>
            </w:r>
          </w:p>
        </w:tc>
        <w:tc>
          <w:tcPr>
            <w:tcW w:w="1275"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100%</w:t>
            </w:r>
          </w:p>
        </w:tc>
        <w:tc>
          <w:tcPr>
            <w:tcW w:w="2505" w:type="dxa"/>
            <w:gridSpan w:val="3"/>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100%</w:t>
            </w:r>
          </w:p>
        </w:tc>
        <w:tc>
          <w:tcPr>
            <w:tcW w:w="1080"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15</w:t>
            </w:r>
          </w:p>
        </w:tc>
        <w:tc>
          <w:tcPr>
            <w:tcW w:w="94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5" w:hRule="atLeast"/>
          <w:jc w:val="center"/>
        </w:trPr>
        <w:tc>
          <w:tcPr>
            <w:tcW w:w="705" w:type="dxa"/>
            <w:gridSpan w:val="2"/>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570" w:type="dxa"/>
            <w:vMerge w:val="continue"/>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c>
          <w:tcPr>
            <w:tcW w:w="1140"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成本指标</w:t>
            </w:r>
          </w:p>
        </w:tc>
        <w:tc>
          <w:tcPr>
            <w:tcW w:w="1425"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单位建设成本</w:t>
            </w:r>
          </w:p>
        </w:tc>
        <w:tc>
          <w:tcPr>
            <w:tcW w:w="1275"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方正仿宋_GBK" w:cs="Times New Roman"/>
                <w:sz w:val="18"/>
                <w:szCs w:val="18"/>
              </w:rPr>
              <w:t>3000</w:t>
            </w:r>
            <w:r>
              <w:rPr>
                <w:rFonts w:hint="default" w:ascii="方正仿宋_GBK" w:hAnsi="方正仿宋_GBK" w:eastAsia="方正仿宋_GBK" w:cs="方正仿宋_GBK"/>
                <w:sz w:val="18"/>
                <w:szCs w:val="18"/>
              </w:rPr>
              <w:t>元</w:t>
            </w:r>
            <w:r>
              <w:rPr>
                <w:rFonts w:hint="default" w:ascii="Times New Roman" w:hAnsi="Times New Roman" w:eastAsia="方正仿宋_GBK" w:cs="Times New Roman"/>
                <w:sz w:val="18"/>
                <w:szCs w:val="18"/>
              </w:rPr>
              <w:t>/</w:t>
            </w:r>
            <w:r>
              <w:rPr>
                <w:rFonts w:hint="default" w:ascii="方正仿宋_GBK" w:hAnsi="方正仿宋_GBK" w:eastAsia="方正仿宋_GBK" w:cs="方正仿宋_GBK"/>
                <w:sz w:val="18"/>
                <w:szCs w:val="18"/>
              </w:rPr>
              <w:t>盏</w:t>
            </w:r>
          </w:p>
        </w:tc>
        <w:tc>
          <w:tcPr>
            <w:tcW w:w="2505" w:type="dxa"/>
            <w:gridSpan w:val="3"/>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方正仿宋_GBK" w:cs="Times New Roman"/>
                <w:sz w:val="18"/>
                <w:szCs w:val="18"/>
              </w:rPr>
              <w:t>3000</w:t>
            </w:r>
            <w:r>
              <w:rPr>
                <w:rFonts w:hint="default" w:ascii="方正仿宋_GBK" w:hAnsi="方正仿宋_GBK" w:eastAsia="方正仿宋_GBK" w:cs="方正仿宋_GBK"/>
                <w:sz w:val="18"/>
                <w:szCs w:val="18"/>
              </w:rPr>
              <w:t>元</w:t>
            </w:r>
            <w:r>
              <w:rPr>
                <w:rFonts w:hint="default" w:ascii="Times New Roman" w:hAnsi="Times New Roman" w:eastAsia="方正仿宋_GBK" w:cs="Times New Roman"/>
                <w:sz w:val="18"/>
                <w:szCs w:val="18"/>
              </w:rPr>
              <w:t>/</w:t>
            </w:r>
            <w:r>
              <w:rPr>
                <w:rFonts w:hint="default" w:ascii="方正仿宋_GBK" w:hAnsi="方正仿宋_GBK" w:eastAsia="方正仿宋_GBK" w:cs="方正仿宋_GBK"/>
                <w:sz w:val="18"/>
                <w:szCs w:val="18"/>
              </w:rPr>
              <w:t>盏</w:t>
            </w:r>
          </w:p>
        </w:tc>
        <w:tc>
          <w:tcPr>
            <w:tcW w:w="1080"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15</w:t>
            </w:r>
          </w:p>
        </w:tc>
        <w:tc>
          <w:tcPr>
            <w:tcW w:w="94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5" w:hRule="atLeast"/>
          <w:jc w:val="center"/>
        </w:trPr>
        <w:tc>
          <w:tcPr>
            <w:tcW w:w="705" w:type="dxa"/>
            <w:gridSpan w:val="2"/>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570" w:type="dxa"/>
            <w:vMerge w:val="continue"/>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c>
          <w:tcPr>
            <w:tcW w:w="1140"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425"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275"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2505" w:type="dxa"/>
            <w:gridSpan w:val="3"/>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080"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94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5" w:hRule="atLeast"/>
          <w:jc w:val="center"/>
        </w:trPr>
        <w:tc>
          <w:tcPr>
            <w:tcW w:w="705" w:type="dxa"/>
            <w:gridSpan w:val="2"/>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570" w:type="dxa"/>
            <w:vMerge w:val="restart"/>
            <w:tcBorders>
              <w:top w:val="nil"/>
              <w:left w:val="nil"/>
              <w:bottom w:val="nil"/>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效益指标</w:t>
            </w:r>
          </w:p>
        </w:tc>
        <w:tc>
          <w:tcPr>
            <w:tcW w:w="1140"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社会效益目标</w:t>
            </w:r>
          </w:p>
        </w:tc>
        <w:tc>
          <w:tcPr>
            <w:tcW w:w="1425"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园区内交通网络全部联通，方便园区内企业及全部人员的交通便利</w:t>
            </w:r>
          </w:p>
        </w:tc>
        <w:tc>
          <w:tcPr>
            <w:tcW w:w="1275"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良好</w:t>
            </w:r>
          </w:p>
        </w:tc>
        <w:tc>
          <w:tcPr>
            <w:tcW w:w="2505" w:type="dxa"/>
            <w:gridSpan w:val="3"/>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良好</w:t>
            </w:r>
          </w:p>
        </w:tc>
        <w:tc>
          <w:tcPr>
            <w:tcW w:w="1080"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10</w:t>
            </w:r>
          </w:p>
        </w:tc>
        <w:tc>
          <w:tcPr>
            <w:tcW w:w="94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705" w:type="dxa"/>
            <w:gridSpan w:val="2"/>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570" w:type="dxa"/>
            <w:vMerge w:val="continue"/>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c>
          <w:tcPr>
            <w:tcW w:w="1140"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可持续影响目标</w:t>
            </w:r>
          </w:p>
        </w:tc>
        <w:tc>
          <w:tcPr>
            <w:tcW w:w="1425"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项目建成使用寿命</w:t>
            </w:r>
          </w:p>
        </w:tc>
        <w:tc>
          <w:tcPr>
            <w:tcW w:w="1275"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方正仿宋_GBK" w:cs="Times New Roman"/>
                <w:sz w:val="18"/>
                <w:szCs w:val="18"/>
              </w:rPr>
              <w:t>10</w:t>
            </w:r>
            <w:r>
              <w:rPr>
                <w:rFonts w:hint="default" w:ascii="方正仿宋_GBK" w:hAnsi="方正仿宋_GBK" w:eastAsia="方正仿宋_GBK" w:cs="方正仿宋_GBK"/>
                <w:sz w:val="18"/>
                <w:szCs w:val="18"/>
              </w:rPr>
              <w:t>年</w:t>
            </w:r>
          </w:p>
        </w:tc>
        <w:tc>
          <w:tcPr>
            <w:tcW w:w="2505" w:type="dxa"/>
            <w:gridSpan w:val="3"/>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方正仿宋_GBK" w:cs="Times New Roman"/>
                <w:sz w:val="18"/>
                <w:szCs w:val="18"/>
              </w:rPr>
              <w:t>10</w:t>
            </w:r>
            <w:r>
              <w:rPr>
                <w:rFonts w:hint="default" w:ascii="方正仿宋_GBK" w:hAnsi="方正仿宋_GBK" w:eastAsia="方正仿宋_GBK" w:cs="方正仿宋_GBK"/>
                <w:sz w:val="18"/>
                <w:szCs w:val="18"/>
              </w:rPr>
              <w:t>年</w:t>
            </w:r>
          </w:p>
        </w:tc>
        <w:tc>
          <w:tcPr>
            <w:tcW w:w="1080"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10</w:t>
            </w:r>
          </w:p>
        </w:tc>
        <w:tc>
          <w:tcPr>
            <w:tcW w:w="94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705" w:type="dxa"/>
            <w:gridSpan w:val="2"/>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570" w:type="dxa"/>
            <w:vMerge w:val="restart"/>
            <w:tcBorders>
              <w:top w:val="nil"/>
              <w:left w:val="nil"/>
              <w:bottom w:val="nil"/>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满意度指标</w:t>
            </w:r>
          </w:p>
        </w:tc>
        <w:tc>
          <w:tcPr>
            <w:tcW w:w="1140"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服务对象满意度目标</w:t>
            </w:r>
          </w:p>
        </w:tc>
        <w:tc>
          <w:tcPr>
            <w:tcW w:w="1425"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群众满意度</w:t>
            </w:r>
          </w:p>
        </w:tc>
        <w:tc>
          <w:tcPr>
            <w:tcW w:w="1275"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99%</w:t>
            </w:r>
          </w:p>
        </w:tc>
        <w:tc>
          <w:tcPr>
            <w:tcW w:w="2505" w:type="dxa"/>
            <w:gridSpan w:val="3"/>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90%</w:t>
            </w:r>
          </w:p>
        </w:tc>
        <w:tc>
          <w:tcPr>
            <w:tcW w:w="1080"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10</w:t>
            </w:r>
          </w:p>
        </w:tc>
        <w:tc>
          <w:tcPr>
            <w:tcW w:w="94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705" w:type="dxa"/>
            <w:gridSpan w:val="2"/>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570" w:type="dxa"/>
            <w:vMerge w:val="continue"/>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c>
          <w:tcPr>
            <w:tcW w:w="1140"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服务对象满意度目标</w:t>
            </w:r>
          </w:p>
        </w:tc>
        <w:tc>
          <w:tcPr>
            <w:tcW w:w="1425"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主管部门满意度</w:t>
            </w:r>
          </w:p>
        </w:tc>
        <w:tc>
          <w:tcPr>
            <w:tcW w:w="1275"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95%</w:t>
            </w:r>
          </w:p>
        </w:tc>
        <w:tc>
          <w:tcPr>
            <w:tcW w:w="2505" w:type="dxa"/>
            <w:gridSpan w:val="3"/>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95%</w:t>
            </w:r>
          </w:p>
        </w:tc>
        <w:tc>
          <w:tcPr>
            <w:tcW w:w="1080"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10</w:t>
            </w:r>
          </w:p>
        </w:tc>
        <w:tc>
          <w:tcPr>
            <w:tcW w:w="94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Times New Roman" w:hAnsi="Times New Roman" w:eastAsia="宋体" w:cs="Times New Roman"/>
                <w:sz w:val="18"/>
                <w:szCs w:val="18"/>
              </w:rP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705" w:type="dxa"/>
            <w:gridSpan w:val="2"/>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570" w:type="dxa"/>
            <w:vMerge w:val="continue"/>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c>
          <w:tcPr>
            <w:tcW w:w="1140"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425"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275" w:type="dxa"/>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2505" w:type="dxa"/>
            <w:gridSpan w:val="3"/>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080" w:type="dxa"/>
            <w:gridSpan w:val="2"/>
            <w:tcBorders>
              <w:top w:val="nil"/>
              <w:left w:val="single" w:color="auto" w:sz="6" w:space="0"/>
              <w:bottom w:val="single" w:color="auto" w:sz="6" w:space="0"/>
              <w:right w:val="nil"/>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94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705" w:type="dxa"/>
            <w:gridSpan w:val="2"/>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4"/>
                <w:szCs w:val="24"/>
              </w:rPr>
            </w:pPr>
            <w:r>
              <w:rPr>
                <w:rFonts w:hint="default" w:ascii="方正仿宋_GBK" w:hAnsi="方正仿宋_GBK" w:eastAsia="方正仿宋_GBK" w:cs="方正仿宋_GBK"/>
                <w:sz w:val="18"/>
                <w:szCs w:val="18"/>
              </w:rPr>
              <w:t>说明</w:t>
            </w:r>
          </w:p>
        </w:tc>
        <w:tc>
          <w:tcPr>
            <w:tcW w:w="8925" w:type="dxa"/>
            <w:gridSpan w:val="11"/>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2.绩效自评报告或案例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我单位未委托第三方开展绩效自评。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（三）重点绩效评价结果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我单位未委托第三方开展重点绩效评价。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六、专业名词解释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（一）财政拨款收入</w:t>
      </w:r>
      <w:r>
        <w:rPr>
          <w:rFonts w:hint="eastAsia" w:ascii="宋体" w:hAnsi="宋体" w:eastAsia="宋体" w:cs="宋体"/>
          <w:i w:val="0"/>
          <w:iCs w:val="0"/>
          <w:caps w:val="0"/>
          <w:color w:val="333333"/>
          <w:spacing w:val="0"/>
          <w:sz w:val="24"/>
          <w:szCs w:val="24"/>
          <w:shd w:val="clear" w:fill="FFFFFF"/>
        </w:rPr>
        <w:t>：指本年度从本级财政部门取得的财政拨款，包括一般公共预算财政拨款和政府性基金预算财政拨款。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（二）事业收入</w:t>
      </w:r>
      <w:r>
        <w:rPr>
          <w:rFonts w:hint="eastAsia" w:ascii="宋体" w:hAnsi="宋体" w:eastAsia="宋体" w:cs="宋体"/>
          <w:i w:val="0"/>
          <w:iCs w:val="0"/>
          <w:caps w:val="0"/>
          <w:color w:val="333333"/>
          <w:spacing w:val="0"/>
          <w:sz w:val="24"/>
          <w:szCs w:val="24"/>
          <w:shd w:val="clear" w:fill="FFFFFF"/>
        </w:rPr>
        <w:t>：指事业单位开展专业业务活动及其辅助活动取得的现金流入；事业单位收到的财政专户实际核拨的教育收费等资金在此反映。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（三）经营收入</w:t>
      </w:r>
      <w:r>
        <w:rPr>
          <w:rFonts w:hint="eastAsia" w:ascii="宋体" w:hAnsi="宋体" w:eastAsia="宋体" w:cs="宋体"/>
          <w:i w:val="0"/>
          <w:iCs w:val="0"/>
          <w:caps w:val="0"/>
          <w:color w:val="333333"/>
          <w:spacing w:val="0"/>
          <w:sz w:val="24"/>
          <w:szCs w:val="24"/>
          <w:shd w:val="clear" w:fill="FFFFFF"/>
        </w:rPr>
        <w:t>：指事业单位在专业业务活动及其辅助活动之外开展非独立核算经营活动取得的现金流入。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（四）其他收入</w:t>
      </w:r>
      <w:r>
        <w:rPr>
          <w:rFonts w:hint="eastAsia" w:ascii="宋体" w:hAnsi="宋体" w:eastAsia="宋体" w:cs="宋体"/>
          <w:i w:val="0"/>
          <w:iCs w:val="0"/>
          <w:caps w:val="0"/>
          <w:color w:val="333333"/>
          <w:spacing w:val="0"/>
          <w:sz w:val="24"/>
          <w:szCs w:val="24"/>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（五）使用非财政拨款结余</w:t>
      </w:r>
      <w:r>
        <w:rPr>
          <w:rFonts w:hint="eastAsia" w:ascii="宋体" w:hAnsi="宋体" w:eastAsia="宋体" w:cs="宋体"/>
          <w:i w:val="0"/>
          <w:iCs w:val="0"/>
          <w:caps w:val="0"/>
          <w:color w:val="333333"/>
          <w:spacing w:val="0"/>
          <w:sz w:val="24"/>
          <w:szCs w:val="24"/>
          <w:shd w:val="clear" w:fill="FFFFFF"/>
        </w:rPr>
        <w:t>：指单位在当年的“财政拨款收入”、“事业收入”、“经营收入”、“其他收入”等不足以安排当年支出的情况下，使用以前年度积累的非财政拨款结余弥补本年度收支缺口的资金。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（六）年初结转和结余</w:t>
      </w:r>
      <w:r>
        <w:rPr>
          <w:rFonts w:hint="eastAsia" w:ascii="宋体" w:hAnsi="宋体" w:eastAsia="宋体" w:cs="宋体"/>
          <w:i w:val="0"/>
          <w:iCs w:val="0"/>
          <w:caps w:val="0"/>
          <w:color w:val="333333"/>
          <w:spacing w:val="0"/>
          <w:sz w:val="24"/>
          <w:szCs w:val="24"/>
          <w:shd w:val="clear" w:fill="FFFFFF"/>
        </w:rPr>
        <w:t>：指单位上年结转本年使用的基本支出结转、项目支出结转和结余、经营结余。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（七）结余分配</w:t>
      </w:r>
      <w:r>
        <w:rPr>
          <w:rFonts w:hint="eastAsia" w:ascii="宋体" w:hAnsi="宋体" w:eastAsia="宋体" w:cs="宋体"/>
          <w:i w:val="0"/>
          <w:iCs w:val="0"/>
          <w:caps w:val="0"/>
          <w:color w:val="333333"/>
          <w:spacing w:val="0"/>
          <w:sz w:val="24"/>
          <w:szCs w:val="24"/>
          <w:shd w:val="clear" w:fill="FFFFFF"/>
        </w:rPr>
        <w:t>：指单位按照国家有关规定，缴纳所得税、提取专用基金、转入非财政拨款结余等当年结余的分配情况。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（八）年末结转和结余</w:t>
      </w:r>
      <w:r>
        <w:rPr>
          <w:rFonts w:hint="eastAsia" w:ascii="宋体" w:hAnsi="宋体" w:eastAsia="宋体" w:cs="宋体"/>
          <w:i w:val="0"/>
          <w:iCs w:val="0"/>
          <w:caps w:val="0"/>
          <w:color w:val="333333"/>
          <w:spacing w:val="0"/>
          <w:sz w:val="24"/>
          <w:szCs w:val="24"/>
          <w:shd w:val="clear" w:fill="FFFFFF"/>
        </w:rPr>
        <w:t>：指单位结转下年的基本支出结转、项目支出结转和结余、经营结余。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（九）基本支出</w:t>
      </w:r>
      <w:r>
        <w:rPr>
          <w:rFonts w:hint="eastAsia" w:ascii="宋体" w:hAnsi="宋体" w:eastAsia="宋体" w:cs="宋体"/>
          <w:i w:val="0"/>
          <w:iCs w:val="0"/>
          <w:caps w:val="0"/>
          <w:color w:val="333333"/>
          <w:spacing w:val="0"/>
          <w:sz w:val="24"/>
          <w:szCs w:val="24"/>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（十）项目支出</w:t>
      </w:r>
      <w:r>
        <w:rPr>
          <w:rFonts w:hint="eastAsia" w:ascii="宋体" w:hAnsi="宋体" w:eastAsia="宋体" w:cs="宋体"/>
          <w:i w:val="0"/>
          <w:iCs w:val="0"/>
          <w:caps w:val="0"/>
          <w:color w:val="333333"/>
          <w:spacing w:val="0"/>
          <w:sz w:val="24"/>
          <w:szCs w:val="24"/>
          <w:shd w:val="clear" w:fill="FFFFFF"/>
        </w:rPr>
        <w:t>：指在基本支出之外为完成特定行政任务和事业发展目标所发生的支出。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（十一）经营支出</w:t>
      </w:r>
      <w:r>
        <w:rPr>
          <w:rFonts w:hint="eastAsia" w:ascii="宋体" w:hAnsi="宋体" w:eastAsia="宋体" w:cs="宋体"/>
          <w:i w:val="0"/>
          <w:iCs w:val="0"/>
          <w:caps w:val="0"/>
          <w:color w:val="333333"/>
          <w:spacing w:val="0"/>
          <w:sz w:val="24"/>
          <w:szCs w:val="24"/>
          <w:shd w:val="clear" w:fill="FFFFFF"/>
        </w:rPr>
        <w:t>：指事业单位在专业业务活动及其辅助活动之外开展非独立核算经营活动发生的支出。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（十二）“三公”经费</w:t>
      </w:r>
      <w:r>
        <w:rPr>
          <w:rFonts w:hint="eastAsia" w:ascii="宋体" w:hAnsi="宋体" w:eastAsia="宋体" w:cs="宋体"/>
          <w:i w:val="0"/>
          <w:iCs w:val="0"/>
          <w:caps w:val="0"/>
          <w:color w:val="333333"/>
          <w:spacing w:val="0"/>
          <w:sz w:val="24"/>
          <w:szCs w:val="24"/>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（十三）机关运行经费</w:t>
      </w:r>
      <w:r>
        <w:rPr>
          <w:rFonts w:hint="eastAsia" w:ascii="宋体" w:hAnsi="宋体" w:eastAsia="宋体" w:cs="宋体"/>
          <w:i w:val="0"/>
          <w:iCs w:val="0"/>
          <w:caps w:val="0"/>
          <w:color w:val="333333"/>
          <w:spacing w:val="0"/>
          <w:sz w:val="24"/>
          <w:szCs w:val="24"/>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（十四）工资福利支出（支出经济分类科目类级）</w:t>
      </w:r>
      <w:r>
        <w:rPr>
          <w:rFonts w:hint="eastAsia" w:ascii="宋体" w:hAnsi="宋体" w:eastAsia="宋体" w:cs="宋体"/>
          <w:i w:val="0"/>
          <w:iCs w:val="0"/>
          <w:caps w:val="0"/>
          <w:color w:val="333333"/>
          <w:spacing w:val="0"/>
          <w:sz w:val="24"/>
          <w:szCs w:val="24"/>
          <w:shd w:val="clear" w:fill="FFFFFF"/>
        </w:rPr>
        <w:t>：反映单位开支的在职职工和编制外长期聘用人员的各类劳动报酬，以及为上述人员缴纳的各项社会保险费等。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（十五）商品和服务支出（支出经济分类科目类级）</w:t>
      </w:r>
      <w:r>
        <w:rPr>
          <w:rFonts w:hint="eastAsia" w:ascii="宋体" w:hAnsi="宋体" w:eastAsia="宋体" w:cs="宋体"/>
          <w:i w:val="0"/>
          <w:iCs w:val="0"/>
          <w:caps w:val="0"/>
          <w:color w:val="333333"/>
          <w:spacing w:val="0"/>
          <w:sz w:val="24"/>
          <w:szCs w:val="24"/>
          <w:shd w:val="clear" w:fill="FFFFFF"/>
        </w:rPr>
        <w:t>：反映单位购买商品和服务的支出（不包括用于购置固定资产的支出、战略性和应急储备支出）。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（十六）对个人和家庭的补助（支出经济分类科目类级）</w:t>
      </w:r>
      <w:r>
        <w:rPr>
          <w:rFonts w:hint="eastAsia" w:ascii="宋体" w:hAnsi="宋体" w:eastAsia="宋体" w:cs="宋体"/>
          <w:i w:val="0"/>
          <w:iCs w:val="0"/>
          <w:caps w:val="0"/>
          <w:color w:val="333333"/>
          <w:spacing w:val="0"/>
          <w:sz w:val="24"/>
          <w:szCs w:val="24"/>
          <w:shd w:val="clear" w:fill="FFFFFF"/>
        </w:rPr>
        <w:t>：反映用于对个人和家庭的补助支出。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（十七）其他资本性支出（支出经济分类科目类级）</w:t>
      </w:r>
      <w:r>
        <w:rPr>
          <w:rFonts w:hint="eastAsia" w:ascii="宋体" w:hAnsi="宋体" w:eastAsia="宋体" w:cs="宋体"/>
          <w:i w:val="0"/>
          <w:iCs w:val="0"/>
          <w:caps w:val="0"/>
          <w:color w:val="333333"/>
          <w:spacing w:val="0"/>
          <w:sz w:val="24"/>
          <w:szCs w:val="24"/>
          <w:shd w:val="clear" w:fill="FFFFFF"/>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七、决算公开联系方式及信息反馈渠道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68"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本单位决算公开信息反馈和联系方式：023-70715801。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NWFiODUxYmU0MmNmYzcxNjliOGJjMTJiZmQyNTkifQ=="/>
  </w:docVars>
  <w:rsids>
    <w:rsidRoot w:val="00000000"/>
    <w:rsid w:val="2BB5391B"/>
    <w:rsid w:val="54D1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5855</Words>
  <Characters>6571</Characters>
  <Lines>0</Lines>
  <Paragraphs>0</Paragraphs>
  <TotalTime>0</TotalTime>
  <ScaleCrop>false</ScaleCrop>
  <LinksUpToDate>false</LinksUpToDate>
  <CharactersWithSpaces>6594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2022-10-28T07:15:00Z</dcterms:created>
  <dc:creator>Administrator</dc:creator>
  <cp:lastModifiedBy>Administrator</cp:lastModifiedBy>
  <dcterms:modified xsi:type="dcterms:W3CDTF">2022-10-28T07:17:43Z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6149F52BFB8E4C52AE349394A014ADBB</vt:lpwstr>
  </property>
</Properties>
</file>