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jc w:val="center"/>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丰都县兴义镇人民政府（本级）</w:t>
      </w:r>
    </w:p>
    <w:p>
      <w:pPr>
        <w:pStyle w:val="6"/>
        <w:shd w:val="clear" w:color="auto" w:fill="FFFFFF"/>
        <w:jc w:val="center"/>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基本情况</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bidi="ar-SA"/>
        </w:rPr>
      </w:pPr>
      <w:r>
        <w:rPr>
          <w:rStyle w:val="10"/>
          <w:rFonts w:ascii="楷体" w:hAnsi="楷体" w:eastAsia="楷体" w:cs="楷体"/>
          <w:sz w:val="32"/>
          <w:szCs w:val="32"/>
          <w:shd w:val="clear" w:color="auto" w:fill="FFFFFF"/>
        </w:rPr>
        <w:t>（一）职能职责</w:t>
      </w:r>
      <w:bookmarkStart w:id="0" w:name="_GoBack"/>
      <w:bookmarkEnd w:id="0"/>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bidi="ar-SA"/>
        </w:rPr>
      </w:pPr>
      <w:r>
        <w:rPr>
          <w:rFonts w:ascii="方正仿宋_GBK" w:hAnsi="方正仿宋_GBK" w:eastAsia="方正仿宋_GBK" w:cs="方正仿宋_GBK"/>
          <w:sz w:val="32"/>
          <w:szCs w:val="32"/>
        </w:rPr>
        <w:t>镇党委、政府围绕贯彻</w:t>
      </w:r>
      <w:r>
        <w:rPr>
          <w:rFonts w:ascii="方正仿宋_GBK" w:hAnsi="方正仿宋_GBK" w:eastAsia="方正仿宋_GBK" w:cs="方正仿宋_GBK"/>
          <w:sz w:val="32"/>
          <w:szCs w:val="32"/>
          <w:shd w:val="clear" w:color="auto" w:fill="FFFFFF"/>
        </w:rPr>
        <w:t>落实</w:t>
      </w:r>
      <w:r>
        <w:rPr>
          <w:rFonts w:ascii="方正仿宋_GBK" w:hAnsi="方正仿宋_GBK" w:eastAsia="方正仿宋_GBK" w:cs="方正仿宋_GBK"/>
          <w:sz w:val="32"/>
          <w:szCs w:val="32"/>
        </w:rPr>
        <w:t>党和政府各项方针政策，其主要职责是：执行本级人民代表大会的决议和上级国家行政机关的决定和命令，发布决定和命令。执行本行政区域内的经济和社会发展计划、预算，管理本行政区域内的经济、教育、科学、文化、卫生、体育等事业和生态环境保护、财政、民政、社会保障、公安、司法行政、人口与计划生育等行政工作。保护社会主义的全民所有的财产和劳动群众集体所有的财产，保护公民私人所有的合法财产，维护社会秩序，保障公民的人身权利、民主权利和其他权利。保护各种经济组织的合法权益。制定和组织实施经济、科技和社会发展计划，制定资源开发技术改造和产业结构调整方案，组织指导好各业生产，促进经济发展。制定并组织实施村镇建设规划，部署重点工程建设，地方道路建设及公共设施，水利设施的管理，负责土地、林木、水等自然资源和生态环境的保护，做好护林防火工作。</w:t>
      </w:r>
    </w:p>
    <w:p>
      <w:pPr>
        <w:pStyle w:val="6"/>
        <w:shd w:val="clear" w:color="auto" w:fill="FFFFFF"/>
        <w:ind w:firstLine="420"/>
        <w:rPr>
          <w:rFonts w:hint="eastAsia" w:ascii="方正仿宋_GBK" w:hAnsi="方正仿宋_GBK" w:eastAsia="方正仿宋_GBK" w:cs="方正仿宋_GBK"/>
          <w:color w:val="auto"/>
          <w:sz w:val="32"/>
          <w:szCs w:val="32"/>
          <w:shd w:val="clear" w:color="auto" w:fill="FFFFFF"/>
          <w:lang w:val="en-US" w:eastAsia="zh-CN" w:bidi="ar-SA"/>
        </w:rPr>
      </w:pPr>
      <w:r>
        <w:rPr>
          <w:rStyle w:val="10"/>
          <w:rFonts w:ascii="楷体" w:hAnsi="楷体" w:eastAsia="楷体" w:cs="楷体"/>
          <w:sz w:val="32"/>
          <w:szCs w:val="32"/>
          <w:shd w:val="clear" w:color="auto" w:fill="FFFFFF"/>
        </w:rPr>
        <w:t>（二）机构设置</w:t>
      </w:r>
    </w:p>
    <w:p>
      <w:pPr>
        <w:pStyle w:val="6"/>
        <w:keepNext w:val="0"/>
        <w:keepLines w:val="0"/>
        <w:widowControl/>
        <w:suppressLineNumbers w:val="0"/>
        <w:spacing w:line="570" w:lineRule="atLeast"/>
        <w:ind w:left="0" w:firstLine="645"/>
        <w:rPr>
          <w:rFonts w:ascii="仿宋_GB2312" w:hAnsi="仿宋" w:eastAsia="仿宋_GB2312" w:cs="Times New Roman"/>
          <w:color w:val="000000"/>
          <w:sz w:val="32"/>
          <w:szCs w:val="32"/>
        </w:rPr>
      </w:pPr>
      <w:r>
        <w:rPr>
          <w:rFonts w:ascii="方正仿宋_GBK" w:hAnsi="方正仿宋_GBK" w:eastAsia="方正仿宋_GBK" w:cs="方正仿宋_GBK"/>
          <w:sz w:val="32"/>
          <w:szCs w:val="32"/>
          <w:shd w:val="clear" w:color="auto" w:fill="FFFFFF"/>
        </w:rPr>
        <w:t>丰都县</w:t>
      </w:r>
      <w:r>
        <w:rPr>
          <w:rFonts w:hint="eastAsia" w:ascii="方正仿宋_GBK" w:hAnsi="方正仿宋_GBK" w:eastAsia="方正仿宋_GBK" w:cs="方正仿宋_GBK"/>
          <w:sz w:val="32"/>
          <w:szCs w:val="32"/>
          <w:shd w:val="clear" w:color="auto" w:fill="FFFFFF"/>
          <w:lang w:val="en-US" w:eastAsia="zh-CN"/>
        </w:rPr>
        <w:t>兴义</w:t>
      </w:r>
      <w:r>
        <w:rPr>
          <w:rFonts w:ascii="方正仿宋_GBK" w:hAnsi="方正仿宋_GBK" w:eastAsia="方正仿宋_GBK" w:cs="方正仿宋_GBK"/>
          <w:sz w:val="32"/>
          <w:szCs w:val="32"/>
          <w:shd w:val="clear" w:color="auto" w:fill="FFFFFF"/>
        </w:rPr>
        <w:t>镇人民政府内设综合办事机构</w:t>
      </w:r>
      <w:r>
        <w:rPr>
          <w:rFonts w:hint="eastAsia" w:ascii="方正仿宋_GBK" w:hAnsi="方正仿宋_GBK" w:eastAsia="方正仿宋_GBK" w:cs="方正仿宋_GBK"/>
          <w:sz w:val="32"/>
          <w:szCs w:val="32"/>
          <w:shd w:val="clear" w:color="auto" w:fill="FFFFFF"/>
        </w:rPr>
        <w:t>10个：党政办公室、党群工作办公室、经济发展办公室（挂统计办公室）、民政和社会事务办公室、平安建设办公室、规划建设管理环保办公室、财政办公室、应急管理办公室、人大办公室、综合行政执法办公室。事业机构</w:t>
      </w:r>
      <w:r>
        <w:rPr>
          <w:rFonts w:hint="default" w:ascii="方正仿宋_GBK" w:hAnsi="方正仿宋_GBK" w:eastAsia="方正仿宋_GBK" w:cs="方正仿宋_GBK"/>
          <w:sz w:val="32"/>
          <w:szCs w:val="32"/>
          <w:shd w:val="clear" w:color="auto" w:fill="FFFFFF"/>
        </w:rPr>
        <w:t>5</w:t>
      </w:r>
      <w:r>
        <w:rPr>
          <w:rFonts w:hint="eastAsia" w:ascii="方正仿宋_GBK" w:hAnsi="方正仿宋_GBK" w:eastAsia="方正仿宋_GBK" w:cs="方正仿宋_GBK"/>
          <w:sz w:val="32"/>
          <w:szCs w:val="32"/>
          <w:shd w:val="clear" w:color="auto" w:fill="FFFFFF"/>
        </w:rPr>
        <w:t>个：农业服务中心、文化服务中心、劳动就业和社会保障服务所、退役军人服务站、综合行政执法大队。丰都县</w:t>
      </w:r>
      <w:r>
        <w:rPr>
          <w:rFonts w:hint="eastAsia" w:ascii="方正仿宋_GBK" w:hAnsi="方正仿宋_GBK" w:eastAsia="方正仿宋_GBK" w:cs="方正仿宋_GBK"/>
          <w:sz w:val="32"/>
          <w:szCs w:val="32"/>
          <w:shd w:val="clear" w:color="auto" w:fill="FFFFFF"/>
          <w:lang w:val="en-US" w:eastAsia="zh-CN"/>
        </w:rPr>
        <w:t>兴义</w:t>
      </w:r>
      <w:r>
        <w:rPr>
          <w:rFonts w:hint="eastAsia" w:ascii="方正仿宋_GBK" w:hAnsi="方正仿宋_GBK" w:eastAsia="方正仿宋_GBK" w:cs="方正仿宋_GBK"/>
          <w:sz w:val="32"/>
          <w:szCs w:val="32"/>
          <w:shd w:val="clear" w:color="auto" w:fill="FFFFFF"/>
        </w:rPr>
        <w:t>镇人民政府核定编制数</w:t>
      </w:r>
      <w:r>
        <w:rPr>
          <w:rFonts w:hint="eastAsia" w:ascii="方正仿宋_GBK" w:hAnsi="方正仿宋_GBK" w:eastAsia="方正仿宋_GBK" w:cs="方正仿宋_GBK"/>
          <w:sz w:val="32"/>
          <w:szCs w:val="32"/>
          <w:shd w:val="clear" w:color="auto" w:fill="FFFFFF"/>
          <w:lang w:val="en-US" w:eastAsia="zh-CN"/>
        </w:rPr>
        <w:t>82</w:t>
      </w:r>
      <w:r>
        <w:rPr>
          <w:rFonts w:hint="eastAsia" w:ascii="方正仿宋_GBK" w:hAnsi="方正仿宋_GBK" w:eastAsia="方正仿宋_GBK" w:cs="方正仿宋_GBK"/>
          <w:sz w:val="32"/>
          <w:szCs w:val="32"/>
          <w:shd w:val="clear" w:color="auto" w:fill="FFFFFF"/>
        </w:rPr>
        <w:t>名，其中</w:t>
      </w:r>
      <w:r>
        <w:rPr>
          <w:rFonts w:hint="eastAsia" w:ascii="方正仿宋_GBK" w:hAnsi="方正仿宋_GBK" w:eastAsia="方正仿宋_GBK" w:cs="方正仿宋_GBK"/>
          <w:sz w:val="32"/>
          <w:szCs w:val="32"/>
          <w:shd w:val="clear" w:color="auto" w:fill="FFFFFF"/>
          <w:lang w:val="en-US" w:eastAsia="zh-CN"/>
        </w:rPr>
        <w:t>机关</w:t>
      </w:r>
      <w:r>
        <w:rPr>
          <w:rFonts w:hint="eastAsia" w:ascii="方正仿宋_GBK" w:hAnsi="方正仿宋_GBK" w:eastAsia="方正仿宋_GBK" w:cs="方正仿宋_GBK"/>
          <w:sz w:val="32"/>
          <w:szCs w:val="32"/>
          <w:shd w:val="clear" w:color="auto" w:fill="FFFFFF"/>
        </w:rPr>
        <w:t>行政编制</w:t>
      </w:r>
      <w:r>
        <w:rPr>
          <w:rFonts w:hint="eastAsia" w:ascii="方正仿宋_GBK" w:hAnsi="方正仿宋_GBK" w:eastAsia="方正仿宋_GBK" w:cs="方正仿宋_GBK"/>
          <w:sz w:val="32"/>
          <w:szCs w:val="32"/>
          <w:shd w:val="clear" w:color="auto" w:fill="FFFFFF"/>
          <w:lang w:val="en-US" w:eastAsia="zh-CN"/>
        </w:rPr>
        <w:t>42</w:t>
      </w:r>
      <w:r>
        <w:rPr>
          <w:rFonts w:hint="eastAsia" w:ascii="方正仿宋_GBK" w:hAnsi="方正仿宋_GBK" w:eastAsia="方正仿宋_GBK" w:cs="方正仿宋_GBK"/>
          <w:sz w:val="32"/>
          <w:szCs w:val="32"/>
          <w:shd w:val="clear" w:color="auto" w:fill="FFFFFF"/>
        </w:rPr>
        <w:t>名，行政工勤</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名，事业编制</w:t>
      </w:r>
      <w:r>
        <w:rPr>
          <w:rFonts w:hint="eastAsia" w:ascii="方正仿宋_GBK" w:hAnsi="方正仿宋_GBK" w:eastAsia="方正仿宋_GBK" w:cs="方正仿宋_GBK"/>
          <w:sz w:val="32"/>
          <w:szCs w:val="32"/>
          <w:shd w:val="clear" w:color="auto" w:fill="FFFFFF"/>
          <w:lang w:val="en-US" w:eastAsia="zh-CN"/>
        </w:rPr>
        <w:t>37</w:t>
      </w:r>
      <w:r>
        <w:rPr>
          <w:rFonts w:hint="eastAsia" w:ascii="方正仿宋_GBK" w:hAnsi="方正仿宋_GBK" w:eastAsia="方正仿宋_GBK" w:cs="方正仿宋_GBK"/>
          <w:sz w:val="32"/>
          <w:szCs w:val="32"/>
          <w:shd w:val="clear" w:color="auto" w:fill="FFFFFF"/>
        </w:rPr>
        <w:t>名</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eastAsia="zh-CN"/>
        </w:rPr>
        <w:t>单位</w:t>
      </w:r>
      <w:r>
        <w:rPr>
          <w:rStyle w:val="10"/>
          <w:rFonts w:ascii="黑体" w:hAnsi="黑体" w:eastAsia="黑体" w:cs="黑体"/>
          <w:sz w:val="32"/>
          <w:szCs w:val="32"/>
          <w:shd w:val="clear" w:color="auto" w:fill="FFFFFF"/>
        </w:rPr>
        <w:t>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2023年度收入总计5431.32万元，支出总计</w:t>
      </w:r>
      <w:r>
        <w:rPr>
          <w:rFonts w:ascii="方正仿宋_GBK" w:hAnsi="方正仿宋_GBK" w:eastAsia="方正仿宋_GBK" w:cs="方正仿宋_GBK"/>
          <w:sz w:val="32"/>
          <w:szCs w:val="32"/>
        </w:rPr>
        <w:t>5431.32</w:t>
      </w:r>
      <w:r>
        <w:rPr>
          <w:rFonts w:ascii="方正仿宋_GBK" w:hAnsi="方正仿宋_GBK" w:eastAsia="方正仿宋_GBK" w:cs="方正仿宋_GBK"/>
          <w:sz w:val="32"/>
          <w:szCs w:val="32"/>
          <w:shd w:val="clear" w:color="auto" w:fill="FFFFFF"/>
        </w:rPr>
        <w:t>万元。收支较上年决算数减少1560.19万元，下降22.32%，主要原因是</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1、</w:t>
      </w:r>
      <w:r>
        <w:rPr>
          <w:rFonts w:hint="eastAsia" w:ascii="方正仿宋_GBK" w:hAnsi="方正仿宋_GBK" w:eastAsia="方正仿宋_GBK" w:cs="方正仿宋_GBK"/>
          <w:sz w:val="32"/>
          <w:szCs w:val="32"/>
          <w:shd w:val="clear" w:color="auto" w:fill="FFFFFF"/>
          <w:lang w:val="en-US" w:eastAsia="zh-CN"/>
        </w:rPr>
        <w:t>专项资金项目较去年减少、项目开支减少以及新增退休人员、死亡抚恤金、新增网格员工资等。2</w:t>
      </w:r>
      <w:r>
        <w:rPr>
          <w:rFonts w:hint="eastAsia" w:ascii="方正仿宋_GBK" w:hAnsi="方正仿宋_GBK" w:eastAsia="方正仿宋_GBK" w:cs="方正仿宋_GBK"/>
          <w:sz w:val="32"/>
          <w:szCs w:val="32"/>
          <w:shd w:val="clear" w:color="auto" w:fill="FFFFFF"/>
        </w:rPr>
        <w:t>、本年度购置的固定资产、计提折旧以及应付未付款项确认为费用造成的。</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、动用以前年度结余支付当年未完成的项目款项，如2021年场镇升级改造项目、2022年乡村公路安防工程等，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2023年度收入合计4212.17万元，较上年决算数减少859.43万元，下降16.95%，主要原因是</w:t>
      </w:r>
      <w:r>
        <w:rPr>
          <w:rFonts w:hint="eastAsia" w:ascii="方正仿宋_GBK" w:hAnsi="方正仿宋_GBK" w:eastAsia="方正仿宋_GBK" w:cs="方正仿宋_GBK"/>
          <w:sz w:val="32"/>
          <w:szCs w:val="32"/>
          <w:shd w:val="clear" w:color="auto" w:fill="FFFFFF"/>
          <w:lang w:eastAsia="zh-CN"/>
        </w:rPr>
        <w:t>本年上级专项资金精准帮扶项目、农村安全饮水巩固提升项目本年度比上年度减少，导致收入减少。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4212.17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1219.14</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Style w:val="10"/>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4436.24</w:t>
      </w:r>
      <w:r>
        <w:rPr>
          <w:rFonts w:ascii="方正仿宋_GBK" w:hAnsi="方正仿宋_GBK" w:eastAsia="方正仿宋_GBK" w:cs="方正仿宋_GBK"/>
          <w:sz w:val="32"/>
          <w:szCs w:val="32"/>
          <w:shd w:val="clear" w:color="auto" w:fill="FFFFFF"/>
        </w:rPr>
        <w:t>万元，较上年决算数减少1486.40万元，下降25.10%，主要原因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专项资金精准帮扶项目、农村安全饮水巩固提升项目、松材线虫项目等开支减少，以及本年度退休人员增加，死亡抚恤增加，新增网格员工资等。</w:t>
      </w:r>
      <w:r>
        <w:rPr>
          <w:rFonts w:ascii="方正仿宋_GBK" w:hAnsi="方正仿宋_GBK" w:eastAsia="方正仿宋_GBK" w:cs="方正仿宋_GBK"/>
          <w:sz w:val="32"/>
          <w:szCs w:val="32"/>
          <w:shd w:val="clear" w:color="auto" w:fill="FFFFFF"/>
        </w:rPr>
        <w:t>其中：基本支出2677.98万元，占60.37%；项目支出1758.26万元，占39.63%；经营支出0.00万元，占0.00%。此外，结余分配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4.结转结余情况</w:t>
      </w:r>
      <w:r>
        <w:rPr>
          <w:rStyle w:val="10"/>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995.08</w:t>
      </w:r>
      <w:r>
        <w:rPr>
          <w:rFonts w:ascii="方正仿宋_GBK" w:hAnsi="方正仿宋_GBK" w:eastAsia="方正仿宋_GBK" w:cs="方正仿宋_GBK"/>
          <w:sz w:val="32"/>
          <w:szCs w:val="32"/>
          <w:shd w:val="clear" w:color="auto" w:fill="FFFFFF"/>
        </w:rPr>
        <w:t>万元，较上年决算数减少73.79万元，下降6.90%，主要原因是</w:t>
      </w:r>
      <w:r>
        <w:rPr>
          <w:rFonts w:hint="eastAsia" w:ascii="方正仿宋_GBK" w:hAnsi="方正仿宋_GBK" w:eastAsia="方正仿宋_GBK" w:cs="方正仿宋_GBK"/>
          <w:sz w:val="32"/>
          <w:szCs w:val="32"/>
          <w:shd w:val="clear" w:color="auto" w:fill="FFFFFF"/>
          <w:lang w:eastAsia="zh-CN"/>
        </w:rPr>
        <w:t>动用以前年度结余支付当年未完成的项目款项，如2021年场镇升级改造项目、2022年乡村公路安防工程</w:t>
      </w:r>
      <w:r>
        <w:rPr>
          <w:rFonts w:hint="eastAsia" w:ascii="方正仿宋_GBK" w:hAnsi="方正仿宋_GBK" w:eastAsia="方正仿宋_GBK" w:cs="方正仿宋_GBK"/>
          <w:sz w:val="32"/>
          <w:szCs w:val="32"/>
          <w:shd w:val="clear" w:color="auto" w:fill="FFFFFF"/>
          <w:lang w:val="en-US" w:eastAsia="zh-CN"/>
        </w:rPr>
        <w:t>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2023年度财政拨款收、支总计5431.32万元。与2022年相比，财政拨款收、支总计各减少1560.19万元，下降22.32%。主要原因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1、一般公共预算财政拨款和政府性基金预算财政拨款减少，主要是较2022年减少了其他政府性基金及对应专项债务收入安排的支出，例如三峡后续工作及国家重大水利工程建设资金的收入。2、本年度支出减少，其中主要是农林水支出较2022年减少1475.94万元，病虫害控制、防灾救灾等项目开支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4032.69</w:t>
      </w:r>
      <w:r>
        <w:rPr>
          <w:rFonts w:ascii="方正仿宋_GBK" w:hAnsi="方正仿宋_GBK" w:eastAsia="方正仿宋_GBK" w:cs="方正仿宋_GBK"/>
          <w:sz w:val="32"/>
          <w:szCs w:val="32"/>
          <w:shd w:val="clear" w:color="auto" w:fill="FFFFFF"/>
        </w:rPr>
        <w:t>万元，较上年决算数减少188.80万元，下降4.47%。主要原因是</w:t>
      </w:r>
      <w:r>
        <w:rPr>
          <w:rFonts w:hint="eastAsia" w:ascii="方正仿宋_GBK" w:hAnsi="方正仿宋_GBK" w:eastAsia="方正仿宋_GBK" w:cs="方正仿宋_GBK"/>
          <w:sz w:val="32"/>
          <w:szCs w:val="32"/>
          <w:shd w:val="clear" w:color="auto" w:fill="FFFFFF"/>
          <w:lang w:eastAsia="zh-CN"/>
        </w:rPr>
        <w:t>本年上级专项资金精准帮扶项目、农村安全饮水巩固提升项目本年度比上年度减少。</w:t>
      </w:r>
      <w:r>
        <w:rPr>
          <w:rFonts w:ascii="方正仿宋_GBK" w:hAnsi="方正仿宋_GBK" w:eastAsia="方正仿宋_GBK" w:cs="方正仿宋_GBK"/>
          <w:sz w:val="32"/>
          <w:szCs w:val="32"/>
          <w:shd w:val="clear" w:color="auto" w:fill="FFFFFF"/>
        </w:rPr>
        <w:t>较年初预算数增加1376.52万元，增长51.82%。主要原因</w:t>
      </w:r>
      <w:r>
        <w:rPr>
          <w:rFonts w:hint="eastAsia" w:ascii="方正仿宋_GBK" w:hAnsi="方正仿宋_GBK" w:eastAsia="方正仿宋_GBK" w:cs="方正仿宋_GBK"/>
          <w:sz w:val="32"/>
          <w:szCs w:val="32"/>
          <w:shd w:val="clear" w:color="auto" w:fill="FFFFFF"/>
          <w:lang w:eastAsia="zh-CN"/>
        </w:rPr>
        <w:t>是上</w:t>
      </w:r>
      <w:r>
        <w:rPr>
          <w:rFonts w:hint="eastAsia" w:ascii="方正仿宋_GBK" w:hAnsi="方正仿宋_GBK" w:eastAsia="方正仿宋_GBK" w:cs="方正仿宋_GBK"/>
          <w:sz w:val="32"/>
          <w:szCs w:val="32"/>
          <w:shd w:val="clear" w:color="auto" w:fill="FFFFFF"/>
        </w:rPr>
        <w:t>级专项提前下达未纳入年初预算增加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222.28</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4254.97</w:t>
      </w:r>
      <w:r>
        <w:rPr>
          <w:rFonts w:ascii="方正仿宋_GBK" w:hAnsi="方正仿宋_GBK" w:eastAsia="方正仿宋_GBK" w:cs="方正仿宋_GBK"/>
          <w:sz w:val="32"/>
          <w:szCs w:val="32"/>
          <w:shd w:val="clear" w:color="auto" w:fill="FFFFFF"/>
        </w:rPr>
        <w:t>万元，较上年决算数减少213.61万元，下降4.78%。主要原因是</w:t>
      </w:r>
      <w:r>
        <w:rPr>
          <w:rFonts w:hint="eastAsia" w:ascii="方正仿宋_GBK" w:hAnsi="方正仿宋_GBK" w:eastAsia="方正仿宋_GBK" w:cs="方正仿宋_GBK"/>
          <w:sz w:val="32"/>
          <w:szCs w:val="32"/>
          <w:shd w:val="clear" w:color="auto" w:fill="FFFFFF"/>
        </w:rPr>
        <w:t>专项资金</w:t>
      </w:r>
      <w:r>
        <w:rPr>
          <w:rFonts w:hint="eastAsia" w:ascii="方正仿宋_GBK" w:hAnsi="方正仿宋_GBK" w:eastAsia="方正仿宋_GBK" w:cs="方正仿宋_GBK"/>
          <w:sz w:val="32"/>
          <w:szCs w:val="32"/>
          <w:shd w:val="clear" w:color="auto" w:fill="FFFFFF"/>
          <w:lang w:val="en-US" w:eastAsia="zh-CN"/>
        </w:rPr>
        <w:t>项目，例如</w:t>
      </w:r>
      <w:r>
        <w:rPr>
          <w:rFonts w:hint="eastAsia" w:ascii="方正仿宋_GBK" w:hAnsi="方正仿宋_GBK" w:eastAsia="方正仿宋_GBK" w:cs="方正仿宋_GBK"/>
          <w:sz w:val="32"/>
          <w:szCs w:val="32"/>
          <w:shd w:val="clear" w:color="auto" w:fill="FFFFFF"/>
        </w:rPr>
        <w:t>精准帮扶项目、农村安全饮水巩固提升项目、松材线虫项目等</w:t>
      </w:r>
      <w:r>
        <w:rPr>
          <w:rFonts w:hint="eastAsia" w:ascii="方正仿宋_GBK" w:hAnsi="方正仿宋_GBK" w:eastAsia="方正仿宋_GBK" w:cs="方正仿宋_GBK"/>
          <w:sz w:val="32"/>
          <w:szCs w:val="32"/>
          <w:shd w:val="clear" w:color="auto" w:fill="FFFFFF"/>
          <w:lang w:val="en-US" w:eastAsia="zh-CN"/>
        </w:rPr>
        <w:t>支出</w:t>
      </w:r>
      <w:r>
        <w:rPr>
          <w:rFonts w:hint="eastAsia"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较年初预算数增加1494.75万元，增长54.15%。主要原因是</w:t>
      </w:r>
      <w:r>
        <w:rPr>
          <w:rFonts w:hint="eastAsia" w:ascii="方正仿宋_GBK" w:hAnsi="方正仿宋_GBK" w:eastAsia="方正仿宋_GBK" w:cs="方正仿宋_GBK"/>
          <w:sz w:val="32"/>
          <w:szCs w:val="32"/>
          <w:shd w:val="clear" w:color="auto" w:fill="FFFFFF"/>
        </w:rPr>
        <w:t>一般公共服务支出专项资金未提前纳入年初预算</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以及年</w:t>
      </w:r>
      <w:r>
        <w:rPr>
          <w:rFonts w:hint="eastAsia" w:ascii="方正仿宋_GBK" w:hAnsi="方正仿宋_GBK" w:eastAsia="方正仿宋_GBK" w:cs="方正仿宋_GBK"/>
          <w:sz w:val="32"/>
          <w:szCs w:val="32"/>
          <w:shd w:val="clear" w:color="auto" w:fill="FFFFFF"/>
          <w:lang w:val="en-US" w:eastAsia="zh-CN"/>
        </w:rPr>
        <w:t>中调整预算，新增</w:t>
      </w:r>
      <w:r>
        <w:rPr>
          <w:rFonts w:hint="eastAsia" w:ascii="方正仿宋_GBK" w:hAnsi="方正仿宋_GBK" w:eastAsia="方正仿宋_GBK" w:cs="方正仿宋_GBK"/>
          <w:sz w:val="32"/>
          <w:szCs w:val="32"/>
          <w:shd w:val="clear" w:color="auto" w:fill="FFFFFF"/>
        </w:rPr>
        <w:t>退休人员，</w:t>
      </w:r>
      <w:r>
        <w:rPr>
          <w:rFonts w:hint="eastAsia" w:ascii="方正仿宋_GBK" w:hAnsi="方正仿宋_GBK" w:eastAsia="方正仿宋_GBK" w:cs="方正仿宋_GBK"/>
          <w:sz w:val="32"/>
          <w:szCs w:val="32"/>
          <w:shd w:val="clear" w:color="auto" w:fill="FFFFFF"/>
          <w:lang w:val="en-US" w:eastAsia="zh-CN"/>
        </w:rPr>
        <w:t>新增</w:t>
      </w:r>
      <w:r>
        <w:rPr>
          <w:rFonts w:hint="eastAsia" w:ascii="方正仿宋_GBK" w:hAnsi="方正仿宋_GBK" w:eastAsia="方正仿宋_GBK" w:cs="方正仿宋_GBK"/>
          <w:sz w:val="32"/>
          <w:szCs w:val="32"/>
          <w:shd w:val="clear" w:color="auto" w:fill="FFFFFF"/>
        </w:rPr>
        <w:t>死亡抚恤，新增网格员工资等。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lang w:val="en-US"/>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万元，较上年决算数减少72.00万元，下降100.00%，主要原因是</w:t>
      </w:r>
      <w:r>
        <w:rPr>
          <w:rFonts w:hint="eastAsia" w:ascii="方正仿宋_GBK" w:hAnsi="方正仿宋_GBK" w:eastAsia="方正仿宋_GBK" w:cs="方正仿宋_GBK"/>
          <w:sz w:val="32"/>
          <w:szCs w:val="32"/>
          <w:shd w:val="clear" w:color="auto" w:fill="FFFFFF"/>
          <w:lang w:eastAsia="zh-CN"/>
        </w:rPr>
        <w:t>动用以前年度结余支付当年未完成的项目款项，如2021年场镇升级改造项目、2022年乡村公路安防工程</w:t>
      </w:r>
      <w:r>
        <w:rPr>
          <w:rFonts w:hint="eastAsia" w:ascii="方正仿宋_GBK" w:hAnsi="方正仿宋_GBK" w:eastAsia="方正仿宋_GBK" w:cs="方正仿宋_GBK"/>
          <w:sz w:val="32"/>
          <w:szCs w:val="32"/>
          <w:shd w:val="clear" w:color="auto" w:fill="FFFFFF"/>
          <w:lang w:val="en-US" w:eastAsia="zh-CN"/>
        </w:rPr>
        <w:t>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（1）一般公共服务支出1059.41万元，占24.90%，较年初预算数减少4.99万元，下降0.47%，主要原因是</w:t>
      </w:r>
      <w:r>
        <w:rPr>
          <w:rFonts w:hint="eastAsia" w:ascii="方正仿宋_GBK" w:hAnsi="方正仿宋_GBK" w:eastAsia="方正仿宋_GBK" w:cs="方正仿宋_GBK"/>
          <w:sz w:val="32"/>
          <w:szCs w:val="32"/>
          <w:shd w:val="clear" w:color="auto" w:fill="FFFFFF"/>
          <w:lang w:val="en-US" w:eastAsia="zh-CN"/>
        </w:rPr>
        <w:t>本年选调生工作经费支出减少</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）国防支出5.00万元，占0.12%，较年初预算数增加5.00万元，增长100.00%，主要原因是</w:t>
      </w:r>
      <w:r>
        <w:rPr>
          <w:rFonts w:hint="eastAsia" w:ascii="方正仿宋_GBK" w:hAnsi="方正仿宋_GBK" w:eastAsia="方正仿宋_GBK" w:cs="方正仿宋_GBK"/>
          <w:sz w:val="32"/>
          <w:szCs w:val="32"/>
          <w:shd w:val="clear" w:color="auto" w:fill="FFFFFF"/>
          <w:lang w:val="en-US" w:eastAsia="zh-CN"/>
        </w:rPr>
        <w:t>该笔资金为年初结转结余</w:t>
      </w:r>
      <w:r>
        <w:rPr>
          <w:rFonts w:ascii="方正仿宋_GBK" w:hAnsi="方正仿宋_GBK" w:eastAsia="方正仿宋_GBK" w:cs="方正仿宋_GBK"/>
          <w:sz w:val="32"/>
          <w:szCs w:val="32"/>
          <w:shd w:val="clear" w:color="auto" w:fill="FFFFFF"/>
        </w:rPr>
        <w:t>5.00</w:t>
      </w:r>
      <w:r>
        <w:rPr>
          <w:rFonts w:hint="eastAsia" w:ascii="方正仿宋_GBK" w:hAnsi="方正仿宋_GBK" w:eastAsia="方正仿宋_GBK" w:cs="方正仿宋_GBK"/>
          <w:sz w:val="32"/>
          <w:szCs w:val="32"/>
          <w:shd w:val="clear" w:color="auto" w:fill="FFFFFF"/>
          <w:lang w:val="en-US" w:eastAsia="zh-CN"/>
        </w:rPr>
        <w:t>万元。</w:t>
      </w:r>
      <w:r>
        <w:rPr>
          <w:rFonts w:ascii="方正仿宋_GBK" w:hAnsi="方正仿宋_GBK" w:eastAsia="方正仿宋_GBK" w:cs="方正仿宋_GBK"/>
          <w:sz w:val="32"/>
          <w:szCs w:val="32"/>
          <w:shd w:val="clear" w:color="auto" w:fill="FFFFFF"/>
        </w:rPr>
        <w:t xml:space="preserve">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）公共安全支出7.20万元，占0.17%，较年初预算数增加5.20万元，增长260.00%，主要原因是</w:t>
      </w:r>
      <w:r>
        <w:rPr>
          <w:rFonts w:hint="eastAsia" w:ascii="方正仿宋_GBK" w:hAnsi="方正仿宋_GBK" w:eastAsia="方正仿宋_GBK" w:cs="方正仿宋_GBK"/>
          <w:sz w:val="32"/>
          <w:szCs w:val="32"/>
          <w:shd w:val="clear" w:color="auto" w:fill="FFFFFF"/>
        </w:rPr>
        <w:t>专项资金未提前纳入年初预算，年中追加预算，导致支出增加。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）文化旅游体育与传媒支出61.12万元，占1.44%，较年初预算数减少19.30万元，下降24.00%，主要原因是</w:t>
      </w:r>
      <w:r>
        <w:rPr>
          <w:rFonts w:hint="eastAsia" w:ascii="方正仿宋_GBK" w:hAnsi="方正仿宋_GBK" w:eastAsia="方正仿宋_GBK" w:cs="方正仿宋_GBK"/>
          <w:sz w:val="32"/>
          <w:szCs w:val="32"/>
          <w:shd w:val="clear" w:color="auto" w:fill="FFFFFF"/>
          <w:lang w:val="en-US" w:eastAsia="zh-CN"/>
        </w:rPr>
        <w:t>文化体育类</w:t>
      </w:r>
      <w:r>
        <w:rPr>
          <w:rFonts w:ascii="方正仿宋_GBK" w:hAnsi="方正仿宋_GBK" w:eastAsia="方正仿宋_GBK" w:cs="方正仿宋_GBK"/>
          <w:sz w:val="32"/>
          <w:szCs w:val="32"/>
          <w:shd w:val="clear" w:color="auto" w:fill="FFFFFF"/>
        </w:rPr>
        <w:t>专项</w:t>
      </w:r>
      <w:r>
        <w:rPr>
          <w:rFonts w:hint="eastAsia" w:ascii="方正仿宋_GBK" w:hAnsi="方正仿宋_GBK" w:eastAsia="方正仿宋_GBK" w:cs="方正仿宋_GBK"/>
          <w:sz w:val="32"/>
          <w:szCs w:val="32"/>
          <w:shd w:val="clear" w:color="auto" w:fill="FFFFFF"/>
          <w:lang w:val="en-US" w:eastAsia="zh-CN"/>
        </w:rPr>
        <w:t>项目资金开支减少，例如悟或寺的破损修复劳务费以及宣传推广费等</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）社会保障与就业支出704.66万元，占16.56%，较年初预算数增加198.85万元，增长39.31%，主要原因是</w:t>
      </w:r>
      <w:r>
        <w:rPr>
          <w:rFonts w:hint="eastAsia" w:ascii="方正仿宋_GBK" w:hAnsi="方正仿宋_GBK" w:eastAsia="方正仿宋_GBK" w:cs="方正仿宋_GBK"/>
          <w:sz w:val="32"/>
          <w:szCs w:val="32"/>
          <w:shd w:val="clear" w:color="auto" w:fill="FFFFFF"/>
        </w:rPr>
        <w:t>工资结构调整后相关社保基数较上年有所增加。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）卫生健康支出93.77万元，占2.20%，较年初预算数增加10.00万元，增长11.94%，主要原因是人员变动费用增加</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）城乡社区支出176.95万元，占4.16%，较年初预算数增加74.18万元，增长72.18%，主要原因是专项工作经费增加，如</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场镇清扫保洁</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场镇升级改造</w:t>
      </w:r>
      <w:r>
        <w:rPr>
          <w:rFonts w:hint="eastAsia" w:ascii="方正仿宋_GBK" w:hAnsi="方正仿宋_GBK" w:eastAsia="方正仿宋_GBK" w:cs="方正仿宋_GBK"/>
          <w:sz w:val="32"/>
          <w:szCs w:val="32"/>
          <w:shd w:val="clear" w:color="auto" w:fill="FFFFFF"/>
        </w:rPr>
        <w:t>”等。</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）农林水支出1507.83万元，占35.44%，较年初预算数增加781.08万元，增长107.48%，主要原因是</w:t>
      </w:r>
      <w:r>
        <w:rPr>
          <w:rFonts w:hint="eastAsia" w:ascii="方正仿宋_GBK" w:hAnsi="方正仿宋_GBK" w:eastAsia="方正仿宋_GBK" w:cs="方正仿宋_GBK"/>
          <w:sz w:val="32"/>
          <w:szCs w:val="32"/>
          <w:shd w:val="clear" w:color="auto" w:fill="FFFFFF"/>
        </w:rPr>
        <w:t>专项工作经费增加</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如“五清理一行动”、“新农人培育提升工程”等</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）交通运输支出532.02万元，占12.50%，较年初预算数增加491.25万元，增长1204.93%，主要原因是</w:t>
      </w:r>
      <w:r>
        <w:rPr>
          <w:rFonts w:hint="eastAsia" w:ascii="方正仿宋_GBK" w:hAnsi="方正仿宋_GBK" w:eastAsia="方正仿宋_GBK" w:cs="方正仿宋_GBK"/>
          <w:sz w:val="32"/>
          <w:szCs w:val="32"/>
          <w:shd w:val="clear" w:color="auto" w:fill="FFFFFF"/>
          <w:lang w:val="en-US" w:eastAsia="zh-CN"/>
        </w:rPr>
        <w:t>增加专项经费，支付公路建设工程款</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清还公路交通债务以及公路养护</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）自然资源海洋气象等支出18.76万元，占0.44%，较年初预算数减少0.92万元，下降4.67%，主要原因是</w:t>
      </w:r>
      <w:r>
        <w:rPr>
          <w:rFonts w:hint="eastAsia" w:ascii="方正仿宋_GBK" w:hAnsi="方正仿宋_GBK" w:eastAsia="方正仿宋_GBK" w:cs="方正仿宋_GBK"/>
          <w:sz w:val="32"/>
          <w:szCs w:val="32"/>
          <w:shd w:val="clear" w:color="auto" w:fill="FFFFFF"/>
          <w:lang w:val="en-US" w:eastAsia="zh-CN"/>
        </w:rPr>
        <w:t>耕地恢复补足项目工作经费开支减少。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）住房保障支出49.03万元，占1.15%，较年初预算数减少52.82万元，下降51.86%，主要原因是人员变动经费</w:t>
      </w:r>
      <w:r>
        <w:rPr>
          <w:rFonts w:hint="eastAsia" w:ascii="方正仿宋_GBK" w:hAnsi="方正仿宋_GBK" w:eastAsia="方正仿宋_GBK" w:cs="方正仿宋_GBK"/>
          <w:sz w:val="32"/>
          <w:szCs w:val="32"/>
          <w:shd w:val="clear" w:color="auto" w:fill="FFFFFF"/>
          <w:lang w:val="en-US" w:eastAsia="zh-CN"/>
        </w:rPr>
        <w:t>减少</w:t>
      </w:r>
      <w:r>
        <w:rPr>
          <w:rFonts w:ascii="方正仿宋_GBK" w:hAnsi="方正仿宋_GBK" w:eastAsia="方正仿宋_GBK" w:cs="方正仿宋_GBK"/>
          <w:sz w:val="32"/>
          <w:szCs w:val="32"/>
          <w:shd w:val="clear" w:color="auto" w:fill="FFFFFF"/>
        </w:rPr>
        <w:t>和公积金基数调整。</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rPr>
        <w:t>）灾害防治及应急管理支出39.22万元，占0.92%，较年初预算数增加34.22万元，增长684.40%，主要原因是中途追加冬春</w:t>
      </w:r>
      <w:r>
        <w:rPr>
          <w:rFonts w:hint="eastAsia" w:ascii="方正仿宋_GBK" w:hAnsi="方正仿宋_GBK" w:eastAsia="方正仿宋_GBK" w:cs="方正仿宋_GBK"/>
          <w:sz w:val="32"/>
          <w:szCs w:val="32"/>
          <w:shd w:val="clear" w:color="auto" w:fill="FFFFFF"/>
          <w:lang w:val="en-US" w:eastAsia="zh-CN"/>
        </w:rPr>
        <w:t>生活</w:t>
      </w:r>
      <w:r>
        <w:rPr>
          <w:rFonts w:ascii="方正仿宋_GBK" w:hAnsi="方正仿宋_GBK" w:eastAsia="方正仿宋_GBK" w:cs="方正仿宋_GBK"/>
          <w:sz w:val="32"/>
          <w:szCs w:val="32"/>
          <w:shd w:val="clear" w:color="auto" w:fill="FFFFFF"/>
        </w:rPr>
        <w:t>救助</w:t>
      </w:r>
      <w:r>
        <w:rPr>
          <w:rFonts w:hint="eastAsia" w:ascii="方正仿宋_GBK" w:hAnsi="方正仿宋_GBK" w:eastAsia="方正仿宋_GBK" w:cs="方正仿宋_GBK"/>
          <w:sz w:val="32"/>
          <w:szCs w:val="32"/>
          <w:shd w:val="clear" w:color="auto" w:fill="FFFFFF"/>
          <w:lang w:val="en-US" w:eastAsia="zh-CN"/>
        </w:rPr>
        <w:t>灾害资金</w:t>
      </w:r>
      <w:r>
        <w:rPr>
          <w:rFonts w:ascii="方正仿宋_GBK" w:hAnsi="方正仿宋_GBK" w:eastAsia="方正仿宋_GBK" w:cs="方正仿宋_GBK"/>
          <w:sz w:val="32"/>
          <w:szCs w:val="32"/>
          <w:shd w:val="clear" w:color="auto" w:fill="FFFFFF"/>
        </w:rPr>
        <w:t>、地灾应急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及</w:t>
      </w:r>
      <w:r>
        <w:rPr>
          <w:rFonts w:hint="eastAsia" w:ascii="方正仿宋_GBK" w:hAnsi="方正仿宋_GBK" w:eastAsia="方正仿宋_GBK" w:cs="方正仿宋_GBK"/>
          <w:sz w:val="32"/>
          <w:szCs w:val="32"/>
          <w:shd w:val="clear" w:color="auto" w:fill="FFFFFF"/>
          <w:lang w:val="en-US" w:eastAsia="zh-CN"/>
        </w:rPr>
        <w:t>支付村上应急维稳支出</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2677.98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2251.06</w:t>
      </w:r>
      <w:r>
        <w:rPr>
          <w:rFonts w:ascii="方正仿宋_GBK" w:hAnsi="方正仿宋_GBK" w:eastAsia="方正仿宋_GBK" w:cs="方正仿宋_GBK"/>
          <w:sz w:val="32"/>
          <w:szCs w:val="32"/>
          <w:shd w:val="clear" w:color="auto" w:fill="FFFFFF"/>
        </w:rPr>
        <w:t>万元，较上年决算数增加85.31万元，增长3.94%，主要原因是</w:t>
      </w:r>
      <w:r>
        <w:rPr>
          <w:rFonts w:hint="eastAsia" w:ascii="方正仿宋_GBK" w:hAnsi="方正仿宋_GBK" w:eastAsia="方正仿宋_GBK" w:cs="方正仿宋_GBK"/>
          <w:sz w:val="32"/>
          <w:szCs w:val="32"/>
          <w:shd w:val="clear" w:color="auto" w:fill="FFFFFF"/>
        </w:rPr>
        <w:t>本年新调入人员，同时调资晋级，增加了基本支出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426.92</w:t>
      </w:r>
      <w:r>
        <w:rPr>
          <w:rFonts w:ascii="方正仿宋_GBK" w:hAnsi="方正仿宋_GBK" w:eastAsia="方正仿宋_GBK" w:cs="方正仿宋_GBK"/>
          <w:sz w:val="32"/>
          <w:szCs w:val="32"/>
          <w:shd w:val="clear" w:color="auto" w:fill="FFFFFF"/>
        </w:rPr>
        <w:t>万元，较上年决算数减少95.65万元，下降18.30%，主要原因是</w:t>
      </w:r>
      <w:r>
        <w:rPr>
          <w:rFonts w:hint="eastAsia" w:ascii="方正仿宋_GBK" w:hAnsi="方正仿宋_GBK" w:eastAsia="方正仿宋_GBK" w:cs="方正仿宋_GBK"/>
          <w:sz w:val="32"/>
          <w:szCs w:val="32"/>
          <w:shd w:val="clear" w:color="auto" w:fill="FFFFFF"/>
        </w:rPr>
        <w:t>本年新调入人员导致公用经费有所增加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电费</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水费、</w:t>
      </w:r>
      <w:r>
        <w:rPr>
          <w:rFonts w:hint="eastAsia" w:ascii="方正仿宋_GBK" w:hAnsi="方正仿宋_GBK" w:eastAsia="方正仿宋_GBK" w:cs="方正仿宋_GBK"/>
          <w:sz w:val="32"/>
          <w:szCs w:val="32"/>
          <w:shd w:val="clear" w:color="auto" w:fill="FFFFFF"/>
        </w:rPr>
        <w:t>咨询费、手续费等。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996.87</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995.08</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179.48</w:t>
      </w:r>
      <w:r>
        <w:rPr>
          <w:rFonts w:ascii="方正仿宋_GBK" w:hAnsi="方正仿宋_GBK" w:eastAsia="方正仿宋_GBK" w:cs="方正仿宋_GBK"/>
          <w:sz w:val="32"/>
          <w:szCs w:val="32"/>
          <w:shd w:val="clear" w:color="auto" w:fill="FFFFFF"/>
        </w:rPr>
        <w:t>万元，较上年决算数减少670.62万元，下降78.89%，主要原因是三峡库区移民</w:t>
      </w:r>
      <w:r>
        <w:rPr>
          <w:rFonts w:hint="eastAsia" w:ascii="方正仿宋_GBK" w:hAnsi="方正仿宋_GBK" w:eastAsia="方正仿宋_GBK" w:cs="方正仿宋_GBK"/>
          <w:sz w:val="32"/>
          <w:szCs w:val="32"/>
          <w:shd w:val="clear" w:color="auto" w:fill="FFFFFF"/>
          <w:lang w:val="en-US" w:eastAsia="zh-CN"/>
        </w:rPr>
        <w:t>及国家重大水利工程建设资金的财政拨款</w:t>
      </w:r>
      <w:r>
        <w:rPr>
          <w:rFonts w:ascii="方正仿宋_GBK" w:hAnsi="方正仿宋_GBK" w:eastAsia="方正仿宋_GBK" w:cs="方正仿宋_GBK"/>
          <w:sz w:val="32"/>
          <w:szCs w:val="32"/>
          <w:shd w:val="clear" w:color="auto" w:fill="FFFFFF"/>
        </w:rPr>
        <w:t>专项工作经费</w:t>
      </w:r>
      <w:r>
        <w:rPr>
          <w:rFonts w:hint="eastAsia" w:ascii="方正仿宋_GBK" w:hAnsi="方正仿宋_GBK" w:eastAsia="方正仿宋_GBK" w:cs="方正仿宋_GBK"/>
          <w:sz w:val="32"/>
          <w:szCs w:val="32"/>
          <w:shd w:val="clear" w:color="auto" w:fill="FFFFFF"/>
          <w:lang w:val="en-US" w:eastAsia="zh-CN"/>
        </w:rPr>
        <w:t>收入</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本年支出181.27万元，较上年决算数减少1272.78万元，下降87.53%，主要原因是三峡库区移民</w:t>
      </w:r>
      <w:r>
        <w:rPr>
          <w:rFonts w:hint="eastAsia" w:ascii="方正仿宋_GBK" w:hAnsi="方正仿宋_GBK" w:eastAsia="方正仿宋_GBK" w:cs="方正仿宋_GBK"/>
          <w:sz w:val="32"/>
          <w:szCs w:val="32"/>
          <w:shd w:val="clear" w:color="auto" w:fill="FFFFFF"/>
          <w:lang w:val="en-US" w:eastAsia="zh-CN"/>
        </w:rPr>
        <w:t>及国家重大水利工程建设资金的财政拨款</w:t>
      </w:r>
      <w:r>
        <w:rPr>
          <w:rFonts w:ascii="方正仿宋_GBK" w:hAnsi="方正仿宋_GBK" w:eastAsia="方正仿宋_GBK" w:cs="方正仿宋_GBK"/>
          <w:sz w:val="32"/>
          <w:szCs w:val="32"/>
          <w:shd w:val="clear" w:color="auto" w:fill="FFFFFF"/>
        </w:rPr>
        <w:t>专项工作经费</w:t>
      </w:r>
      <w:r>
        <w:rPr>
          <w:rFonts w:hint="eastAsia" w:ascii="方正仿宋_GBK" w:hAnsi="方正仿宋_GBK" w:eastAsia="方正仿宋_GBK" w:cs="方正仿宋_GBK"/>
          <w:sz w:val="32"/>
          <w:szCs w:val="32"/>
          <w:shd w:val="clear" w:color="auto" w:fill="FFFFFF"/>
          <w:lang w:val="en-US" w:eastAsia="zh-CN"/>
        </w:rPr>
        <w:t>支出</w:t>
      </w:r>
      <w:r>
        <w:rPr>
          <w:rFonts w:ascii="方正仿宋_GBK" w:hAnsi="方正仿宋_GBK" w:eastAsia="方正仿宋_GBK" w:cs="方正仿宋_GBK"/>
          <w:sz w:val="32"/>
          <w:szCs w:val="32"/>
          <w:shd w:val="clear" w:color="auto" w:fill="FFFFFF"/>
        </w:rPr>
        <w:t>减少</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14.74</w:t>
      </w:r>
      <w:r>
        <w:rPr>
          <w:rFonts w:ascii="方正仿宋_GBK" w:hAnsi="方正仿宋_GBK" w:eastAsia="方正仿宋_GBK" w:cs="方正仿宋_GBK"/>
          <w:sz w:val="32"/>
          <w:szCs w:val="32"/>
          <w:shd w:val="clear" w:color="auto" w:fill="FFFFFF"/>
        </w:rPr>
        <w:t>万元，较年初预算数减少26.46万元，下降64.22%，主要原因是</w:t>
      </w:r>
      <w:r>
        <w:rPr>
          <w:rFonts w:hint="eastAsia" w:ascii="方正仿宋_GBK" w:hAnsi="方正仿宋_GBK" w:eastAsia="方正仿宋_GBK" w:cs="方正仿宋_GBK"/>
          <w:sz w:val="32"/>
          <w:szCs w:val="32"/>
          <w:shd w:val="clear" w:color="auto" w:fill="FFFFFF"/>
        </w:rPr>
        <w:t>贯彻落实过“紧日子”政策，财政压缩三公经费预算。</w:t>
      </w:r>
      <w:r>
        <w:rPr>
          <w:rFonts w:ascii="方正仿宋_GBK" w:hAnsi="方正仿宋_GBK" w:eastAsia="方正仿宋_GBK" w:cs="方正仿宋_GBK"/>
          <w:sz w:val="32"/>
          <w:szCs w:val="32"/>
          <w:shd w:val="clear" w:color="auto" w:fill="FFFFFF"/>
        </w:rPr>
        <w:t>较上年支出数增加0.60万元，增长4.24%，主要原因是</w:t>
      </w:r>
      <w:r>
        <w:rPr>
          <w:rFonts w:hint="eastAsia" w:ascii="方正仿宋_GBK" w:hAnsi="方正仿宋_GBK" w:eastAsia="方正仿宋_GBK" w:cs="方正仿宋_GBK"/>
          <w:sz w:val="32"/>
          <w:szCs w:val="32"/>
          <w:shd w:val="clear" w:color="auto" w:fill="FFFFFF"/>
        </w:rPr>
        <w:t>本年接受</w:t>
      </w:r>
      <w:r>
        <w:rPr>
          <w:rFonts w:hint="eastAsia" w:ascii="方正仿宋_GBK" w:hAnsi="方正仿宋_GBK" w:eastAsia="方正仿宋_GBK" w:cs="方正仿宋_GBK"/>
          <w:sz w:val="32"/>
          <w:szCs w:val="32"/>
          <w:shd w:val="clear" w:color="auto" w:fill="FFFFFF"/>
          <w:lang w:eastAsia="zh-CN"/>
        </w:rPr>
        <w:t>的</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hint="eastAsia" w:ascii="方正仿宋_GBK" w:hAnsi="方正仿宋_GBK" w:eastAsia="方正仿宋_GBK" w:cs="方正仿宋_GBK"/>
          <w:sz w:val="32"/>
          <w:szCs w:val="32"/>
          <w:shd w:val="clear" w:color="auto" w:fill="FFFFFF"/>
          <w:lang w:val="en-US" w:eastAsia="zh-CN"/>
        </w:rPr>
        <w:t>增多</w:t>
      </w:r>
      <w:r>
        <w:rPr>
          <w:rFonts w:hint="eastAsia" w:ascii="方正仿宋_GBK" w:hAnsi="方正仿宋_GBK" w:eastAsia="方正仿宋_GBK" w:cs="方正仿宋_GBK"/>
          <w:sz w:val="32"/>
          <w:szCs w:val="32"/>
          <w:shd w:val="clear" w:color="auto" w:fill="FFFFFF"/>
        </w:rPr>
        <w:t>，导致公务接待费支出增加。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未发生因公出国（境）费用，与年初预算数及上年支出数持平。</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未发生公务车购置费，与年初预算数及上年支出数持平。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公务车运行维护费11.44万元，主要用于</w:t>
      </w:r>
      <w:r>
        <w:rPr>
          <w:rFonts w:hint="eastAsia" w:ascii="方正仿宋_GBK" w:hAnsi="方正仿宋_GBK" w:eastAsia="方正仿宋_GBK" w:cs="方正仿宋_GBK"/>
          <w:sz w:val="32"/>
          <w:szCs w:val="32"/>
          <w:shd w:val="clear" w:color="auto" w:fill="FFFFFF"/>
        </w:rPr>
        <w:t>县内因公出行、项目检查、县外接访、人员考察等工作所需车辆的燃料费、维修费、过桥过路费、保险费等</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费用支出较年初预算数减少12.56万元，下降52.33%，主要原因是</w:t>
      </w:r>
      <w:r>
        <w:rPr>
          <w:rFonts w:hint="eastAsia" w:ascii="方正仿宋_GBK" w:hAnsi="方正仿宋_GBK" w:eastAsia="方正仿宋_GBK" w:cs="方正仿宋_GBK"/>
          <w:sz w:val="32"/>
          <w:szCs w:val="32"/>
          <w:shd w:val="clear" w:color="auto" w:fill="FFFFFF"/>
          <w:lang w:val="en-US" w:eastAsia="zh-CN"/>
        </w:rPr>
        <w:t>厉行节约，倡导绿色出行、减少公务用车。</w:t>
      </w:r>
      <w:r>
        <w:rPr>
          <w:rFonts w:ascii="方正仿宋_GBK" w:hAnsi="方正仿宋_GBK" w:eastAsia="方正仿宋_GBK" w:cs="方正仿宋_GBK"/>
          <w:sz w:val="32"/>
          <w:szCs w:val="32"/>
          <w:shd w:val="clear" w:color="auto" w:fill="FFFFFF"/>
        </w:rPr>
        <w:t>较上年支出数减少1.59万元，下降12.20%，主要原因是</w:t>
      </w:r>
      <w:r>
        <w:rPr>
          <w:rFonts w:hint="eastAsia" w:ascii="方正仿宋_GBK" w:hAnsi="方正仿宋_GBK" w:eastAsia="方正仿宋_GBK" w:cs="方正仿宋_GBK"/>
          <w:sz w:val="32"/>
          <w:szCs w:val="32"/>
          <w:shd w:val="clear" w:color="auto" w:fill="FFFFFF"/>
          <w:lang w:val="en-US" w:eastAsia="zh-CN"/>
        </w:rPr>
        <w:t>严格控制车辆运行，倡导绿色出行、减少公务用车。</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公务接待费3.30万元，主要用于接待</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ascii="方正仿宋_GBK" w:hAnsi="方正仿宋_GBK" w:eastAsia="方正仿宋_GBK" w:cs="方正仿宋_GBK"/>
          <w:sz w:val="32"/>
          <w:szCs w:val="32"/>
          <w:shd w:val="clear" w:color="auto" w:fill="FFFFFF"/>
        </w:rPr>
        <w:t>费用支出较年初预算数减少13.90万元，下降80.81%，主要原因是</w:t>
      </w:r>
      <w:r>
        <w:rPr>
          <w:rFonts w:hint="eastAsia" w:ascii="方正仿宋_GBK" w:hAnsi="方正仿宋_GBK" w:eastAsia="方正仿宋_GBK" w:cs="方正仿宋_GBK"/>
          <w:sz w:val="32"/>
          <w:szCs w:val="32"/>
          <w:shd w:val="clear" w:color="auto" w:fill="FFFFFF"/>
        </w:rPr>
        <w:t>贯彻落实过“紧日子”政策，财政压缩三公经费预算。</w:t>
      </w:r>
      <w:r>
        <w:rPr>
          <w:rFonts w:ascii="方正仿宋_GBK" w:hAnsi="方正仿宋_GBK" w:eastAsia="方正仿宋_GBK" w:cs="方正仿宋_GBK"/>
          <w:sz w:val="32"/>
          <w:szCs w:val="32"/>
          <w:shd w:val="clear" w:color="auto" w:fill="FFFFFF"/>
        </w:rPr>
        <w:t>较上年支出数增加2.19万元，增长197.30%，主要原因是</w:t>
      </w:r>
      <w:r>
        <w:rPr>
          <w:rFonts w:hint="eastAsia" w:ascii="方正仿宋_GBK" w:hAnsi="方正仿宋_GBK" w:eastAsia="方正仿宋_GBK" w:cs="方正仿宋_GBK"/>
          <w:sz w:val="32"/>
          <w:szCs w:val="32"/>
          <w:shd w:val="clear" w:color="auto" w:fill="FFFFFF"/>
        </w:rPr>
        <w:t>本年接受</w:t>
      </w:r>
      <w:r>
        <w:rPr>
          <w:rFonts w:hint="eastAsia" w:ascii="方正仿宋_GBK" w:hAnsi="方正仿宋_GBK" w:eastAsia="方正仿宋_GBK" w:cs="方正仿宋_GBK"/>
          <w:sz w:val="32"/>
          <w:szCs w:val="32"/>
          <w:shd w:val="clear" w:color="auto" w:fill="FFFFFF"/>
          <w:lang w:eastAsia="zh-CN"/>
        </w:rPr>
        <w:t>的</w:t>
      </w:r>
      <w:r>
        <w:rPr>
          <w:rFonts w:hint="eastAsia" w:ascii="方正仿宋_GBK" w:hAnsi="方正仿宋_GBK" w:eastAsia="方正仿宋_GBK" w:cs="方正仿宋_GBK"/>
          <w:sz w:val="32"/>
          <w:szCs w:val="32"/>
          <w:shd w:val="clear" w:color="auto" w:fill="FFFFFF"/>
          <w:lang w:val="en-US" w:eastAsia="zh-CN"/>
        </w:rPr>
        <w:t>县级、市级检查和</w:t>
      </w:r>
      <w:r>
        <w:rPr>
          <w:rFonts w:hint="eastAsia" w:ascii="方正仿宋_GBK" w:hAnsi="方正仿宋_GBK" w:eastAsia="方正仿宋_GBK" w:cs="方正仿宋_GBK"/>
          <w:sz w:val="32"/>
          <w:szCs w:val="32"/>
          <w:shd w:val="clear" w:color="auto" w:fill="FFFFFF"/>
        </w:rPr>
        <w:t>督查</w:t>
      </w:r>
      <w:r>
        <w:rPr>
          <w:rFonts w:hint="eastAsia" w:ascii="方正仿宋_GBK" w:hAnsi="方正仿宋_GBK" w:eastAsia="方正仿宋_GBK" w:cs="方正仿宋_GBK"/>
          <w:sz w:val="32"/>
          <w:szCs w:val="32"/>
          <w:shd w:val="clear" w:color="auto" w:fill="FFFFFF"/>
          <w:lang w:val="en-US" w:eastAsia="zh-CN"/>
        </w:rPr>
        <w:t>增多</w:t>
      </w:r>
      <w:r>
        <w:rPr>
          <w:rFonts w:hint="eastAsia" w:ascii="方正仿宋_GBK" w:hAnsi="方正仿宋_GBK" w:eastAsia="方正仿宋_GBK" w:cs="方正仿宋_GBK"/>
          <w:sz w:val="32"/>
          <w:szCs w:val="32"/>
          <w:shd w:val="clear" w:color="auto" w:fill="FFFFFF"/>
        </w:rPr>
        <w:t>，导致公务接待费支出增加。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470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ascii="方正仿宋_GBK" w:hAnsi="方正仿宋_GBK" w:eastAsia="方正仿宋_GBK" w:cs="方正仿宋_GBK"/>
          <w:sz w:val="32"/>
          <w:szCs w:val="32"/>
        </w:rPr>
        <w:t>70.26</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1.43</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ind w:firstLine="643"/>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5.83</w:t>
      </w:r>
      <w:r>
        <w:rPr>
          <w:rFonts w:ascii="方正仿宋_GBK" w:hAnsi="方正仿宋_GBK" w:eastAsia="方正仿宋_GBK" w:cs="方正仿宋_GBK"/>
          <w:sz w:val="32"/>
          <w:szCs w:val="32"/>
          <w:shd w:val="clear" w:color="auto" w:fill="FFFFFF"/>
        </w:rPr>
        <w:t>万元，较上年决算数增加1.83万元，增长45.75%，主要原因是</w:t>
      </w:r>
      <w:r>
        <w:rPr>
          <w:rFonts w:hint="eastAsia" w:ascii="方正仿宋_GBK" w:hAnsi="方正仿宋_GBK" w:eastAsia="方正仿宋_GBK" w:cs="方正仿宋_GBK"/>
          <w:sz w:val="32"/>
          <w:szCs w:val="32"/>
          <w:shd w:val="clear" w:color="auto" w:fill="FFFFFF"/>
        </w:rPr>
        <w:t>本年度会议</w:t>
      </w:r>
      <w:r>
        <w:rPr>
          <w:rFonts w:hint="eastAsia" w:ascii="方正仿宋_GBK" w:hAnsi="方正仿宋_GBK" w:eastAsia="方正仿宋_GBK" w:cs="方正仿宋_GBK"/>
          <w:sz w:val="32"/>
          <w:szCs w:val="32"/>
          <w:shd w:val="clear" w:color="auto" w:fill="FFFFFF"/>
          <w:lang w:val="en-US" w:eastAsia="zh-CN"/>
        </w:rPr>
        <w:t>次数</w:t>
      </w:r>
      <w:r>
        <w:rPr>
          <w:rFonts w:hint="eastAsia" w:ascii="方正仿宋_GBK" w:hAnsi="方正仿宋_GBK" w:eastAsia="方正仿宋_GBK" w:cs="方正仿宋_GBK"/>
          <w:sz w:val="32"/>
          <w:szCs w:val="32"/>
          <w:shd w:val="clear" w:color="auto" w:fill="FFFFFF"/>
        </w:rPr>
        <w:t>增加，导致会议费有所增加</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万元，较上年决算数减少0.19万元，下降43.18%，主要原因</w:t>
      </w:r>
      <w:r>
        <w:rPr>
          <w:rFonts w:hint="eastAsia" w:ascii="方正仿宋_GBK" w:hAnsi="方正仿宋_GBK" w:eastAsia="方正仿宋_GBK" w:cs="方正仿宋_GBK"/>
          <w:sz w:val="32"/>
          <w:szCs w:val="32"/>
          <w:shd w:val="clear" w:color="auto" w:fill="FFFFFF"/>
        </w:rPr>
        <w:t>是本年</w:t>
      </w:r>
      <w:r>
        <w:rPr>
          <w:rFonts w:hint="eastAsia" w:ascii="方正仿宋_GBK" w:hAnsi="方正仿宋_GBK" w:eastAsia="方正仿宋_GBK" w:cs="方正仿宋_GBK"/>
          <w:sz w:val="32"/>
          <w:szCs w:val="32"/>
          <w:shd w:val="clear" w:color="auto" w:fill="FFFFFF"/>
          <w:lang w:val="en-US" w:eastAsia="zh-CN"/>
        </w:rPr>
        <w:t>度开展的</w:t>
      </w:r>
      <w:r>
        <w:rPr>
          <w:rFonts w:hint="eastAsia" w:ascii="方正仿宋_GBK" w:hAnsi="方正仿宋_GBK" w:eastAsia="方正仿宋_GBK" w:cs="方正仿宋_GBK"/>
          <w:sz w:val="32"/>
          <w:szCs w:val="32"/>
          <w:shd w:val="clear" w:color="auto" w:fill="FFFFFF"/>
        </w:rPr>
        <w:t>培训较去年有所减少，导致培训费相关支出降低。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机关运行经费支出314.10万元，机关运行经费主要</w:t>
      </w:r>
      <w:r>
        <w:rPr>
          <w:rFonts w:hint="eastAsia" w:ascii="方正仿宋_GBK" w:hAnsi="方正仿宋_GBK" w:eastAsia="方正仿宋_GBK" w:cs="方正仿宋_GBK"/>
          <w:sz w:val="32"/>
          <w:szCs w:val="32"/>
          <w:shd w:val="clear" w:color="auto" w:fill="FFFFFF"/>
        </w:rPr>
        <w:t>用于</w:t>
      </w:r>
      <w:r>
        <w:rPr>
          <w:rFonts w:ascii="方正仿宋_GBK" w:hAnsi="方正仿宋_GBK" w:eastAsia="方正仿宋_GBK" w:cs="方正仿宋_GBK"/>
          <w:sz w:val="32"/>
          <w:szCs w:val="32"/>
          <w:shd w:val="clear" w:color="auto" w:fill="FFFFFF"/>
        </w:rPr>
        <w:t>开支</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134.90万元</w:t>
      </w:r>
      <w:r>
        <w:rPr>
          <w:rFonts w:hint="eastAsia" w:ascii="方正仿宋_GBK" w:hAnsi="方正仿宋_GBK" w:eastAsia="方正仿宋_GBK" w:cs="方正仿宋_GBK"/>
          <w:sz w:val="32"/>
          <w:szCs w:val="32"/>
          <w:shd w:val="clear" w:color="auto" w:fill="FFFFFF"/>
        </w:rPr>
        <w:t>、邮电费</w:t>
      </w:r>
      <w:r>
        <w:rPr>
          <w:rFonts w:hint="eastAsia" w:ascii="方正仿宋_GBK" w:hAnsi="方正仿宋_GBK" w:eastAsia="方正仿宋_GBK" w:cs="方正仿宋_GBK"/>
          <w:sz w:val="32"/>
          <w:szCs w:val="32"/>
          <w:shd w:val="clear" w:color="auto" w:fill="FFFFFF"/>
          <w:lang w:val="en-US" w:eastAsia="zh-CN"/>
        </w:rPr>
        <w:t>36.86万元</w:t>
      </w:r>
      <w:r>
        <w:rPr>
          <w:rFonts w:hint="eastAsia" w:ascii="方正仿宋_GBK" w:hAnsi="方正仿宋_GBK" w:eastAsia="方正仿宋_GBK" w:cs="方正仿宋_GBK"/>
          <w:sz w:val="32"/>
          <w:szCs w:val="32"/>
          <w:shd w:val="clear" w:color="auto" w:fill="FFFFFF"/>
        </w:rPr>
        <w:t>、劳务派遣人员劳务费</w:t>
      </w:r>
      <w:r>
        <w:rPr>
          <w:rFonts w:hint="eastAsia" w:ascii="方正仿宋_GBK" w:hAnsi="方正仿宋_GBK" w:eastAsia="方正仿宋_GBK" w:cs="方正仿宋_GBK"/>
          <w:sz w:val="32"/>
          <w:szCs w:val="32"/>
          <w:shd w:val="clear" w:color="auto" w:fill="FFFFFF"/>
          <w:lang w:val="en-US" w:eastAsia="zh-CN"/>
        </w:rPr>
        <w:t>326.06万元</w:t>
      </w:r>
      <w:r>
        <w:rPr>
          <w:rFonts w:hint="eastAsia" w:ascii="方正仿宋_GBK" w:hAnsi="方正仿宋_GBK" w:eastAsia="方正仿宋_GBK" w:cs="方正仿宋_GBK"/>
          <w:sz w:val="32"/>
          <w:szCs w:val="32"/>
          <w:shd w:val="clear" w:color="auto" w:fill="FFFFFF"/>
        </w:rPr>
        <w:t>等</w:t>
      </w:r>
      <w:r>
        <w:rPr>
          <w:rFonts w:ascii="方正仿宋_GBK" w:hAnsi="方正仿宋_GBK" w:eastAsia="方正仿宋_GBK" w:cs="方正仿宋_GBK"/>
          <w:sz w:val="32"/>
          <w:szCs w:val="32"/>
          <w:shd w:val="clear" w:color="auto" w:fill="FFFFFF"/>
        </w:rPr>
        <w:t>。机关运行经费较上年支出数减少61.27万元，下降16.32%，主要原因是</w:t>
      </w:r>
      <w:r>
        <w:rPr>
          <w:rFonts w:hint="eastAsia" w:ascii="方正仿宋_GBK" w:hAnsi="方正仿宋_GBK" w:eastAsia="方正仿宋_GBK" w:cs="方正仿宋_GBK"/>
          <w:sz w:val="32"/>
          <w:szCs w:val="32"/>
          <w:shd w:val="clear" w:color="auto" w:fill="FFFFFF"/>
          <w:lang w:val="en-US" w:eastAsia="zh-CN"/>
        </w:rPr>
        <w:t>厉行节约，节能节电，严格控制公务用车，导致公务用车维护修理费减少。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截至2023年12月31日，本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val="en-US"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辆、机要通信用车1辆、应急保障用车2辆、执法执勤用车0辆，特种专业技术用车5辆，离退休干部用车0辆。单价100万元（含）以上设备（不含车辆）0台（套）。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ascii="方正仿宋_GBK" w:hAnsi="方正仿宋_GBK" w:eastAsia="方正仿宋_GBK" w:cs="方正仿宋_GBK"/>
          <w:sz w:val="32"/>
          <w:szCs w:val="32"/>
        </w:rPr>
        <w:t>5.88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5.88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5.88万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5.88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rPr>
        <w:t>办公设施设备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如办公电脑、打印机、LED显示屏等。</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w:t>
      </w:r>
      <w:r>
        <w:rPr>
          <w:rFonts w:hint="eastAsia" w:ascii="楷体" w:hAnsi="楷体" w:eastAsia="楷体" w:cs="楷体"/>
          <w:b/>
          <w:bCs/>
          <w:sz w:val="32"/>
          <w:szCs w:val="32"/>
          <w:shd w:val="clear" w:color="auto" w:fill="FFFFFF"/>
          <w:lang w:eastAsia="zh-CN"/>
        </w:rPr>
        <w:t>单位</w:t>
      </w:r>
      <w:r>
        <w:rPr>
          <w:rFonts w:hint="eastAsia" w:ascii="楷体" w:hAnsi="楷体" w:eastAsia="楷体" w:cs="楷体"/>
          <w:b/>
          <w:bCs/>
          <w:sz w:val="32"/>
          <w:szCs w:val="32"/>
          <w:shd w:val="clear" w:color="auto" w:fill="FFFFFF"/>
        </w:rPr>
        <w:t>自评情况</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对</w:t>
      </w:r>
      <w:r>
        <w:rPr>
          <w:rFonts w:hint="eastAsia" w:ascii="方正仿宋_GBK" w:hAnsi="方正仿宋_GBK" w:eastAsia="方正仿宋_GBK" w:cs="方正仿宋_GBK"/>
          <w:sz w:val="32"/>
          <w:szCs w:val="32"/>
          <w:shd w:val="clear" w:color="auto" w:fill="FFFFFF"/>
          <w:lang w:val="en-US" w:eastAsia="zh-CN"/>
        </w:rPr>
        <w:t>93</w:t>
      </w:r>
      <w:r>
        <w:rPr>
          <w:rFonts w:hint="eastAsia" w:ascii="方正仿宋_GBK" w:hAnsi="方正仿宋_GBK" w:eastAsia="方正仿宋_GBK" w:cs="方正仿宋_GBK"/>
          <w:sz w:val="32"/>
          <w:szCs w:val="32"/>
          <w:shd w:val="clear" w:color="auto" w:fill="FFFFFF"/>
        </w:rPr>
        <w:t>个项目开展了绩效自评，其中，以填报自评表形式开展自评</w:t>
      </w:r>
      <w:r>
        <w:rPr>
          <w:rFonts w:hint="eastAsia" w:ascii="方正仿宋_GBK" w:hAnsi="方正仿宋_GBK" w:eastAsia="方正仿宋_GBK" w:cs="方正仿宋_GBK"/>
          <w:sz w:val="32"/>
          <w:szCs w:val="32"/>
          <w:shd w:val="clear" w:color="auto" w:fill="FFFFFF"/>
          <w:lang w:val="en-US" w:eastAsia="zh-CN"/>
        </w:rPr>
        <w:t>93</w:t>
      </w:r>
      <w:r>
        <w:rPr>
          <w:rFonts w:hint="eastAsia" w:ascii="方正仿宋_GBK" w:hAnsi="方正仿宋_GBK" w:eastAsia="方正仿宋_GBK" w:cs="方正仿宋_GBK"/>
          <w:sz w:val="32"/>
          <w:szCs w:val="32"/>
          <w:shd w:val="clear" w:color="auto" w:fill="FFFFFF"/>
        </w:rPr>
        <w:t>项，涉及财政拨款项目支出资金3391.90万元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从评价情况来看，项目立项较为规范，绩效目标明确，预算编制合理，管理科学规范，资金到位及时，总体完成情况较好，有力保障了财政资金，项目基本达到了预期绩效目标。</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兴义镇人民政府</w:t>
      </w:r>
      <w:r>
        <w:rPr>
          <w:rFonts w:hint="eastAsia" w:ascii="方正仿宋_GBK" w:hAnsi="方正仿宋_GBK" w:eastAsia="方正仿宋_GBK" w:cs="方正仿宋_GBK"/>
          <w:sz w:val="32"/>
          <w:szCs w:val="32"/>
          <w:shd w:val="clear" w:color="auto" w:fill="FFFFFF"/>
        </w:rPr>
        <w:t>2023年度项目支出绩效自评情况表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见附件</w:t>
      </w:r>
      <w:r>
        <w:rPr>
          <w:rFonts w:hint="eastAsia" w:ascii="方正仿宋_GBK" w:hAnsi="方正仿宋_GBK" w:eastAsia="方正仿宋_GBK" w:cs="方正仿宋_GBK"/>
          <w:sz w:val="32"/>
          <w:szCs w:val="32"/>
          <w:shd w:val="clear" w:color="auto" w:fill="FFFFFF"/>
          <w:lang w:eastAsia="zh-CN"/>
        </w:rPr>
        <w:t>）</w:t>
      </w:r>
    </w:p>
    <w:tbl>
      <w:tblPr>
        <w:tblStyle w:val="7"/>
        <w:tblW w:w="11019" w:type="dxa"/>
        <w:jc w:val="center"/>
        <w:tblLayout w:type="autofit"/>
        <w:tblCellMar>
          <w:top w:w="0" w:type="dxa"/>
          <w:left w:w="108" w:type="dxa"/>
          <w:bottom w:w="0" w:type="dxa"/>
          <w:right w:w="108" w:type="dxa"/>
        </w:tblCellMar>
      </w:tblPr>
      <w:tblGrid>
        <w:gridCol w:w="1277"/>
        <w:gridCol w:w="696"/>
        <w:gridCol w:w="850"/>
        <w:gridCol w:w="992"/>
        <w:gridCol w:w="1039"/>
        <w:gridCol w:w="866"/>
        <w:gridCol w:w="1043"/>
        <w:gridCol w:w="709"/>
        <w:gridCol w:w="799"/>
        <w:gridCol w:w="992"/>
        <w:gridCol w:w="902"/>
        <w:gridCol w:w="992"/>
      </w:tblGrid>
      <w:tr>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17"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兴义镇2023年旧房整治提升</w:t>
            </w:r>
          </w:p>
        </w:tc>
        <w:tc>
          <w:tcPr>
            <w:tcW w:w="992" w:type="dxa"/>
            <w:tcBorders>
              <w:top w:val="nil"/>
              <w:left w:val="nil"/>
              <w:bottom w:val="single" w:color="auto" w:sz="4" w:space="0"/>
              <w:right w:val="single" w:color="auto" w:sz="4" w:space="0"/>
            </w:tcBorders>
            <w:noWrap/>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50023023T000003734935</w:t>
            </w:r>
          </w:p>
        </w:tc>
        <w:tc>
          <w:tcPr>
            <w:tcW w:w="1043" w:type="dxa"/>
            <w:tcBorders>
              <w:top w:val="nil"/>
              <w:left w:val="nil"/>
              <w:bottom w:val="single" w:color="auto" w:sz="4" w:space="0"/>
              <w:right w:val="single" w:color="auto" w:sz="4" w:space="0"/>
            </w:tcBorders>
            <w:noWrap/>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100.00</w:t>
            </w:r>
          </w:p>
        </w:tc>
        <w:tc>
          <w:tcPr>
            <w:tcW w:w="992" w:type="dxa"/>
            <w:tcBorders>
              <w:top w:val="nil"/>
              <w:left w:val="nil"/>
              <w:bottom w:val="single" w:color="auto" w:sz="4" w:space="0"/>
              <w:right w:val="single" w:color="auto" w:sz="4" w:space="0"/>
            </w:tcBorders>
            <w:noWrap/>
            <w:vAlign w:val="center"/>
          </w:tcPr>
          <w:p>
            <w:pP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w:t>
            </w:r>
            <w:r>
              <w:rPr>
                <w:rFonts w:hint="eastAsia" w:cs="宋体"/>
                <w:b/>
                <w:bCs/>
                <w:color w:val="000000"/>
                <w:kern w:val="0"/>
                <w:sz w:val="16"/>
                <w:szCs w:val="16"/>
                <w:lang w:eastAsia="zh-CN"/>
              </w:rPr>
              <w:t>单位</w:t>
            </w:r>
            <w:r>
              <w:rPr>
                <w:rFonts w:hint="eastAsia" w:ascii="宋体" w:hAnsi="宋体" w:cs="宋体"/>
                <w:b/>
                <w:bCs/>
                <w:color w:val="000000"/>
                <w:kern w:val="0"/>
                <w:sz w:val="16"/>
                <w:szCs w:val="16"/>
              </w:rPr>
              <w:t>：</w:t>
            </w:r>
          </w:p>
        </w:tc>
        <w:tc>
          <w:tcPr>
            <w:tcW w:w="1417"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918-丰都县兴义镇人民政府</w:t>
            </w:r>
          </w:p>
        </w:tc>
        <w:tc>
          <w:tcPr>
            <w:tcW w:w="992" w:type="dxa"/>
            <w:tcBorders>
              <w:top w:val="nil"/>
              <w:left w:val="nil"/>
              <w:bottom w:val="single" w:color="auto" w:sz="4" w:space="0"/>
              <w:right w:val="single" w:color="auto" w:sz="4" w:space="0"/>
            </w:tcBorders>
            <w:noWrap/>
            <w:vAlign w:val="center"/>
          </w:tcPr>
          <w:p>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007-基财科</w:t>
            </w:r>
          </w:p>
        </w:tc>
        <w:tc>
          <w:tcPr>
            <w:tcW w:w="1043" w:type="dxa"/>
            <w:tcBorders>
              <w:top w:val="nil"/>
              <w:left w:val="nil"/>
              <w:bottom w:val="single" w:color="auto" w:sz="4" w:space="0"/>
              <w:right w:val="single" w:color="auto" w:sz="4" w:space="0"/>
            </w:tcBorders>
            <w:noWrap/>
            <w:vAlign w:val="center"/>
          </w:tcPr>
          <w:p>
            <w:pPr>
              <w:widowControl/>
              <w:spacing w:line="240" w:lineRule="atLeast"/>
              <w:ind w:right="483"/>
              <w:jc w:val="center"/>
              <w:rPr>
                <w:rFonts w:hint="eastAsia" w:ascii="宋体" w:hAnsi="宋体" w:eastAsia="宋体" w:cs="宋体"/>
                <w:b/>
                <w:bCs/>
                <w:color w:val="000000"/>
                <w:kern w:val="0"/>
                <w:sz w:val="16"/>
                <w:szCs w:val="16"/>
                <w:lang w:eastAsia="zh-CN"/>
              </w:rPr>
            </w:pPr>
            <w:r>
              <w:rPr>
                <w:rFonts w:hint="eastAsia" w:cs="宋体"/>
                <w:b/>
                <w:bCs/>
                <w:color w:val="000000"/>
                <w:kern w:val="0"/>
                <w:sz w:val="16"/>
                <w:szCs w:val="16"/>
                <w:lang w:eastAsia="zh-CN"/>
              </w:rPr>
              <w:t>单位</w:t>
            </w:r>
          </w:p>
          <w:p>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李胜源</w:t>
            </w:r>
          </w:p>
        </w:tc>
        <w:tc>
          <w:tcPr>
            <w:tcW w:w="992" w:type="dxa"/>
            <w:tcBorders>
              <w:top w:val="nil"/>
              <w:left w:val="nil"/>
              <w:bottom w:val="single" w:color="auto" w:sz="4" w:space="0"/>
              <w:right w:val="single" w:color="auto" w:sz="4" w:space="0"/>
            </w:tcBorders>
            <w:noWrap/>
            <w:vAlign w:val="center"/>
          </w:tcPr>
          <w:p>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cs="宋体"/>
                <w:color w:val="000000"/>
                <w:kern w:val="0"/>
                <w:sz w:val="16"/>
                <w:szCs w:val="16"/>
                <w:lang w:val="en-US" w:eastAsia="zh-CN"/>
              </w:rPr>
              <w:t>19192252028</w:t>
            </w:r>
          </w:p>
        </w:tc>
      </w:tr>
      <w:tr>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0.00 </w:t>
            </w:r>
          </w:p>
        </w:tc>
        <w:tc>
          <w:tcPr>
            <w:tcW w:w="1896"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91"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p>
        </w:tc>
        <w:tc>
          <w:tcPr>
            <w:tcW w:w="90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0.00 </w:t>
            </w:r>
          </w:p>
        </w:tc>
        <w:tc>
          <w:tcPr>
            <w:tcW w:w="1896"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91"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0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10.00</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10.00 </w:t>
            </w:r>
          </w:p>
        </w:tc>
      </w:tr>
      <w:tr>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0.00 </w:t>
            </w:r>
          </w:p>
        </w:tc>
        <w:tc>
          <w:tcPr>
            <w:tcW w:w="1896"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1,700,000.00 </w:t>
            </w:r>
          </w:p>
        </w:tc>
        <w:tc>
          <w:tcPr>
            <w:tcW w:w="1791" w:type="dxa"/>
            <w:gridSpan w:val="2"/>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0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w:t>
            </w: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tblPrEx>
          <w:tblCellMar>
            <w:top w:w="0" w:type="dxa"/>
            <w:left w:w="108" w:type="dxa"/>
            <w:bottom w:w="0" w:type="dxa"/>
            <w:right w:w="108" w:type="dxa"/>
          </w:tblCellMar>
        </w:tblPrEx>
        <w:trPr>
          <w:trHeight w:val="499"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tblPrEx>
          <w:tblCellMar>
            <w:top w:w="0" w:type="dxa"/>
            <w:left w:w="108" w:type="dxa"/>
            <w:bottom w:w="0" w:type="dxa"/>
            <w:right w:w="108" w:type="dxa"/>
          </w:tblCellMar>
        </w:tblPrEx>
        <w:trPr>
          <w:trHeight w:val="1602" w:hRule="atLeast"/>
          <w:jc w:val="center"/>
        </w:trPr>
        <w:tc>
          <w:tcPr>
            <w:tcW w:w="3686"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实施旧房整治提升220户，补助资金223.2885万元，本次下达170万元。</w:t>
            </w:r>
          </w:p>
        </w:tc>
        <w:tc>
          <w:tcPr>
            <w:tcW w:w="3648" w:type="dxa"/>
            <w:gridSpan w:val="4"/>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实施旧房整治提升220户，补助资金223.2885万元，本次下达170万元。</w:t>
            </w:r>
          </w:p>
        </w:tc>
        <w:tc>
          <w:tcPr>
            <w:tcW w:w="3685" w:type="dxa"/>
            <w:gridSpan w:val="4"/>
            <w:tcBorders>
              <w:top w:val="single" w:color="auto" w:sz="4" w:space="0"/>
              <w:left w:val="nil"/>
              <w:bottom w:val="single" w:color="auto" w:sz="4" w:space="0"/>
              <w:right w:val="single" w:color="auto" w:sz="4" w:space="0"/>
            </w:tcBorders>
            <w:noWrap w:val="0"/>
            <w:vAlign w:val="top"/>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实施旧房整治提升220户，本次支付170万元。</w:t>
            </w:r>
          </w:p>
        </w:tc>
      </w:tr>
      <w:tr>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567"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旧房整治提升数量</w:t>
            </w:r>
          </w:p>
        </w:tc>
        <w:tc>
          <w:tcPr>
            <w:tcW w:w="56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户（套）</w:t>
            </w:r>
          </w:p>
        </w:tc>
        <w:tc>
          <w:tcPr>
            <w:tcW w:w="85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220</w:t>
            </w:r>
          </w:p>
        </w:tc>
        <w:tc>
          <w:tcPr>
            <w:tcW w:w="10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220</w:t>
            </w:r>
          </w:p>
        </w:tc>
        <w:tc>
          <w:tcPr>
            <w:tcW w:w="86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w:t>
            </w:r>
          </w:p>
        </w:tc>
        <w:tc>
          <w:tcPr>
            <w:tcW w:w="79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完工率</w:t>
            </w:r>
          </w:p>
        </w:tc>
        <w:tc>
          <w:tcPr>
            <w:tcW w:w="56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10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86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项目完成及时率</w:t>
            </w:r>
          </w:p>
        </w:tc>
        <w:tc>
          <w:tcPr>
            <w:tcW w:w="56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10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86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项目实施减少低收入群体支出</w:t>
            </w:r>
          </w:p>
        </w:tc>
        <w:tc>
          <w:tcPr>
            <w:tcW w:w="56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改善低收入人群居住环境</w:t>
            </w:r>
          </w:p>
        </w:tc>
        <w:tc>
          <w:tcPr>
            <w:tcW w:w="56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消除农村残破老旧房屋，提升村容村貌</w:t>
            </w:r>
          </w:p>
        </w:tc>
        <w:tc>
          <w:tcPr>
            <w:tcW w:w="56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房屋整治后安全期限</w:t>
            </w:r>
          </w:p>
        </w:tc>
        <w:tc>
          <w:tcPr>
            <w:tcW w:w="56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年</w:t>
            </w:r>
          </w:p>
        </w:tc>
        <w:tc>
          <w:tcPr>
            <w:tcW w:w="850"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15</w:t>
            </w:r>
          </w:p>
        </w:tc>
        <w:tc>
          <w:tcPr>
            <w:tcW w:w="1034"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15</w:t>
            </w:r>
          </w:p>
        </w:tc>
        <w:tc>
          <w:tcPr>
            <w:tcW w:w="86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受益群众满意度</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主管</w:t>
            </w:r>
            <w:r>
              <w:rPr>
                <w:rFonts w:hint="eastAsia" w:cs="宋体"/>
                <w:color w:val="000000"/>
                <w:kern w:val="0"/>
                <w:sz w:val="16"/>
                <w:szCs w:val="16"/>
                <w:lang w:val="en-US" w:eastAsia="zh-CN"/>
              </w:rPr>
              <w:t>单位</w:t>
            </w:r>
            <w:r>
              <w:rPr>
                <w:rFonts w:hint="eastAsia" w:ascii="宋体" w:hAnsi="宋体" w:cs="宋体"/>
                <w:color w:val="000000"/>
                <w:kern w:val="0"/>
                <w:sz w:val="16"/>
                <w:szCs w:val="16"/>
                <w:lang w:val="en-US" w:eastAsia="zh-CN"/>
              </w:rPr>
              <w:t>满意度</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95</w:t>
            </w:r>
          </w:p>
        </w:tc>
        <w:tc>
          <w:tcPr>
            <w:tcW w:w="8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工程成本节约率</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w:t>
            </w: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16"/>
                <w:szCs w:val="16"/>
              </w:rPr>
            </w:pPr>
          </w:p>
        </w:tc>
      </w:tr>
      <w:tr>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项目支出控制在预算范围内的比例</w:t>
            </w:r>
          </w:p>
        </w:tc>
        <w:tc>
          <w:tcPr>
            <w:tcW w:w="5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103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86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0</w:t>
            </w:r>
          </w:p>
        </w:tc>
        <w:tc>
          <w:tcPr>
            <w:tcW w:w="10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79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000000"/>
                <w:kern w:val="0"/>
                <w:sz w:val="16"/>
                <w:szCs w:val="16"/>
                <w:lang w:val="en-US" w:eastAsia="zh-CN"/>
              </w:rPr>
            </w:pP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16"/>
                <w:szCs w:val="16"/>
              </w:rPr>
            </w:pPr>
          </w:p>
        </w:tc>
      </w:tr>
    </w:tbl>
    <w:p>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w:t>
      </w:r>
      <w:r>
        <w:rPr>
          <w:rFonts w:hint="eastAsia" w:ascii="楷体" w:hAnsi="楷体" w:eastAsia="楷体" w:cs="楷体"/>
          <w:b/>
          <w:bCs/>
          <w:sz w:val="32"/>
          <w:szCs w:val="32"/>
          <w:shd w:val="clear" w:color="auto" w:fill="FFFFFF"/>
          <w:lang w:eastAsia="zh-CN"/>
        </w:rPr>
        <w:t>单位</w:t>
      </w:r>
      <w:r>
        <w:rPr>
          <w:rFonts w:hint="eastAsia" w:ascii="楷体" w:hAnsi="楷体" w:eastAsia="楷体" w:cs="楷体"/>
          <w:b/>
          <w:bCs/>
          <w:sz w:val="32"/>
          <w:szCs w:val="32"/>
          <w:shd w:val="clear" w:color="auto" w:fill="FFFFFF"/>
        </w:rPr>
        <w:t>绩效评价情况</w:t>
      </w:r>
    </w:p>
    <w:p>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未组织开展绩效评价</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ind w:firstLine="64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val="en-US" w:eastAsia="zh-CN"/>
        </w:rPr>
        <w:t>县</w:t>
      </w:r>
      <w:r>
        <w:rPr>
          <w:rFonts w:hint="eastAsia" w:ascii="方正仿宋_GBK" w:hAnsi="方正仿宋_GBK" w:eastAsia="方正仿宋_GBK" w:cs="方正仿宋_GBK"/>
          <w:sz w:val="32"/>
          <w:szCs w:val="32"/>
          <w:shd w:val="clear" w:color="auto" w:fill="FFFFFF"/>
        </w:rPr>
        <w:t>财政局未委托第三方对我</w:t>
      </w:r>
      <w:r>
        <w:rPr>
          <w:rFonts w:hint="eastAsia" w:ascii="方正仿宋_GBK" w:hAnsi="方正仿宋_GBK" w:eastAsia="方正仿宋_GBK" w:cs="方正仿宋_GBK"/>
          <w:sz w:val="32"/>
          <w:szCs w:val="32"/>
          <w:shd w:val="clear" w:color="auto" w:fill="FFFFFF"/>
          <w:lang w:eastAsia="zh-CN"/>
        </w:rPr>
        <w:t>单位</w:t>
      </w:r>
      <w:r>
        <w:rPr>
          <w:rFonts w:hint="eastAsia" w:ascii="方正仿宋_GBK" w:hAnsi="方正仿宋_GBK" w:eastAsia="方正仿宋_GBK" w:cs="方正仿宋_GBK"/>
          <w:sz w:val="32"/>
          <w:szCs w:val="32"/>
          <w:shd w:val="clear" w:color="auto" w:fill="FFFFFF"/>
        </w:rPr>
        <w:t>开展绩效评价</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以外的同级单位取得的经费、从非本级财政</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李明静</w:t>
      </w:r>
      <w:r>
        <w:rPr>
          <w:rFonts w:ascii="方正仿宋_GBK" w:hAnsi="方正仿宋_GBK" w:eastAsia="方正仿宋_GBK" w:cs="方正仿宋_GBK"/>
          <w:sz w:val="32"/>
          <w:szCs w:val="32"/>
          <w:shd w:val="clear" w:color="auto" w:fill="FFFFFF"/>
        </w:rPr>
        <w:t>023-70648019</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eastAsia="zh-CN"/>
              </w:rPr>
              <w:t>单位</w:t>
            </w:r>
            <w:r>
              <w:rPr>
                <w:rFonts w:cs="宋体"/>
                <w:sz w:val="20"/>
                <w:szCs w:val="20"/>
              </w:rPr>
              <w:t>：</w:t>
            </w:r>
            <w:r>
              <w:rPr>
                <w:sz w:val="20"/>
                <w:u w:color="auto"/>
              </w:rPr>
              <w:t>重庆市丰都县兴义镇人民政府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4,032.69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1,059.41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179.48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61.12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845.42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93.77</w:t>
            </w: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209.67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1,509.62</w:t>
            </w: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532.02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39.22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4,212.17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4,436.24</w:t>
            </w:r>
            <w:r>
              <w:rPr>
                <w:color w:val="000000"/>
                <w:sz w:val="20"/>
                <w:u w:color="auto"/>
              </w:rPr>
              <w:t xml:space="preserve"> </w:t>
            </w:r>
          </w:p>
        </w:tc>
      </w:tr>
      <w:tr>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1,219.14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995.08</w:t>
            </w: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5,431.32</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5,431.32</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sz w:val="20"/>
                <w:szCs w:val="20"/>
              </w:rPr>
              <w:t>：</w:t>
            </w:r>
            <w:r>
              <w:rPr>
                <w:sz w:val="20"/>
                <w:u w:color="auto"/>
              </w:rPr>
              <w:t>重庆市丰都县兴义镇人民政府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4,212.17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4,212.17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1,059.41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1,041.05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1,041.05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1,038.46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1,038.46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845.42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845.42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253.54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128.99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54.55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157.67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124.95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1,416.98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407.41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167.35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182.78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345.32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339.32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460.60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363.37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97.23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697"/>
        <w:gridCol w:w="4030"/>
        <w:gridCol w:w="1596"/>
        <w:gridCol w:w="1597"/>
        <w:gridCol w:w="1597"/>
        <w:gridCol w:w="1581"/>
        <w:gridCol w:w="1581"/>
        <w:gridCol w:w="1643"/>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 xml:space="preserve">重庆市丰都县兴义镇人民政府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4,436.24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2,677.98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1,758.26</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1,059.41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1,038.46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1,041.05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1,038.46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1,038.46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1,038.46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845.42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577.14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268.28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253.54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198.13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55.41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198.13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55.41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272.89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128.99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63.24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63.24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54.55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83.77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32.66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209.67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124.95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124.95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32.72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1,509.62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746.73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762.89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407.41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125.36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407.41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106.25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239.35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239.35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182.78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182.78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142.02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345.32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339.32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339.32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532.02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363.37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363.37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83.37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18.76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4,032.69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1,059.41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1,059.41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179.48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845.42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704.66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140.76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209.67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176.95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32.72</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1,509.62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1,507.83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4,212.17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4,436.24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4,254.97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181.27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1,219.14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995.08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995.08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222.28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996.87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5,431.32</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5,431.32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4,254.97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1,176.35</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27"/>
        <w:gridCol w:w="4030"/>
        <w:gridCol w:w="3183"/>
        <w:gridCol w:w="3183"/>
        <w:gridCol w:w="319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4,254.97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2,677.98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1,576.99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1,059.41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1,038.46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20.95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1,041.05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1,038.46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1,038.46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1,038.46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704.66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577.14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127.52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253.54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198.13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55.41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198.13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55.41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272.89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128.99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128.99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38.30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63.24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63.24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8.87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残疾人康复</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54.55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83.77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32.66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124.95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124.95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124.95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124.95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1,507.83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746.73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761.10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407.41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125.36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407.41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407.41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106.25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239.35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239.35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86.81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86.81</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48.58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48.97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hint="eastAsia" w:cs="宋体"/>
                <w:b/>
                <w:color w:val="000000"/>
                <w:sz w:val="20"/>
                <w:szCs w:val="20"/>
                <w:lang w:eastAsia="zh-CN"/>
              </w:rPr>
              <w:t>巩固拓展脱贫攻坚成果</w:t>
            </w:r>
            <w:r>
              <w:rPr>
                <w:rFonts w:cs="宋体"/>
                <w:b/>
                <w:color w:val="000000"/>
                <w:sz w:val="20"/>
                <w:szCs w:val="20"/>
              </w:rPr>
              <w:t>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341.42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182.78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182.78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142.02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w:t>
            </w:r>
            <w:r>
              <w:rPr>
                <w:rFonts w:hint="eastAsia" w:cs="宋体"/>
                <w:color w:val="000000"/>
                <w:sz w:val="20"/>
                <w:szCs w:val="20"/>
                <w:lang w:eastAsia="zh-CN"/>
              </w:rPr>
              <w:t>巩固拓展脱贫攻坚成果</w:t>
            </w:r>
            <w:r>
              <w:rPr>
                <w:rFonts w:cs="宋体"/>
                <w:color w:val="000000"/>
                <w:sz w:val="20"/>
                <w:szCs w:val="20"/>
              </w:rPr>
              <w:t>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345.32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339.32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339.32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339.32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532.02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363.37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363.37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83.37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83.37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168.65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83.65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18.76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18.76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18.76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w:t>
            </w:r>
            <w:r>
              <w:rPr>
                <w:color w:val="000000"/>
                <w:sz w:val="20"/>
                <w:u w:color="auto"/>
              </w:rPr>
              <w:t xml:space="preserve"> </w:t>
            </w:r>
          </w:p>
        </w:tc>
      </w:tr>
    </w:tbl>
    <w:p>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1,626.40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423.79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354.52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246.77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373.59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120.86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36.86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76.70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46.66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51.44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2,251.06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426.92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996.87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179.48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181.27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181.27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995.08</w:t>
            </w: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140.76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140.76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140.76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140.76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32.72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996.87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995.08</w:t>
            </w: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996.87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995.08</w:t>
            </w: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996.87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995.08</w:t>
            </w: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单位</w:t>
            </w:r>
            <w:r>
              <w:rPr>
                <w:rFonts w:cs="宋体"/>
                <w:color w:val="000000"/>
                <w:sz w:val="20"/>
                <w:szCs w:val="20"/>
              </w:rPr>
              <w:t xml:space="preserve">： </w:t>
            </w:r>
            <w:r>
              <w:rPr>
                <w:color w:val="000000"/>
                <w:sz w:val="20"/>
                <w:u w:color="auto"/>
              </w:rPr>
              <w:t>重庆市丰都县兴义镇人民政府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本年度国有资本经营预算财政拨款支出情况。本</w:t>
      </w:r>
      <w:r>
        <w:rPr>
          <w:rFonts w:hint="eastAsia" w:cs="宋体"/>
          <w:sz w:val="20"/>
          <w:szCs w:val="20"/>
          <w:lang w:eastAsia="zh-CN"/>
        </w:rPr>
        <w:t>单位</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w:t>
            </w:r>
            <w:r>
              <w:rPr>
                <w:rFonts w:hint="eastAsia" w:cs="宋体"/>
                <w:kern w:val="2"/>
                <w:sz w:val="20"/>
                <w:szCs w:val="20"/>
                <w:lang w:eastAsia="zh-CN"/>
              </w:rPr>
              <w:t>单位</w:t>
            </w:r>
            <w:r>
              <w:rPr>
                <w:rFonts w:cs="宋体"/>
                <w:color w:val="000000"/>
                <w:kern w:val="2"/>
                <w:sz w:val="20"/>
                <w:szCs w:val="20"/>
              </w:rPr>
              <w:t xml:space="preserve">： </w:t>
            </w:r>
            <w:r>
              <w:rPr>
                <w:color w:val="000000"/>
                <w:sz w:val="20"/>
                <w:u w:color="auto"/>
              </w:rPr>
              <w:t>重庆市丰都县兴义镇人民政府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314.10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14.74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14.74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314.10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11.44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11.44</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11.44</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3.30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120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5.88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5.88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470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5.88</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5.88</w:t>
            </w: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5.83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w:t>
      </w:r>
      <w:r>
        <w:rPr>
          <w:rFonts w:hint="eastAsia" w:cs="宋体"/>
          <w:sz w:val="20"/>
          <w:szCs w:val="20"/>
          <w:lang w:eastAsia="zh-CN"/>
        </w:rPr>
        <w:t>单位</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37F7D7C"/>
    <w:rsid w:val="03B87EA0"/>
    <w:rsid w:val="03E3214F"/>
    <w:rsid w:val="04012161"/>
    <w:rsid w:val="044C50BA"/>
    <w:rsid w:val="05847E46"/>
    <w:rsid w:val="05BC6D49"/>
    <w:rsid w:val="06194FF1"/>
    <w:rsid w:val="06A2550B"/>
    <w:rsid w:val="06F80EE2"/>
    <w:rsid w:val="07001CCA"/>
    <w:rsid w:val="075678DB"/>
    <w:rsid w:val="079D7CC7"/>
    <w:rsid w:val="08051BCA"/>
    <w:rsid w:val="086C12F4"/>
    <w:rsid w:val="08BA052C"/>
    <w:rsid w:val="08DB07BA"/>
    <w:rsid w:val="08E5593F"/>
    <w:rsid w:val="0969353F"/>
    <w:rsid w:val="098305D0"/>
    <w:rsid w:val="098A0877"/>
    <w:rsid w:val="0A5C4B69"/>
    <w:rsid w:val="0A86124A"/>
    <w:rsid w:val="0AB54CC0"/>
    <w:rsid w:val="0B6F5044"/>
    <w:rsid w:val="0B9335CE"/>
    <w:rsid w:val="0C7927C4"/>
    <w:rsid w:val="0C9B098C"/>
    <w:rsid w:val="0D0F711B"/>
    <w:rsid w:val="0D673E11"/>
    <w:rsid w:val="0DDA54E4"/>
    <w:rsid w:val="0E3A5F83"/>
    <w:rsid w:val="0E74421A"/>
    <w:rsid w:val="0F836721"/>
    <w:rsid w:val="0F9A2123"/>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597BD4"/>
    <w:rsid w:val="173708E3"/>
    <w:rsid w:val="17C374FC"/>
    <w:rsid w:val="189079DC"/>
    <w:rsid w:val="189B0D0B"/>
    <w:rsid w:val="18B43F7C"/>
    <w:rsid w:val="194A1770"/>
    <w:rsid w:val="19B906A4"/>
    <w:rsid w:val="19FC20F8"/>
    <w:rsid w:val="1B6F15B6"/>
    <w:rsid w:val="1BAA2EDC"/>
    <w:rsid w:val="1C5C0973"/>
    <w:rsid w:val="1CA55E64"/>
    <w:rsid w:val="1D014A01"/>
    <w:rsid w:val="1D022362"/>
    <w:rsid w:val="1D1B04B0"/>
    <w:rsid w:val="1DBD6767"/>
    <w:rsid w:val="1DC52125"/>
    <w:rsid w:val="1DD26311"/>
    <w:rsid w:val="1E2F008D"/>
    <w:rsid w:val="1E374ACB"/>
    <w:rsid w:val="1E5E27E3"/>
    <w:rsid w:val="1ECF0A66"/>
    <w:rsid w:val="1EF67CA4"/>
    <w:rsid w:val="1F020D3A"/>
    <w:rsid w:val="1F2C5189"/>
    <w:rsid w:val="1F4B0B02"/>
    <w:rsid w:val="1FBB35CD"/>
    <w:rsid w:val="1FCD26AF"/>
    <w:rsid w:val="20642787"/>
    <w:rsid w:val="21556F04"/>
    <w:rsid w:val="22403BD3"/>
    <w:rsid w:val="23DA37D9"/>
    <w:rsid w:val="247112D5"/>
    <w:rsid w:val="24B92327"/>
    <w:rsid w:val="24C14514"/>
    <w:rsid w:val="2533755C"/>
    <w:rsid w:val="25791755"/>
    <w:rsid w:val="26396DF4"/>
    <w:rsid w:val="27167136"/>
    <w:rsid w:val="27B23302"/>
    <w:rsid w:val="29310A5F"/>
    <w:rsid w:val="29A63989"/>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833B12"/>
    <w:rsid w:val="36C9128A"/>
    <w:rsid w:val="372E3953"/>
    <w:rsid w:val="37841E99"/>
    <w:rsid w:val="37BF1123"/>
    <w:rsid w:val="383C3F15"/>
    <w:rsid w:val="38BE4696"/>
    <w:rsid w:val="38F75D3E"/>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EEF79F0"/>
    <w:rsid w:val="3F032E93"/>
    <w:rsid w:val="3F0527E5"/>
    <w:rsid w:val="3F694D83"/>
    <w:rsid w:val="3F72697E"/>
    <w:rsid w:val="3F885DCC"/>
    <w:rsid w:val="3FCD675E"/>
    <w:rsid w:val="4004000C"/>
    <w:rsid w:val="411B6CE5"/>
    <w:rsid w:val="412070D7"/>
    <w:rsid w:val="41314E40"/>
    <w:rsid w:val="41E0734B"/>
    <w:rsid w:val="426554D0"/>
    <w:rsid w:val="426C1EA8"/>
    <w:rsid w:val="42736402"/>
    <w:rsid w:val="42E86A87"/>
    <w:rsid w:val="43307B09"/>
    <w:rsid w:val="438D0E97"/>
    <w:rsid w:val="43A05938"/>
    <w:rsid w:val="43BB152F"/>
    <w:rsid w:val="44C37687"/>
    <w:rsid w:val="45B522D9"/>
    <w:rsid w:val="45CB699A"/>
    <w:rsid w:val="465B470D"/>
    <w:rsid w:val="469D6AD4"/>
    <w:rsid w:val="471E6C84"/>
    <w:rsid w:val="4748792B"/>
    <w:rsid w:val="475D719D"/>
    <w:rsid w:val="47674801"/>
    <w:rsid w:val="48225EF7"/>
    <w:rsid w:val="488F422B"/>
    <w:rsid w:val="48E36915"/>
    <w:rsid w:val="495C4A24"/>
    <w:rsid w:val="497135DF"/>
    <w:rsid w:val="499543DE"/>
    <w:rsid w:val="4A263DF2"/>
    <w:rsid w:val="4A6F6675"/>
    <w:rsid w:val="4B0502DF"/>
    <w:rsid w:val="4B0B69AB"/>
    <w:rsid w:val="4B135857"/>
    <w:rsid w:val="4B7951CB"/>
    <w:rsid w:val="4B7C315C"/>
    <w:rsid w:val="4DAC4ACA"/>
    <w:rsid w:val="4DBE01D2"/>
    <w:rsid w:val="4E3D383E"/>
    <w:rsid w:val="4EAE0056"/>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2A3F3F"/>
    <w:rsid w:val="5842572D"/>
    <w:rsid w:val="598C6472"/>
    <w:rsid w:val="5A3B59D6"/>
    <w:rsid w:val="5AD134D8"/>
    <w:rsid w:val="5B6503B1"/>
    <w:rsid w:val="5C0E6052"/>
    <w:rsid w:val="5C1A38DC"/>
    <w:rsid w:val="5C263CE4"/>
    <w:rsid w:val="5C456B64"/>
    <w:rsid w:val="5C5D2777"/>
    <w:rsid w:val="5CF66BF3"/>
    <w:rsid w:val="5D290C69"/>
    <w:rsid w:val="5D9407D9"/>
    <w:rsid w:val="5F2D4A41"/>
    <w:rsid w:val="60C74F6C"/>
    <w:rsid w:val="61025A59"/>
    <w:rsid w:val="613D5BBC"/>
    <w:rsid w:val="61536C39"/>
    <w:rsid w:val="62944DD7"/>
    <w:rsid w:val="6319381F"/>
    <w:rsid w:val="63236436"/>
    <w:rsid w:val="63C25DC5"/>
    <w:rsid w:val="63C62057"/>
    <w:rsid w:val="640F6E0B"/>
    <w:rsid w:val="64571EF5"/>
    <w:rsid w:val="64FB113D"/>
    <w:rsid w:val="656152C6"/>
    <w:rsid w:val="6587477F"/>
    <w:rsid w:val="658C3A08"/>
    <w:rsid w:val="65C031CA"/>
    <w:rsid w:val="65CE6852"/>
    <w:rsid w:val="66267C04"/>
    <w:rsid w:val="663F505A"/>
    <w:rsid w:val="66967186"/>
    <w:rsid w:val="66E34CAF"/>
    <w:rsid w:val="66EE5541"/>
    <w:rsid w:val="67924660"/>
    <w:rsid w:val="68407834"/>
    <w:rsid w:val="6883293E"/>
    <w:rsid w:val="688412AD"/>
    <w:rsid w:val="68AA5A83"/>
    <w:rsid w:val="68EB1B71"/>
    <w:rsid w:val="69475C96"/>
    <w:rsid w:val="6AAD2300"/>
    <w:rsid w:val="6B474EF5"/>
    <w:rsid w:val="6BBF53FD"/>
    <w:rsid w:val="6C560CAE"/>
    <w:rsid w:val="6C576495"/>
    <w:rsid w:val="6D903FF5"/>
    <w:rsid w:val="6DA955B8"/>
    <w:rsid w:val="6DE346AB"/>
    <w:rsid w:val="6DE5391A"/>
    <w:rsid w:val="6EF258BB"/>
    <w:rsid w:val="6EFD1324"/>
    <w:rsid w:val="6F5A53AC"/>
    <w:rsid w:val="6FA02D4D"/>
    <w:rsid w:val="6FAC003D"/>
    <w:rsid w:val="6FE55E12"/>
    <w:rsid w:val="6FFB2E76"/>
    <w:rsid w:val="7046040F"/>
    <w:rsid w:val="708F6F7F"/>
    <w:rsid w:val="70D94BD3"/>
    <w:rsid w:val="71C34D91"/>
    <w:rsid w:val="721E3F94"/>
    <w:rsid w:val="72DB435C"/>
    <w:rsid w:val="72E2613A"/>
    <w:rsid w:val="72F771F4"/>
    <w:rsid w:val="736650B0"/>
    <w:rsid w:val="738C13E8"/>
    <w:rsid w:val="73934AD2"/>
    <w:rsid w:val="73F41DC4"/>
    <w:rsid w:val="750837F0"/>
    <w:rsid w:val="754758CF"/>
    <w:rsid w:val="75F45E61"/>
    <w:rsid w:val="75FC464C"/>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1C5780"/>
    <w:rsid w:val="7D7406BB"/>
    <w:rsid w:val="7DE94331"/>
    <w:rsid w:val="7F0F207B"/>
    <w:rsid w:val="7F446A19"/>
    <w:rsid w:val="7F7452B9"/>
    <w:rsid w:val="DFFB9F66"/>
    <w:rsid w:val="FAADE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13212</Words>
  <Characters>19274</Characters>
  <Lines>194</Lines>
  <Paragraphs>54</Paragraphs>
  <TotalTime>2</TotalTime>
  <ScaleCrop>false</ScaleCrop>
  <LinksUpToDate>false</LinksUpToDate>
  <CharactersWithSpaces>21766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fengdu</cp:lastModifiedBy>
  <dcterms:modified xsi:type="dcterms:W3CDTF">2024-11-01T09:14:01Z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