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黑体"/>
          <w:color w:val="000000"/>
          <w:sz w:val="36"/>
          <w:szCs w:val="32"/>
        </w:rPr>
      </w:pPr>
      <w:r>
        <w:rPr>
          <w:rFonts w:hint="eastAsia" w:ascii="华文中宋" w:hAnsi="华文中宋" w:eastAsia="华文中宋" w:cs="黑体"/>
          <w:color w:val="000000"/>
          <w:sz w:val="36"/>
          <w:szCs w:val="32"/>
        </w:rPr>
        <w:t>丰都县三元镇人民政府2021年度部门决算报表</w:t>
      </w:r>
    </w:p>
    <w:p>
      <w:pPr>
        <w:jc w:val="center"/>
        <w:rPr>
          <w:rFonts w:ascii="华文中宋" w:hAnsi="华文中宋" w:eastAsia="华文中宋" w:cs="黑体"/>
          <w:color w:val="000000"/>
          <w:sz w:val="36"/>
          <w:szCs w:val="32"/>
        </w:rPr>
      </w:pPr>
      <w:r>
        <w:rPr>
          <w:rFonts w:hint="eastAsia" w:ascii="华文中宋" w:hAnsi="华文中宋" w:eastAsia="华文中宋" w:cs="黑体"/>
          <w:color w:val="000000"/>
          <w:sz w:val="36"/>
          <w:szCs w:val="32"/>
        </w:rPr>
        <w:t>填报说明</w:t>
      </w:r>
    </w:p>
    <w:p>
      <w:pPr>
        <w:spacing w:line="594"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一、决算信息来源说明</w:t>
      </w:r>
    </w:p>
    <w:p>
      <w:pPr>
        <w:spacing w:line="594" w:lineRule="exact"/>
        <w:ind w:firstLine="640" w:firstLineChars="200"/>
        <w:rPr>
          <w:rFonts w:ascii="仿宋_GB2312" w:hAnsi="仿宋" w:eastAsia="仿宋_GB2312" w:cs="仿宋"/>
          <w:bCs/>
          <w:color w:val="000000"/>
          <w:sz w:val="32"/>
          <w:szCs w:val="32"/>
        </w:rPr>
      </w:pPr>
      <w:r>
        <w:rPr>
          <w:rFonts w:hint="eastAsia" w:ascii="仿宋_GB2312" w:hAnsi="仿宋" w:eastAsia="仿宋_GB2312" w:cs="仿宋"/>
          <w:bCs/>
          <w:color w:val="000000"/>
          <w:sz w:val="32"/>
          <w:szCs w:val="32"/>
        </w:rPr>
        <w:t>本套决算依据本单位登记完整、核对无误的账簿记录和其他有关会计核算资料编制，账证相符、账实相符、账表相符、表表相符，真实、准确、完整地反映了本单位预算执行结果和财务状况。</w:t>
      </w:r>
    </w:p>
    <w:p>
      <w:pPr>
        <w:spacing w:line="594" w:lineRule="exact"/>
        <w:ind w:firstLine="640" w:firstLineChars="200"/>
        <w:rPr>
          <w:rFonts w:ascii="仿宋_GB2312" w:hAnsi="仿宋" w:eastAsia="仿宋_GB2312" w:cs="黑体"/>
          <w:color w:val="000000"/>
          <w:sz w:val="32"/>
          <w:szCs w:val="32"/>
        </w:rPr>
      </w:pPr>
      <w:r>
        <w:rPr>
          <w:rFonts w:hint="eastAsia" w:ascii="仿宋_GB2312" w:hAnsi="仿宋" w:eastAsia="仿宋_GB2312"/>
          <w:sz w:val="32"/>
          <w:szCs w:val="32"/>
        </w:rPr>
        <w:t>（一）本套决算主表数据主要依据本单位会计账簿总账及明细账数据填列，预算数据依据本单位预、决算批复文件及预算调整文件填列。</w:t>
      </w:r>
    </w:p>
    <w:p>
      <w:pPr>
        <w:spacing w:line="594" w:lineRule="exact"/>
        <w:ind w:firstLine="640" w:firstLineChars="200"/>
        <w:rPr>
          <w:rFonts w:ascii="仿宋_GB2312" w:hAnsi="仿宋" w:eastAsia="仿宋_GB2312"/>
          <w:sz w:val="32"/>
          <w:szCs w:val="32"/>
        </w:rPr>
      </w:pPr>
      <w:r>
        <w:rPr>
          <w:rFonts w:hint="eastAsia" w:ascii="仿宋_GB2312" w:hAnsi="仿宋" w:eastAsia="仿宋_GB2312"/>
          <w:sz w:val="32"/>
          <w:szCs w:val="32"/>
        </w:rPr>
        <w:t>（二）本套决算附表数据主要依据本单位会计账簿、资产、人事台账及相关资料填列。</w:t>
      </w:r>
    </w:p>
    <w:p>
      <w:pPr>
        <w:spacing w:line="594"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二、决算汇编基本情况</w:t>
      </w:r>
    </w:p>
    <w:p>
      <w:pPr>
        <w:spacing w:line="594" w:lineRule="exact"/>
        <w:ind w:firstLine="642" w:firstLineChars="200"/>
        <w:rPr>
          <w:rFonts w:ascii="楷体_GB2312" w:hAnsi="Times New Roman" w:eastAsia="楷体_GB2312" w:cs="Times New Roman"/>
          <w:b/>
          <w:color w:val="000000"/>
          <w:sz w:val="32"/>
          <w:szCs w:val="32"/>
        </w:rPr>
      </w:pPr>
      <w:r>
        <w:rPr>
          <w:rFonts w:hint="eastAsia" w:ascii="楷体_GB2312" w:hAnsi="仿宋" w:eastAsia="楷体_GB2312" w:cs="仿宋"/>
          <w:b/>
          <w:color w:val="000000"/>
          <w:sz w:val="32"/>
          <w:szCs w:val="32"/>
        </w:rPr>
        <w:t>（一）部门机构情况说明。</w:t>
      </w:r>
    </w:p>
    <w:p>
      <w:pPr>
        <w:spacing w:line="594" w:lineRule="exact"/>
        <w:ind w:firstLine="640" w:firstLineChars="200"/>
        <w:rPr>
          <w:rFonts w:ascii="仿宋_GB2312" w:hAnsi="仿宋" w:eastAsia="仿宋_GB2312" w:cs="Times New Roman"/>
          <w:color w:val="000000"/>
          <w:sz w:val="32"/>
          <w:szCs w:val="32"/>
        </w:rPr>
      </w:pPr>
      <w:r>
        <w:rPr>
          <w:rFonts w:hint="eastAsia" w:ascii="仿宋_GB2312" w:eastAsia="仿宋_GB2312" w:cs="Times New Roman"/>
          <w:color w:val="000000"/>
          <w:sz w:val="32"/>
          <w:szCs w:val="32"/>
          <w:u w:val="single"/>
        </w:rPr>
        <w:t> 2021 </w:t>
      </w:r>
      <w:r>
        <w:rPr>
          <w:rFonts w:hint="eastAsia" w:ascii="仿宋_GB2312" w:hAnsi="仿宋" w:eastAsia="仿宋_GB2312" w:cs="仿宋"/>
          <w:color w:val="000000"/>
          <w:sz w:val="32"/>
          <w:szCs w:val="32"/>
        </w:rPr>
        <w:t>年度，纳入本部门决算汇编范围的独立核算单位共</w:t>
      </w:r>
      <w:r>
        <w:rPr>
          <w:rFonts w:hint="eastAsia" w:ascii="仿宋_GB2312" w:eastAsia="仿宋_GB2312" w:cs="Times New Roman"/>
          <w:color w:val="000000"/>
          <w:sz w:val="32"/>
          <w:szCs w:val="32"/>
          <w:u w:val="single"/>
        </w:rPr>
        <w:t>  1  </w:t>
      </w:r>
      <w:r>
        <w:rPr>
          <w:rFonts w:hint="eastAsia" w:ascii="仿宋_GB2312" w:hAnsi="仿宋" w:eastAsia="仿宋_GB2312" w:cs="仿宋"/>
          <w:color w:val="000000"/>
          <w:sz w:val="32"/>
          <w:szCs w:val="32"/>
        </w:rPr>
        <w:t>个，比上年增减</w:t>
      </w:r>
      <w:r>
        <w:rPr>
          <w:rFonts w:hint="eastAsia" w:ascii="仿宋_GB2312" w:eastAsia="仿宋_GB2312" w:cs="Times New Roman"/>
          <w:color w:val="000000"/>
          <w:sz w:val="32"/>
          <w:szCs w:val="32"/>
          <w:u w:val="single"/>
        </w:rPr>
        <w:t>   0   </w:t>
      </w:r>
      <w:r>
        <w:rPr>
          <w:rFonts w:hint="eastAsia" w:ascii="仿宋_GB2312" w:hAnsi="仿宋" w:eastAsia="仿宋_GB2312" w:cs="仿宋"/>
          <w:color w:val="000000"/>
          <w:sz w:val="32"/>
          <w:szCs w:val="32"/>
        </w:rPr>
        <w:t>个，分类说明如下：</w:t>
      </w:r>
    </w:p>
    <w:tbl>
      <w:tblPr>
        <w:tblStyle w:val="4"/>
        <w:tblW w:w="8528" w:type="dxa"/>
        <w:tblInd w:w="2" w:type="dxa"/>
        <w:tblLayout w:type="fixed"/>
        <w:tblCellMar>
          <w:top w:w="0" w:type="dxa"/>
          <w:left w:w="0" w:type="dxa"/>
          <w:bottom w:w="0" w:type="dxa"/>
          <w:right w:w="0" w:type="dxa"/>
        </w:tblCellMar>
      </w:tblPr>
      <w:tblGrid>
        <w:gridCol w:w="2928"/>
        <w:gridCol w:w="1034"/>
        <w:gridCol w:w="1106"/>
        <w:gridCol w:w="3460"/>
      </w:tblGrid>
      <w:tr>
        <w:trPr>
          <w:trHeight w:val="70" w:hRule="atLeast"/>
        </w:trPr>
        <w:tc>
          <w:tcPr>
            <w:tcW w:w="292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70" w:lineRule="atLeast"/>
              <w:jc w:val="center"/>
              <w:rPr>
                <w:rFonts w:ascii="仿宋_GB2312" w:hAnsi="仿宋" w:eastAsia="仿宋_GB2312" w:cs="Times New Roman"/>
                <w:sz w:val="24"/>
                <w:szCs w:val="32"/>
              </w:rPr>
            </w:pPr>
            <w:r>
              <w:rPr>
                <w:rFonts w:hint="eastAsia" w:ascii="仿宋_GB2312" w:hAnsi="仿宋" w:eastAsia="仿宋_GB2312" w:cs="仿宋_GB2312"/>
                <w:color w:val="000000"/>
                <w:sz w:val="24"/>
                <w:szCs w:val="32"/>
              </w:rPr>
              <w:t>项目</w:t>
            </w:r>
          </w:p>
        </w:tc>
        <w:tc>
          <w:tcPr>
            <w:tcW w:w="103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70" w:lineRule="atLeast"/>
              <w:jc w:val="center"/>
              <w:rPr>
                <w:rFonts w:ascii="仿宋_GB2312" w:hAnsi="仿宋" w:eastAsia="仿宋_GB2312" w:cs="Times New Roman"/>
                <w:sz w:val="24"/>
                <w:szCs w:val="32"/>
              </w:rPr>
            </w:pPr>
            <w:r>
              <w:rPr>
                <w:rFonts w:hint="eastAsia" w:ascii="仿宋_GB2312" w:hAnsi="仿宋" w:eastAsia="仿宋_GB2312" w:cs="仿宋_GB2312"/>
                <w:color w:val="000000"/>
                <w:sz w:val="24"/>
                <w:szCs w:val="32"/>
              </w:rPr>
              <w:t>数量</w:t>
            </w:r>
          </w:p>
        </w:tc>
        <w:tc>
          <w:tcPr>
            <w:tcW w:w="11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70" w:lineRule="atLeast"/>
              <w:jc w:val="center"/>
              <w:rPr>
                <w:rFonts w:ascii="仿宋_GB2312" w:hAnsi="仿宋" w:eastAsia="仿宋_GB2312" w:cs="Times New Roman"/>
                <w:sz w:val="24"/>
                <w:szCs w:val="32"/>
              </w:rPr>
            </w:pPr>
            <w:r>
              <w:rPr>
                <w:rFonts w:hint="eastAsia" w:ascii="仿宋_GB2312" w:hAnsi="仿宋" w:eastAsia="仿宋_GB2312" w:cs="仿宋_GB2312"/>
                <w:color w:val="000000"/>
                <w:sz w:val="24"/>
                <w:szCs w:val="32"/>
              </w:rPr>
              <w:t>比上年增减</w:t>
            </w:r>
          </w:p>
        </w:tc>
        <w:tc>
          <w:tcPr>
            <w:tcW w:w="34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70" w:lineRule="atLeast"/>
              <w:jc w:val="center"/>
              <w:rPr>
                <w:rFonts w:ascii="仿宋_GB2312" w:hAnsi="仿宋" w:eastAsia="仿宋_GB2312" w:cs="Times New Roman"/>
                <w:sz w:val="24"/>
                <w:szCs w:val="32"/>
              </w:rPr>
            </w:pPr>
            <w:r>
              <w:rPr>
                <w:rFonts w:hint="eastAsia" w:ascii="仿宋_GB2312" w:hAnsi="仿宋" w:eastAsia="仿宋_GB2312" w:cs="仿宋_GB2312"/>
                <w:color w:val="000000"/>
                <w:sz w:val="24"/>
                <w:szCs w:val="32"/>
              </w:rPr>
              <w:t>变动原因说明</w:t>
            </w:r>
          </w:p>
        </w:tc>
      </w:tr>
      <w:tr>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 w:eastAsia="仿宋_GB2312" w:cs="Times New Roman"/>
                <w:sz w:val="24"/>
                <w:szCs w:val="32"/>
              </w:rPr>
            </w:pPr>
            <w:r>
              <w:rPr>
                <w:rFonts w:hint="eastAsia" w:ascii="仿宋_GB2312" w:hAnsi="仿宋" w:eastAsia="仿宋_GB2312" w:cs="仿宋_GB2312"/>
                <w:color w:val="000000"/>
                <w:sz w:val="24"/>
                <w:szCs w:val="32"/>
              </w:rPr>
              <w:t>合</w:t>
            </w:r>
            <w:r>
              <w:rPr>
                <w:rFonts w:hint="eastAsia" w:ascii="仿宋_GB2312" w:hAnsi="Times New Roman" w:eastAsia="仿宋_GB2312" w:cs="Times New Roman"/>
                <w:color w:val="000000"/>
                <w:sz w:val="24"/>
                <w:szCs w:val="32"/>
              </w:rPr>
              <w:t>    </w:t>
            </w:r>
            <w:r>
              <w:rPr>
                <w:rFonts w:hint="eastAsia" w:ascii="仿宋_GB2312" w:hAnsi="仿宋" w:eastAsia="仿宋_GB2312" w:cs="仿宋_GB2312"/>
                <w:color w:val="000000"/>
                <w:sz w:val="24"/>
                <w:szCs w:val="32"/>
              </w:rPr>
              <w:t>计</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32"/>
              </w:rPr>
            </w:pPr>
            <w:r>
              <w:rPr>
                <w:rFonts w:hint="eastAsia" w:ascii="仿宋_GB2312" w:hAnsi="仿宋" w:eastAsia="仿宋_GB2312" w:cs="仿宋_GB2312"/>
                <w:color w:val="000000"/>
                <w:sz w:val="24"/>
                <w:szCs w:val="32"/>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32"/>
              </w:rPr>
            </w:pPr>
            <w:r>
              <w:rPr>
                <w:rFonts w:hint="eastAsia" w:ascii="仿宋_GB2312" w:hAnsi="仿宋" w:eastAsia="仿宋_GB2312" w:cs="仿宋_GB2312"/>
                <w:color w:val="000000"/>
                <w:sz w:val="24"/>
                <w:szCs w:val="32"/>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32"/>
              </w:rPr>
            </w:pPr>
            <w:r>
              <w:rPr>
                <w:rFonts w:hint="eastAsia" w:ascii="仿宋_GB2312" w:hAnsi="仿宋" w:eastAsia="仿宋_GB2312" w:cs="仿宋_GB2312"/>
                <w:color w:val="000000"/>
                <w:sz w:val="24"/>
                <w:szCs w:val="32"/>
              </w:rPr>
              <w:t>　</w:t>
            </w:r>
          </w:p>
        </w:tc>
      </w:tr>
      <w:tr>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一、按单位基本性质</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6</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0</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无变动</w:t>
            </w:r>
          </w:p>
        </w:tc>
      </w:tr>
      <w:tr>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w:t>
            </w:r>
            <w:r>
              <w:rPr>
                <w:rFonts w:hint="eastAsia" w:ascii="仿宋_GB2312" w:hAnsi="仿宋" w:eastAsia="仿宋_GB2312" w:cs="仿宋_GB2312"/>
                <w:color w:val="000000"/>
                <w:sz w:val="24"/>
                <w:szCs w:val="28"/>
              </w:rPr>
              <w:t>行政单位</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1</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0</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无变动</w:t>
            </w:r>
          </w:p>
        </w:tc>
      </w:tr>
      <w:tr>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w:t>
            </w:r>
            <w:r>
              <w:rPr>
                <w:rFonts w:hint="eastAsia" w:ascii="仿宋_GB2312" w:hAnsi="仿宋" w:eastAsia="仿宋_GB2312" w:cs="仿宋_GB2312"/>
                <w:color w:val="000000"/>
                <w:sz w:val="24"/>
                <w:szCs w:val="28"/>
              </w:rPr>
              <w:t>事业单位</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5</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0</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无变动</w:t>
            </w:r>
          </w:p>
        </w:tc>
      </w:tr>
      <w:tr>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w:t>
            </w:r>
            <w:r>
              <w:rPr>
                <w:rFonts w:hint="eastAsia" w:ascii="仿宋_GB2312" w:hAnsi="仿宋" w:eastAsia="仿宋_GB2312" w:cs="仿宋_GB2312"/>
                <w:color w:val="000000"/>
                <w:sz w:val="24"/>
                <w:szCs w:val="28"/>
              </w:rPr>
              <w:t>其他</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二、按执行会计制度</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政府</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1</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0</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无变动</w:t>
            </w:r>
          </w:p>
        </w:tc>
      </w:tr>
      <w:tr>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ind w:firstLine="240" w:firstLineChars="100"/>
              <w:rPr>
                <w:rFonts w:ascii="仿宋_GB2312" w:hAnsi="仿宋" w:eastAsia="仿宋_GB2312" w:cs="Times New Roman"/>
                <w:sz w:val="24"/>
                <w:szCs w:val="28"/>
              </w:rPr>
            </w:pPr>
            <w:r>
              <w:rPr>
                <w:rFonts w:hint="eastAsia" w:ascii="仿宋_GB2312" w:hAnsi="仿宋" w:eastAsia="仿宋_GB2312" w:cs="仿宋_GB2312"/>
                <w:color w:val="000000"/>
                <w:sz w:val="24"/>
                <w:szCs w:val="28"/>
              </w:rPr>
              <w:t>民间非营利组织</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企业</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xml:space="preserve">  其他</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三、按单位预算级次</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w:t>
            </w:r>
            <w:r>
              <w:rPr>
                <w:rFonts w:hint="eastAsia" w:ascii="仿宋_GB2312" w:hAnsi="仿宋" w:eastAsia="仿宋_GB2312" w:cs="仿宋_GB2312"/>
                <w:color w:val="000000"/>
                <w:sz w:val="24"/>
                <w:szCs w:val="28"/>
              </w:rPr>
              <w:t>一级预算单位</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1</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0</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无变动</w:t>
            </w:r>
          </w:p>
        </w:tc>
      </w:tr>
      <w:tr>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w:t>
            </w:r>
            <w:r>
              <w:rPr>
                <w:rFonts w:hint="eastAsia" w:ascii="仿宋_GB2312" w:hAnsi="仿宋" w:eastAsia="仿宋_GB2312" w:cs="仿宋_GB2312"/>
                <w:color w:val="000000"/>
                <w:sz w:val="24"/>
                <w:szCs w:val="28"/>
              </w:rPr>
              <w:t>二级预算单位</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r>
      <w:tr>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w:t>
            </w:r>
            <w:r>
              <w:rPr>
                <w:rFonts w:hint="eastAsia" w:ascii="仿宋_GB2312" w:hAnsi="仿宋" w:eastAsia="仿宋_GB2312" w:cs="仿宋_GB2312"/>
                <w:color w:val="000000"/>
                <w:sz w:val="24"/>
                <w:szCs w:val="28"/>
              </w:rPr>
              <w:t>三级预算单位</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r>
      <w:tr>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四、按事业单位分类</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 w:eastAsia="仿宋_GB2312" w:cs="Times New Roman"/>
                <w:sz w:val="24"/>
                <w:szCs w:val="28"/>
              </w:rPr>
            </w:pPr>
            <w:r>
              <w:rPr>
                <w:rFonts w:hint="eastAsia" w:ascii="仿宋_GB2312" w:hAnsi="仿宋" w:eastAsia="仿宋_GB2312" w:cs="Times New Roman"/>
                <w:sz w:val="24"/>
                <w:szCs w:val="28"/>
              </w:rPr>
              <w:t>—</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p>
        </w:tc>
      </w:tr>
      <w:tr>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w:t>
            </w:r>
            <w:r>
              <w:rPr>
                <w:rFonts w:hint="eastAsia" w:ascii="仿宋_GB2312" w:hAnsi="仿宋" w:eastAsia="仿宋_GB2312" w:cs="仿宋_GB2312"/>
                <w:color w:val="000000"/>
                <w:sz w:val="24"/>
                <w:szCs w:val="28"/>
              </w:rPr>
              <w:t>行政类</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 w:eastAsia="仿宋_GB2312" w:cs="Times New Roman"/>
                <w:sz w:val="24"/>
                <w:szCs w:val="28"/>
              </w:rPr>
            </w:pPr>
            <w:r>
              <w:rPr>
                <w:rFonts w:hint="eastAsia" w:ascii="仿宋_GB2312" w:hAnsi="仿宋" w:eastAsia="仿宋_GB2312" w:cs="Times New Roman"/>
                <w:sz w:val="24"/>
                <w:szCs w:val="28"/>
              </w:rPr>
              <w:t>1</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 w:eastAsia="仿宋_GB2312" w:cs="Times New Roman"/>
                <w:sz w:val="24"/>
                <w:szCs w:val="28"/>
              </w:rPr>
            </w:pPr>
            <w:r>
              <w:rPr>
                <w:rFonts w:hint="eastAsia" w:ascii="仿宋_GB2312" w:hAnsi="仿宋" w:eastAsia="仿宋_GB2312" w:cs="Times New Roman"/>
                <w:sz w:val="24"/>
                <w:szCs w:val="28"/>
              </w:rPr>
              <w:t>—</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p>
        </w:tc>
      </w:tr>
      <w:tr>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Times New Roman" w:eastAsia="仿宋_GB2312" w:cs="Times New Roman"/>
                <w:color w:val="000000"/>
                <w:sz w:val="24"/>
                <w:szCs w:val="28"/>
              </w:rPr>
            </w:pPr>
            <w:r>
              <w:rPr>
                <w:rFonts w:hint="eastAsia" w:ascii="仿宋_GB2312" w:hAnsi="Times New Roman" w:eastAsia="仿宋_GB2312" w:cs="Times New Roman"/>
                <w:color w:val="000000"/>
                <w:sz w:val="24"/>
                <w:szCs w:val="28"/>
              </w:rPr>
              <w:t xml:space="preserve">  公益一类</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 w:eastAsia="仿宋_GB2312" w:cs="仿宋_GB2312"/>
                <w:color w:val="000000"/>
                <w:sz w:val="24"/>
                <w:szCs w:val="28"/>
              </w:rPr>
            </w:pPr>
            <w:r>
              <w:rPr>
                <w:rFonts w:hint="eastAsia" w:ascii="仿宋_GB2312" w:hAnsi="仿宋" w:eastAsia="仿宋_GB2312" w:cs="Times New Roman"/>
                <w:sz w:val="24"/>
                <w:szCs w:val="28"/>
              </w:rPr>
              <w:t>—</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r>
      <w:tr>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Times New Roman" w:eastAsia="仿宋_GB2312" w:cs="Times New Roman"/>
                <w:color w:val="000000"/>
                <w:sz w:val="24"/>
                <w:szCs w:val="28"/>
              </w:rPr>
            </w:pPr>
            <w:r>
              <w:rPr>
                <w:rFonts w:hint="eastAsia" w:ascii="仿宋_GB2312" w:hAnsi="Times New Roman" w:eastAsia="仿宋_GB2312" w:cs="Times New Roman"/>
                <w:color w:val="000000"/>
                <w:sz w:val="24"/>
                <w:szCs w:val="28"/>
              </w:rPr>
              <w:t xml:space="preserve">  公益二类</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 w:eastAsia="仿宋_GB2312" w:cs="仿宋_GB2312"/>
                <w:color w:val="000000"/>
                <w:sz w:val="24"/>
                <w:szCs w:val="28"/>
              </w:rPr>
            </w:pPr>
            <w:r>
              <w:rPr>
                <w:rFonts w:hint="eastAsia" w:ascii="仿宋_GB2312" w:hAnsi="仿宋" w:eastAsia="仿宋_GB2312" w:cs="Times New Roman"/>
                <w:sz w:val="24"/>
                <w:szCs w:val="28"/>
              </w:rPr>
              <w:t>—</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r>
      <w:tr>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Times New Roman" w:eastAsia="仿宋_GB2312" w:cs="Times New Roman"/>
                <w:color w:val="000000"/>
                <w:sz w:val="24"/>
                <w:szCs w:val="28"/>
              </w:rPr>
            </w:pPr>
            <w:r>
              <w:rPr>
                <w:rFonts w:hint="eastAsia" w:ascii="仿宋_GB2312" w:hAnsi="Times New Roman" w:eastAsia="仿宋_GB2312" w:cs="Times New Roman"/>
                <w:color w:val="000000"/>
                <w:sz w:val="24"/>
                <w:szCs w:val="28"/>
              </w:rPr>
              <w:t xml:space="preserve">  生产经营类</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 w:eastAsia="仿宋_GB2312" w:cs="仿宋_GB2312"/>
                <w:color w:val="000000"/>
                <w:sz w:val="24"/>
                <w:szCs w:val="28"/>
              </w:rPr>
            </w:pPr>
            <w:r>
              <w:rPr>
                <w:rFonts w:hint="eastAsia" w:ascii="仿宋_GB2312" w:hAnsi="仿宋" w:eastAsia="仿宋_GB2312" w:cs="Times New Roman"/>
                <w:sz w:val="24"/>
                <w:szCs w:val="28"/>
              </w:rPr>
              <w:t>—</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r>
      <w:tr>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xml:space="preserve">  暂未明确类别</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 w:eastAsia="仿宋_GB2312" w:cs="Times New Roman"/>
                <w:sz w:val="24"/>
                <w:szCs w:val="28"/>
              </w:rPr>
            </w:pPr>
            <w:r>
              <w:rPr>
                <w:rFonts w:hint="eastAsia" w:ascii="仿宋_GB2312" w:hAnsi="仿宋" w:eastAsia="仿宋_GB2312" w:cs="Times New Roman"/>
                <w:sz w:val="24"/>
                <w:szCs w:val="28"/>
              </w:rPr>
              <w:t>—</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p>
        </w:tc>
      </w:tr>
    </w:tbl>
    <w:p>
      <w:pPr>
        <w:ind w:firstLine="567"/>
        <w:rPr>
          <w:rFonts w:ascii="仿宋_GB2312" w:hAnsi="仿宋" w:eastAsia="仿宋_GB2312" w:cs="仿宋"/>
          <w:b/>
          <w:color w:val="000000"/>
          <w:sz w:val="32"/>
          <w:szCs w:val="32"/>
        </w:rPr>
      </w:pPr>
      <w:r>
        <w:rPr>
          <w:rFonts w:hint="eastAsia" w:ascii="楷体_GB2312" w:hAnsi="仿宋" w:eastAsia="楷体_GB2312" w:cs="仿宋"/>
          <w:b/>
          <w:color w:val="000000"/>
          <w:sz w:val="32"/>
          <w:szCs w:val="32"/>
        </w:rPr>
        <w:t>（二）部门录入户数说明</w:t>
      </w:r>
      <w:r>
        <w:rPr>
          <w:rFonts w:hint="eastAsia" w:ascii="仿宋_GB2312" w:hAnsi="仿宋" w:eastAsia="仿宋_GB2312" w:cs="仿宋"/>
          <w:b/>
          <w:color w:val="000000"/>
          <w:sz w:val="32"/>
          <w:szCs w:val="32"/>
        </w:rPr>
        <w:t>。</w:t>
      </w:r>
    </w:p>
    <w:p>
      <w:pPr>
        <w:ind w:firstLine="567"/>
        <w:rPr>
          <w:rFonts w:ascii="仿宋_GB2312" w:hAnsi="仿宋" w:eastAsia="仿宋_GB2312" w:cs="仿宋"/>
          <w:b/>
          <w:color w:val="000000"/>
          <w:sz w:val="32"/>
          <w:szCs w:val="32"/>
        </w:rPr>
      </w:pPr>
      <w:r>
        <w:rPr>
          <w:rFonts w:hint="eastAsia" w:ascii="仿宋_GB2312" w:eastAsia="仿宋_GB2312" w:cs="Times New Roman"/>
          <w:color w:val="000000"/>
          <w:sz w:val="32"/>
          <w:szCs w:val="32"/>
          <w:u w:val="single"/>
        </w:rPr>
        <w:t> 2021</w:t>
      </w:r>
      <w:r>
        <w:rPr>
          <w:rFonts w:hint="eastAsia" w:ascii="仿宋_GB2312" w:hAnsi="仿宋" w:eastAsia="仿宋_GB2312" w:cs="仿宋"/>
          <w:color w:val="000000"/>
          <w:sz w:val="32"/>
          <w:szCs w:val="32"/>
        </w:rPr>
        <w:t>年度，本部门决算汇编户数共</w:t>
      </w:r>
      <w:r>
        <w:rPr>
          <w:rFonts w:hint="eastAsia" w:ascii="仿宋_GB2312" w:eastAsia="仿宋_GB2312" w:cs="Times New Roman"/>
          <w:color w:val="000000"/>
          <w:sz w:val="32"/>
          <w:szCs w:val="32"/>
          <w:u w:val="single"/>
        </w:rPr>
        <w:t>  1  </w:t>
      </w:r>
      <w:r>
        <w:rPr>
          <w:rFonts w:hint="eastAsia" w:ascii="仿宋_GB2312" w:hAnsi="仿宋" w:eastAsia="仿宋_GB2312" w:cs="仿宋"/>
          <w:color w:val="000000"/>
          <w:sz w:val="32"/>
          <w:szCs w:val="32"/>
        </w:rPr>
        <w:t>个，比上年增减</w:t>
      </w:r>
      <w:r>
        <w:rPr>
          <w:rFonts w:hint="eastAsia" w:ascii="仿宋_GB2312" w:eastAsia="仿宋_GB2312" w:cs="Times New Roman"/>
          <w:color w:val="000000"/>
          <w:sz w:val="32"/>
          <w:szCs w:val="32"/>
          <w:u w:val="single"/>
        </w:rPr>
        <w:t> 0 </w:t>
      </w:r>
      <w:r>
        <w:rPr>
          <w:rFonts w:hint="eastAsia" w:ascii="仿宋_GB2312" w:hAnsi="仿宋" w:eastAsia="仿宋_GB2312" w:cs="仿宋"/>
          <w:color w:val="000000"/>
          <w:sz w:val="32"/>
          <w:szCs w:val="32"/>
        </w:rPr>
        <w:t>个，分类说明如下：</w:t>
      </w:r>
    </w:p>
    <w:tbl>
      <w:tblPr>
        <w:tblStyle w:val="4"/>
        <w:tblW w:w="8646" w:type="dxa"/>
        <w:tblInd w:w="2" w:type="dxa"/>
        <w:tblLayout w:type="fixed"/>
        <w:tblCellMar>
          <w:top w:w="0" w:type="dxa"/>
          <w:left w:w="0" w:type="dxa"/>
          <w:bottom w:w="0" w:type="dxa"/>
          <w:right w:w="0" w:type="dxa"/>
        </w:tblCellMar>
      </w:tblPr>
      <w:tblGrid>
        <w:gridCol w:w="3602"/>
        <w:gridCol w:w="1082"/>
        <w:gridCol w:w="1092"/>
        <w:gridCol w:w="2870"/>
      </w:tblGrid>
      <w:tr>
        <w:trPr>
          <w:trHeight w:val="60" w:hRule="atLeast"/>
          <w:tblHeader/>
        </w:trPr>
        <w:tc>
          <w:tcPr>
            <w:tcW w:w="360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仿宋" w:eastAsia="仿宋_GB2312" w:cs="Times New Roman"/>
                <w:sz w:val="24"/>
                <w:szCs w:val="28"/>
              </w:rPr>
            </w:pPr>
            <w:r>
              <w:rPr>
                <w:rFonts w:hint="eastAsia" w:ascii="仿宋_GB2312" w:hAnsi="仿宋" w:eastAsia="仿宋_GB2312" w:cs="仿宋_GB2312"/>
                <w:color w:val="000000"/>
                <w:sz w:val="24"/>
                <w:szCs w:val="28"/>
              </w:rPr>
              <w:t>项目</w:t>
            </w:r>
          </w:p>
        </w:tc>
        <w:tc>
          <w:tcPr>
            <w:tcW w:w="108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仿宋" w:eastAsia="仿宋_GB2312" w:cs="Times New Roman"/>
                <w:sz w:val="24"/>
                <w:szCs w:val="28"/>
              </w:rPr>
            </w:pPr>
            <w:r>
              <w:rPr>
                <w:rFonts w:hint="eastAsia" w:ascii="仿宋_GB2312" w:hAnsi="仿宋" w:eastAsia="仿宋_GB2312" w:cs="仿宋_GB2312"/>
                <w:color w:val="000000"/>
                <w:sz w:val="24"/>
                <w:szCs w:val="28"/>
              </w:rPr>
              <w:t>数量</w:t>
            </w:r>
          </w:p>
        </w:tc>
        <w:tc>
          <w:tcPr>
            <w:tcW w:w="109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仿宋" w:eastAsia="仿宋_GB2312" w:cs="Times New Roman"/>
                <w:sz w:val="24"/>
                <w:szCs w:val="28"/>
              </w:rPr>
            </w:pPr>
            <w:r>
              <w:rPr>
                <w:rFonts w:hint="eastAsia" w:ascii="仿宋_GB2312" w:hAnsi="仿宋" w:eastAsia="仿宋_GB2312" w:cs="仿宋_GB2312"/>
                <w:color w:val="000000"/>
                <w:sz w:val="24"/>
                <w:szCs w:val="28"/>
              </w:rPr>
              <w:t>比上年增减</w:t>
            </w:r>
          </w:p>
        </w:tc>
        <w:tc>
          <w:tcPr>
            <w:tcW w:w="287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仿宋" w:eastAsia="仿宋_GB2312" w:cs="Times New Roman"/>
                <w:sz w:val="24"/>
                <w:szCs w:val="28"/>
              </w:rPr>
            </w:pPr>
            <w:r>
              <w:rPr>
                <w:rFonts w:hint="eastAsia" w:ascii="仿宋_GB2312" w:hAnsi="仿宋" w:eastAsia="仿宋_GB2312" w:cs="仿宋_GB2312"/>
                <w:color w:val="000000"/>
                <w:sz w:val="24"/>
                <w:szCs w:val="28"/>
              </w:rPr>
              <w:t>变动原因说明</w:t>
            </w:r>
          </w:p>
        </w:tc>
      </w:tr>
      <w:tr>
        <w:trPr>
          <w:trHeight w:val="300" w:hRule="atLeast"/>
        </w:trPr>
        <w:tc>
          <w:tcPr>
            <w:tcW w:w="3602"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仿宋_GB2312" w:hAnsi="仿宋" w:eastAsia="仿宋_GB2312" w:cs="Times New Roman"/>
                <w:sz w:val="24"/>
                <w:szCs w:val="28"/>
              </w:rPr>
            </w:pPr>
            <w:r>
              <w:rPr>
                <w:rFonts w:hint="eastAsia" w:ascii="仿宋_GB2312" w:hAnsi="仿宋" w:eastAsia="仿宋_GB2312" w:cs="仿宋_GB2312"/>
                <w:color w:val="000000"/>
                <w:sz w:val="24"/>
                <w:szCs w:val="28"/>
              </w:rPr>
              <w:t>合</w:t>
            </w:r>
            <w:r>
              <w:rPr>
                <w:rFonts w:hint="eastAsia" w:ascii="仿宋_GB2312" w:hAnsi="Times New Roman" w:eastAsia="仿宋_GB2312" w:cs="Times New Roman"/>
                <w:color w:val="000000"/>
                <w:sz w:val="24"/>
                <w:szCs w:val="28"/>
              </w:rPr>
              <w:t>    </w:t>
            </w:r>
            <w:r>
              <w:rPr>
                <w:rFonts w:hint="eastAsia" w:ascii="仿宋_GB2312" w:hAnsi="仿宋" w:eastAsia="仿宋_GB2312" w:cs="仿宋_GB2312"/>
                <w:color w:val="000000"/>
                <w:sz w:val="24"/>
                <w:szCs w:val="28"/>
              </w:rPr>
              <w:t>计</w:t>
            </w:r>
          </w:p>
        </w:tc>
        <w:tc>
          <w:tcPr>
            <w:tcW w:w="108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Times New Roman" w:eastAsia="仿宋_GB2312" w:cs="Times New Roman"/>
                <w:sz w:val="24"/>
                <w:szCs w:val="28"/>
              </w:rPr>
            </w:pPr>
            <w:r>
              <w:rPr>
                <w:rFonts w:hint="eastAsia" w:ascii="仿宋_GB2312" w:hAnsi="Times New Roman" w:eastAsia="仿宋_GB2312" w:cs="仿宋_GB2312"/>
                <w:color w:val="000000"/>
                <w:sz w:val="24"/>
                <w:szCs w:val="28"/>
              </w:rPr>
              <w:t>　</w:t>
            </w:r>
          </w:p>
        </w:tc>
        <w:tc>
          <w:tcPr>
            <w:tcW w:w="10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Times New Roman" w:eastAsia="仿宋_GB2312" w:cs="Times New Roman"/>
                <w:sz w:val="24"/>
                <w:szCs w:val="28"/>
              </w:rPr>
            </w:pPr>
            <w:r>
              <w:rPr>
                <w:rFonts w:hint="eastAsia" w:ascii="仿宋_GB2312" w:hAnsi="Times New Roman" w:eastAsia="仿宋_GB2312" w:cs="仿宋_GB2312"/>
                <w:color w:val="000000"/>
                <w:sz w:val="24"/>
                <w:szCs w:val="28"/>
              </w:rPr>
              <w:t>　</w:t>
            </w:r>
          </w:p>
        </w:tc>
        <w:tc>
          <w:tcPr>
            <w:tcW w:w="28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Times New Roman" w:eastAsia="仿宋_GB2312" w:cs="Times New Roman"/>
                <w:sz w:val="24"/>
                <w:szCs w:val="28"/>
              </w:rPr>
            </w:pPr>
            <w:r>
              <w:rPr>
                <w:rFonts w:hint="eastAsia" w:ascii="仿宋_GB2312" w:hAnsi="Times New Roman" w:eastAsia="仿宋_GB2312" w:cs="仿宋_GB2312"/>
                <w:color w:val="000000"/>
                <w:sz w:val="24"/>
                <w:szCs w:val="28"/>
              </w:rPr>
              <w:t>　</w:t>
            </w:r>
          </w:p>
        </w:tc>
      </w:tr>
      <w:tr>
        <w:trPr>
          <w:trHeight w:val="300" w:hRule="atLeast"/>
        </w:trPr>
        <w:tc>
          <w:tcPr>
            <w:tcW w:w="3602"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一、单户表</w:t>
            </w:r>
          </w:p>
        </w:tc>
        <w:tc>
          <w:tcPr>
            <w:tcW w:w="108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Times New Roman" w:eastAsia="仿宋_GB2312" w:cs="Times New Roman"/>
                <w:sz w:val="24"/>
                <w:szCs w:val="28"/>
              </w:rPr>
            </w:pPr>
            <w:r>
              <w:rPr>
                <w:rFonts w:hint="eastAsia" w:ascii="仿宋_GB2312" w:hAnsi="Times New Roman" w:eastAsia="仿宋_GB2312" w:cs="仿宋_GB2312"/>
                <w:color w:val="000000"/>
                <w:sz w:val="24"/>
                <w:szCs w:val="28"/>
              </w:rPr>
              <w:t>　</w:t>
            </w:r>
          </w:p>
        </w:tc>
        <w:tc>
          <w:tcPr>
            <w:tcW w:w="10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Times New Roman" w:eastAsia="仿宋_GB2312" w:cs="Times New Roman"/>
                <w:sz w:val="24"/>
                <w:szCs w:val="28"/>
              </w:rPr>
            </w:pPr>
            <w:r>
              <w:rPr>
                <w:rFonts w:hint="eastAsia" w:ascii="仿宋_GB2312" w:hAnsi="Times New Roman" w:eastAsia="仿宋_GB2312" w:cs="仿宋_GB2312"/>
                <w:color w:val="000000"/>
                <w:sz w:val="24"/>
                <w:szCs w:val="28"/>
              </w:rPr>
              <w:t>　</w:t>
            </w:r>
          </w:p>
        </w:tc>
        <w:tc>
          <w:tcPr>
            <w:tcW w:w="28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Times New Roman" w:eastAsia="仿宋_GB2312" w:cs="Times New Roman"/>
                <w:sz w:val="24"/>
                <w:szCs w:val="28"/>
              </w:rPr>
            </w:pPr>
            <w:r>
              <w:rPr>
                <w:rFonts w:hint="eastAsia" w:ascii="仿宋_GB2312" w:hAnsi="Times New Roman" w:eastAsia="仿宋_GB2312" w:cs="仿宋_GB2312"/>
                <w:color w:val="000000"/>
                <w:sz w:val="24"/>
                <w:szCs w:val="28"/>
              </w:rPr>
              <w:t>　</w:t>
            </w:r>
          </w:p>
        </w:tc>
      </w:tr>
      <w:tr>
        <w:trPr>
          <w:trHeight w:val="300" w:hRule="atLeast"/>
        </w:trPr>
        <w:tc>
          <w:tcPr>
            <w:tcW w:w="3602"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二、行政单位汇总录入表</w:t>
            </w:r>
          </w:p>
        </w:tc>
        <w:tc>
          <w:tcPr>
            <w:tcW w:w="108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p>
        </w:tc>
        <w:tc>
          <w:tcPr>
            <w:tcW w:w="10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p>
        </w:tc>
        <w:tc>
          <w:tcPr>
            <w:tcW w:w="28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p>
        </w:tc>
      </w:tr>
      <w:tr>
        <w:trPr>
          <w:trHeight w:val="300" w:hRule="atLeast"/>
        </w:trPr>
        <w:tc>
          <w:tcPr>
            <w:tcW w:w="3602"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三、事业单位汇总录入表</w:t>
            </w:r>
          </w:p>
        </w:tc>
        <w:tc>
          <w:tcPr>
            <w:tcW w:w="108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0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28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rPr>
          <w:trHeight w:val="300" w:hRule="atLeast"/>
        </w:trPr>
        <w:tc>
          <w:tcPr>
            <w:tcW w:w="3602"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四、经费自理事业单位汇总录入表</w:t>
            </w:r>
          </w:p>
        </w:tc>
        <w:tc>
          <w:tcPr>
            <w:tcW w:w="108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0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28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rPr>
          <w:trHeight w:val="300" w:hRule="atLeast"/>
        </w:trPr>
        <w:tc>
          <w:tcPr>
            <w:tcW w:w="3602"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五、乡镇汇总录入表</w:t>
            </w:r>
          </w:p>
        </w:tc>
        <w:tc>
          <w:tcPr>
            <w:tcW w:w="108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1</w:t>
            </w:r>
          </w:p>
        </w:tc>
        <w:tc>
          <w:tcPr>
            <w:tcW w:w="10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0</w:t>
            </w:r>
          </w:p>
        </w:tc>
        <w:tc>
          <w:tcPr>
            <w:tcW w:w="28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无变动</w:t>
            </w:r>
          </w:p>
        </w:tc>
      </w:tr>
      <w:tr>
        <w:trPr>
          <w:trHeight w:val="300" w:hRule="atLeast"/>
        </w:trPr>
        <w:tc>
          <w:tcPr>
            <w:tcW w:w="3602"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六、其他单位汇总录入表</w:t>
            </w:r>
          </w:p>
        </w:tc>
        <w:tc>
          <w:tcPr>
            <w:tcW w:w="108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0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28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rPr>
          <w:trHeight w:val="300" w:hRule="atLeast"/>
        </w:trPr>
        <w:tc>
          <w:tcPr>
            <w:tcW w:w="3602"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七、经费差额表</w:t>
            </w:r>
          </w:p>
        </w:tc>
        <w:tc>
          <w:tcPr>
            <w:tcW w:w="108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0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28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rPr>
          <w:trHeight w:val="300" w:hRule="atLeast"/>
        </w:trPr>
        <w:tc>
          <w:tcPr>
            <w:tcW w:w="3602"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八、调整表</w:t>
            </w:r>
          </w:p>
        </w:tc>
        <w:tc>
          <w:tcPr>
            <w:tcW w:w="108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0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28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rPr>
          <w:trHeight w:val="300" w:hRule="atLeast"/>
        </w:trPr>
        <w:tc>
          <w:tcPr>
            <w:tcW w:w="3602"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九、叠加汇总表</w:t>
            </w:r>
          </w:p>
        </w:tc>
        <w:tc>
          <w:tcPr>
            <w:tcW w:w="108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0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28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bl>
    <w:p>
      <w:pPr>
        <w:spacing w:line="594" w:lineRule="exact"/>
        <w:ind w:firstLine="707" w:firstLineChars="221"/>
        <w:rPr>
          <w:rFonts w:ascii="黑体" w:hAnsi="黑体" w:eastAsia="黑体" w:cs="Times New Roman"/>
          <w:color w:val="000000"/>
          <w:sz w:val="32"/>
          <w:szCs w:val="32"/>
        </w:rPr>
      </w:pPr>
      <w:r>
        <w:rPr>
          <w:rFonts w:hint="eastAsia" w:ascii="黑体" w:hAnsi="黑体" w:eastAsia="黑体" w:cs="黑体"/>
          <w:color w:val="000000"/>
          <w:sz w:val="32"/>
          <w:szCs w:val="32"/>
        </w:rPr>
        <w:t>三、基础数据核对情况</w:t>
      </w:r>
    </w:p>
    <w:p>
      <w:pPr>
        <w:spacing w:line="594" w:lineRule="exact"/>
        <w:ind w:firstLine="709"/>
        <w:rPr>
          <w:rFonts w:ascii="楷体_GB2312" w:hAnsi="仿宋" w:eastAsia="楷体_GB2312" w:cs="仿宋"/>
          <w:b/>
          <w:color w:val="000000"/>
          <w:sz w:val="32"/>
          <w:szCs w:val="32"/>
        </w:rPr>
      </w:pPr>
      <w:r>
        <w:rPr>
          <w:rFonts w:hint="eastAsia" w:ascii="楷体_GB2312" w:hAnsi="仿宋" w:eastAsia="楷体_GB2312" w:cs="仿宋"/>
          <w:b/>
          <w:color w:val="000000"/>
          <w:sz w:val="32"/>
          <w:szCs w:val="32"/>
        </w:rPr>
        <w:t>（一）财政资金对账情况。</w:t>
      </w:r>
    </w:p>
    <w:p>
      <w:pPr>
        <w:spacing w:line="594" w:lineRule="exact"/>
        <w:ind w:firstLine="709"/>
        <w:rPr>
          <w:rFonts w:ascii="仿宋_GB2312" w:hAnsi="仿宋" w:eastAsia="仿宋_GB2312" w:cs="Times New Roman"/>
          <w:b/>
          <w:color w:val="000000"/>
          <w:sz w:val="32"/>
          <w:szCs w:val="32"/>
        </w:rPr>
      </w:pPr>
      <w:r>
        <w:rPr>
          <w:rFonts w:hint="eastAsia" w:ascii="仿宋_GB2312" w:hAnsi="仿宋" w:eastAsia="仿宋_GB2312" w:cs="仿宋"/>
          <w:b/>
          <w:color w:val="000000"/>
          <w:sz w:val="32"/>
          <w:szCs w:val="32"/>
        </w:rPr>
        <w:t>1．财政拨款核对情况。</w:t>
      </w:r>
    </w:p>
    <w:p>
      <w:pPr>
        <w:spacing w:line="594" w:lineRule="exact"/>
        <w:ind w:firstLine="709"/>
        <w:rPr>
          <w:rFonts w:ascii="仿宋_GB2312" w:hAnsi="仿宋" w:eastAsia="仿宋_GB2312" w:cs="Times New Roman"/>
          <w:color w:val="000000"/>
          <w:sz w:val="32"/>
          <w:szCs w:val="32"/>
        </w:rPr>
      </w:pPr>
      <w:r>
        <w:rPr>
          <w:rFonts w:hint="eastAsia" w:ascii="仿宋_GB2312" w:hAnsi="仿宋" w:eastAsia="仿宋_GB2312" w:cs="仿宋"/>
          <w:color w:val="000000"/>
          <w:sz w:val="32"/>
          <w:szCs w:val="32"/>
        </w:rPr>
        <w:t>（1）</w:t>
      </w:r>
      <w:r>
        <w:rPr>
          <w:rFonts w:hint="eastAsia" w:ascii="仿宋_GB2312" w:hAnsi="仿宋" w:eastAsia="仿宋_GB2312" w:cs="仿宋"/>
          <w:b/>
          <w:bCs/>
          <w:color w:val="000000"/>
          <w:sz w:val="32"/>
          <w:szCs w:val="32"/>
        </w:rPr>
        <w:t>本部门</w:t>
      </w:r>
      <w:r>
        <w:rPr>
          <w:rFonts w:hint="eastAsia" w:ascii="仿宋_GB2312" w:hAnsi="仿宋" w:eastAsia="仿宋_GB2312" w:cs="仿宋"/>
          <w:color w:val="000000"/>
          <w:sz w:val="32"/>
          <w:szCs w:val="32"/>
        </w:rPr>
        <w:t>本年度实际收到的</w:t>
      </w:r>
      <w:r>
        <w:rPr>
          <w:rFonts w:hint="eastAsia" w:ascii="仿宋_GB2312" w:hAnsi="仿宋" w:eastAsia="仿宋_GB2312" w:cs="仿宋"/>
          <w:bCs/>
          <w:color w:val="000000"/>
          <w:sz w:val="32"/>
          <w:szCs w:val="32"/>
        </w:rPr>
        <w:t>一般</w:t>
      </w:r>
      <w:r>
        <w:rPr>
          <w:rFonts w:hint="eastAsia" w:ascii="仿宋_GB2312" w:hAnsi="仿宋" w:eastAsia="仿宋_GB2312" w:cs="仿宋"/>
          <w:color w:val="000000"/>
          <w:sz w:val="32"/>
          <w:szCs w:val="32"/>
        </w:rPr>
        <w:t>公共预算财政拨款收入</w:t>
      </w:r>
      <w:r>
        <w:rPr>
          <w:rFonts w:hint="eastAsia" w:ascii="仿宋_GB2312" w:hAnsi="仿宋" w:eastAsia="仿宋_GB2312" w:cs="Times New Roman"/>
          <w:color w:val="000000"/>
          <w:sz w:val="32"/>
          <w:szCs w:val="32"/>
          <w:u w:val="single"/>
        </w:rPr>
        <w:t>4041.61</w:t>
      </w:r>
      <w:r>
        <w:rPr>
          <w:rFonts w:hint="eastAsia" w:ascii="仿宋_GB2312" w:hAnsi="仿宋" w:eastAsia="仿宋_GB2312" w:cs="仿宋"/>
          <w:color w:val="000000"/>
          <w:sz w:val="32"/>
          <w:szCs w:val="32"/>
        </w:rPr>
        <w:t>万元，财政部门拨款对账单</w:t>
      </w:r>
      <w:r>
        <w:rPr>
          <w:rFonts w:hint="eastAsia" w:ascii="仿宋_GB2312" w:hAnsi="仿宋" w:eastAsia="仿宋_GB2312" w:cs="Times New Roman"/>
          <w:color w:val="000000"/>
          <w:sz w:val="32"/>
          <w:szCs w:val="32"/>
          <w:u w:val="single"/>
        </w:rPr>
        <w:t>4041.61</w:t>
      </w:r>
      <w:r>
        <w:rPr>
          <w:rFonts w:hint="eastAsia" w:ascii="仿宋_GB2312" w:hAnsi="仿宋" w:eastAsia="仿宋_GB2312" w:cs="仿宋"/>
          <w:color w:val="000000"/>
          <w:sz w:val="32"/>
          <w:szCs w:val="32"/>
        </w:rPr>
        <w:t>万元，无差额。</w:t>
      </w:r>
    </w:p>
    <w:p>
      <w:pPr>
        <w:spacing w:line="594" w:lineRule="exact"/>
        <w:ind w:firstLine="709"/>
        <w:rPr>
          <w:rFonts w:ascii="仿宋_GB2312" w:hAnsi="仿宋" w:eastAsia="仿宋_GB2312" w:cs="仿宋"/>
          <w:color w:val="000000"/>
          <w:sz w:val="32"/>
          <w:szCs w:val="32"/>
        </w:rPr>
      </w:pPr>
      <w:r>
        <w:rPr>
          <w:rFonts w:hint="eastAsia" w:ascii="仿宋_GB2312" w:hAnsi="仿宋" w:eastAsia="仿宋_GB2312" w:cs="仿宋"/>
          <w:color w:val="000000"/>
          <w:sz w:val="32"/>
          <w:szCs w:val="32"/>
        </w:rPr>
        <w:t>（2）</w:t>
      </w:r>
      <w:r>
        <w:rPr>
          <w:rFonts w:hint="eastAsia" w:ascii="仿宋_GB2312" w:hAnsi="仿宋" w:eastAsia="仿宋_GB2312" w:cs="仿宋"/>
          <w:b/>
          <w:bCs/>
          <w:color w:val="000000"/>
          <w:sz w:val="32"/>
          <w:szCs w:val="32"/>
        </w:rPr>
        <w:t>本部门</w:t>
      </w:r>
      <w:r>
        <w:rPr>
          <w:rFonts w:hint="eastAsia" w:ascii="仿宋_GB2312" w:hAnsi="仿宋" w:eastAsia="仿宋_GB2312" w:cs="仿宋"/>
          <w:color w:val="000000"/>
          <w:sz w:val="32"/>
          <w:szCs w:val="32"/>
        </w:rPr>
        <w:t>本年度政府性基金预算财政拨款收入</w:t>
      </w:r>
      <w:r>
        <w:rPr>
          <w:rFonts w:hint="eastAsia" w:ascii="仿宋_GB2312" w:hAnsi="仿宋" w:eastAsia="仿宋_GB2312" w:cs="Times New Roman"/>
          <w:color w:val="000000"/>
          <w:sz w:val="32"/>
          <w:szCs w:val="32"/>
          <w:u w:val="single"/>
        </w:rPr>
        <w:t>416.22</w:t>
      </w:r>
      <w:r>
        <w:rPr>
          <w:rFonts w:hint="eastAsia" w:ascii="仿宋_GB2312" w:hAnsi="仿宋" w:eastAsia="仿宋_GB2312" w:cs="仿宋"/>
          <w:color w:val="000000"/>
          <w:sz w:val="32"/>
          <w:szCs w:val="32"/>
        </w:rPr>
        <w:t>万元，财政部门拨款对账单</w:t>
      </w:r>
      <w:r>
        <w:rPr>
          <w:rFonts w:hint="eastAsia" w:ascii="仿宋_GB2312" w:hAnsi="仿宋" w:eastAsia="仿宋_GB2312" w:cs="Times New Roman"/>
          <w:color w:val="000000"/>
          <w:sz w:val="32"/>
          <w:szCs w:val="32"/>
          <w:u w:val="single"/>
        </w:rPr>
        <w:t>416.22</w:t>
      </w:r>
      <w:r>
        <w:rPr>
          <w:rFonts w:hint="eastAsia" w:ascii="仿宋_GB2312" w:hAnsi="仿宋" w:eastAsia="仿宋_GB2312" w:cs="仿宋"/>
          <w:color w:val="000000"/>
          <w:sz w:val="32"/>
          <w:szCs w:val="32"/>
        </w:rPr>
        <w:t>万元，无差额。</w:t>
      </w:r>
    </w:p>
    <w:p>
      <w:pPr>
        <w:spacing w:line="594" w:lineRule="exact"/>
        <w:ind w:firstLine="709"/>
        <w:rPr>
          <w:rFonts w:ascii="仿宋_GB2312" w:hAnsi="仿宋" w:eastAsia="仿宋_GB2312" w:cs="仿宋"/>
          <w:b/>
          <w:color w:val="000000"/>
          <w:sz w:val="32"/>
          <w:szCs w:val="32"/>
        </w:rPr>
      </w:pPr>
      <w:r>
        <w:rPr>
          <w:rFonts w:hint="eastAsia" w:ascii="仿宋_GB2312" w:hAnsi="仿宋" w:eastAsia="仿宋_GB2312" w:cs="仿宋"/>
          <w:b/>
          <w:color w:val="000000"/>
          <w:sz w:val="32"/>
          <w:szCs w:val="32"/>
        </w:rPr>
        <w:t>2．其他需要说明的情况:无</w:t>
      </w:r>
    </w:p>
    <w:p>
      <w:pPr>
        <w:spacing w:line="594" w:lineRule="exact"/>
        <w:ind w:firstLine="709"/>
        <w:rPr>
          <w:rFonts w:ascii="楷体_GB2312" w:hAnsi="仿宋" w:eastAsia="楷体_GB2312" w:cs="仿宋"/>
          <w:b/>
          <w:color w:val="000000"/>
          <w:sz w:val="32"/>
          <w:szCs w:val="32"/>
        </w:rPr>
      </w:pPr>
      <w:r>
        <w:rPr>
          <w:rFonts w:hint="eastAsia" w:ascii="楷体_GB2312" w:hAnsi="仿宋" w:eastAsia="楷体_GB2312" w:cs="仿宋"/>
          <w:b/>
          <w:color w:val="000000"/>
          <w:sz w:val="32"/>
          <w:szCs w:val="32"/>
        </w:rPr>
        <w:t>（二）与上年指标核对情况。</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1．全口径、</w:t>
      </w:r>
      <w:r>
        <w:rPr>
          <w:rFonts w:hint="eastAsia" w:ascii="仿宋_GB2312" w:hAnsi="仿宋" w:eastAsia="仿宋_GB2312" w:cs="仿宋"/>
          <w:bCs/>
          <w:sz w:val="32"/>
          <w:szCs w:val="32"/>
        </w:rPr>
        <w:t>一般</w:t>
      </w:r>
      <w:r>
        <w:rPr>
          <w:rFonts w:hint="eastAsia" w:ascii="仿宋_GB2312" w:hAnsi="仿宋" w:eastAsia="仿宋_GB2312" w:cs="仿宋"/>
          <w:sz w:val="32"/>
          <w:szCs w:val="32"/>
        </w:rPr>
        <w:t>公共预算财政拨款和政府性基金预算财政拨款的结转和结余资金本年年初数与上年年末数一致。</w:t>
      </w:r>
    </w:p>
    <w:p>
      <w:pPr>
        <w:ind w:firstLine="709"/>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2．主要指标上下年变动幅度超过20%，其中机构人员指标上下年有变动的，应具体核实并说明原因：</w:t>
      </w:r>
    </w:p>
    <w:tbl>
      <w:tblPr>
        <w:tblStyle w:val="4"/>
        <w:tblW w:w="5000" w:type="pct"/>
        <w:tblInd w:w="0" w:type="dxa"/>
        <w:tblLayout w:type="autofit"/>
        <w:tblCellMar>
          <w:top w:w="0" w:type="dxa"/>
          <w:left w:w="108" w:type="dxa"/>
          <w:bottom w:w="0" w:type="dxa"/>
          <w:right w:w="108" w:type="dxa"/>
        </w:tblCellMar>
      </w:tblPr>
      <w:tblGrid>
        <w:gridCol w:w="3658"/>
        <w:gridCol w:w="578"/>
        <w:gridCol w:w="1258"/>
        <w:gridCol w:w="1258"/>
        <w:gridCol w:w="1267"/>
        <w:gridCol w:w="760"/>
        <w:gridCol w:w="2209"/>
      </w:tblGrid>
      <w:tr>
        <w:trPr>
          <w:trHeight w:val="312" w:hRule="atLeast"/>
        </w:trPr>
        <w:tc>
          <w:tcPr>
            <w:tcW w:w="1504" w:type="pct"/>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指    标</w:t>
            </w:r>
          </w:p>
        </w:tc>
        <w:tc>
          <w:tcPr>
            <w:tcW w:w="201" w:type="pct"/>
            <w:vMerge w:val="restart"/>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681" w:type="pct"/>
            <w:vMerge w:val="restart"/>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本年度</w:t>
            </w:r>
          </w:p>
        </w:tc>
        <w:tc>
          <w:tcPr>
            <w:tcW w:w="681" w:type="pct"/>
            <w:vMerge w:val="restart"/>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上年度</w:t>
            </w:r>
          </w:p>
        </w:tc>
        <w:tc>
          <w:tcPr>
            <w:tcW w:w="681" w:type="pct"/>
            <w:vMerge w:val="restart"/>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比上年增减</w:t>
            </w:r>
          </w:p>
        </w:tc>
        <w:tc>
          <w:tcPr>
            <w:tcW w:w="351" w:type="pct"/>
            <w:vMerge w:val="restart"/>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增减％</w:t>
            </w:r>
          </w:p>
        </w:tc>
        <w:tc>
          <w:tcPr>
            <w:tcW w:w="903" w:type="pct"/>
            <w:vMerge w:val="restart"/>
            <w:tcBorders>
              <w:top w:val="single" w:color="000000" w:sz="4" w:space="0"/>
              <w:left w:val="nil"/>
              <w:bottom w:val="single" w:color="000000" w:sz="4" w:space="0"/>
              <w:right w:val="single" w:color="000000" w:sz="8"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原因</w:t>
            </w:r>
          </w:p>
        </w:tc>
      </w:tr>
      <w:tr>
        <w:trPr>
          <w:trHeight w:val="312" w:hRule="atLeast"/>
        </w:trPr>
        <w:tc>
          <w:tcPr>
            <w:tcW w:w="1504"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1"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81"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81"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81"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51"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03" w:type="pct"/>
            <w:vMerge w:val="continue"/>
            <w:tcBorders>
              <w:top w:val="single" w:color="000000" w:sz="4"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vAlign w:val="center"/>
          </w:tcPr>
          <w:p>
            <w:pPr>
              <w:widowControl/>
              <w:spacing w:after="240"/>
              <w:jc w:val="center"/>
              <w:rPr>
                <w:rFonts w:ascii="宋体" w:hAnsi="宋体" w:cs="Arial"/>
                <w:color w:val="000000"/>
                <w:kern w:val="0"/>
                <w:sz w:val="22"/>
                <w:szCs w:val="22"/>
              </w:rPr>
            </w:pPr>
            <w:r>
              <w:rPr>
                <w:rFonts w:hint="eastAsia" w:ascii="宋体" w:hAnsi="宋体" w:cs="Arial"/>
                <w:color w:val="000000"/>
                <w:kern w:val="0"/>
                <w:sz w:val="22"/>
                <w:szCs w:val="22"/>
              </w:rPr>
              <w:t>栏    次</w:t>
            </w:r>
          </w:p>
        </w:tc>
        <w:tc>
          <w:tcPr>
            <w:tcW w:w="201"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8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68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8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35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903" w:type="pct"/>
            <w:tcBorders>
              <w:top w:val="nil"/>
              <w:left w:val="nil"/>
              <w:bottom w:val="single" w:color="000000" w:sz="4" w:space="0"/>
              <w:right w:val="single" w:color="000000" w:sz="8"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一、年度收支情况（单位：元）</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1.本年收入</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44,757,926.42</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43,629,999.16</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1,127,927.26</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2.59</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其中：一般公共预算财政拨款</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40,416,160.16</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36,013,791.64</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4,402,368.52</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12.22</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政府性基金预算财政拨款</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4,341,766.26</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7,616,207.52</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-3,274,441.26</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-42.99</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上级专款项目比去年减少</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国有资本经营预算财政拨款</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*事业收入</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事业单位经营收入</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*其他收入</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2.本年支出</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44,757,926.42</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43,629,999.16</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1,127,927.26</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2.59</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其中：基本支出</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15,185,896.90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13,807,639.52</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1,378,257.38</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9.98</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（1）人员经费</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11,948,366.34</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10,564,981.47</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1,383,384.87</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13.09</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（2）公用经费</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3,237,530.56</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3,242,658.05</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-5,127.49</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-0.16</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项目支出</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29,572,029.52</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29,822,359.64</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-250,330.12</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-0.84</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其中：基本建设类项目</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21,778,431.82</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18,621,459.66</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3,156,972.16</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16.95</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事业单位经营支出</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3.年末结转和结余</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其中：一般公共预算财政拨款</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政府性基金预算财政拨款</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国有资本经营预算财政拨款</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二、年末资产负债信息（单位：元）</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1.货币资金</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4,518,196.48</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2,296,878.95</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2,221,317.53</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96.71</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工程项目增多质保金增多</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2.财政应返还额度</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3.房屋</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1,162,675.53</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1,162,675.53</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4.车辆</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624,100.00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444,300.00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179,800.00</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40.47</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新购2辆公务车</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5.在建工程</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6.借款</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7.应缴财政款</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8.应付职工薪酬</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三、年末机构人员情况（单位：个、人）</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1.独立编制机构数</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2.独立核算机构数</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3.年末实有人数</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49</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-4.08</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人员调进调出</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在职人员</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49</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-4.08</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人员调进调出</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其中：行政人员</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21</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-4.76</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人员调进调出</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参照公务员法管理事业人员</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非参公事业人员</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28</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-3.57</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人员调进调出</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离休人员</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退休人员</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4.年末其他人员数</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5.年末学生人数</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四、补充资料（单位：元）</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1.固定资产情况</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房屋面积（平方米）</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2,490.00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2,490.00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车辆数量（辆）</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33.33</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新购2辆公务车</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2.“三公”经费支出</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442,458.20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444,444.00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-1,985.80</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-0.45</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其中：因公出国（境）费</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公务用车购置及运行维护费</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185,148.20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185,400.00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-251.80</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-0.14</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其中：公务用车购置费</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公务用车运行维护费</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185,148.20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185,400.00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-251.80</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-0.14</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公务接待费</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257,310.00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259,044.00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-1,734.00</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-0.67</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3.培训费</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80,143.50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91,933.00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-11,789.50</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-12.82</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4.会议费</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30,114.00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28,000.00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2,114.00</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7.55</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换届选举导致会议费增加</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5.机关运行经费</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1,145,992.01</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1,107,594.34</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38,397.67</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3.47</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6.年初预算数</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本年收入合计</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55</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15,524,708.69</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15,829,589.51</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-304,880.82</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-1.93</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本年支出合计</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56</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15,524,708.69</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15,829,589.51</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-304,880.82</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-1.93</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年末结转和结余</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57</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7.调整预算数</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58</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本年收入合计</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59</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44,757,926.42</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43,629,999.16</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1,127,927.26</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2.59</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50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本年支出合计</w:t>
            </w:r>
          </w:p>
        </w:tc>
        <w:tc>
          <w:tcPr>
            <w:tcW w:w="20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60</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44,757,926.42</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43,629,999.16</w:t>
            </w:r>
          </w:p>
        </w:tc>
        <w:tc>
          <w:tcPr>
            <w:tcW w:w="6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1,127,927.26</w:t>
            </w:r>
          </w:p>
        </w:tc>
        <w:tc>
          <w:tcPr>
            <w:tcW w:w="35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2.59</w:t>
            </w:r>
          </w:p>
        </w:tc>
        <w:tc>
          <w:tcPr>
            <w:tcW w:w="90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504" w:type="pct"/>
            <w:tcBorders>
              <w:top w:val="nil"/>
              <w:left w:val="single" w:color="000000" w:sz="4" w:space="0"/>
              <w:bottom w:val="single" w:color="000000" w:sz="8"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年末结转和结余</w:t>
            </w:r>
          </w:p>
        </w:tc>
        <w:tc>
          <w:tcPr>
            <w:tcW w:w="201" w:type="pct"/>
            <w:tcBorders>
              <w:top w:val="nil"/>
              <w:left w:val="nil"/>
              <w:bottom w:val="single" w:color="000000" w:sz="8"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61</w:t>
            </w:r>
          </w:p>
        </w:tc>
        <w:tc>
          <w:tcPr>
            <w:tcW w:w="681" w:type="pct"/>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81" w:type="pct"/>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81" w:type="pct"/>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51" w:type="pct"/>
            <w:tcBorders>
              <w:top w:val="nil"/>
              <w:left w:val="nil"/>
              <w:bottom w:val="single" w:color="000000" w:sz="8"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03" w:type="pct"/>
            <w:tcBorders>
              <w:top w:val="nil"/>
              <w:left w:val="nil"/>
              <w:bottom w:val="single" w:color="000000" w:sz="8"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bl>
    <w:p>
      <w:pPr>
        <w:ind w:firstLine="709"/>
        <w:rPr>
          <w:rFonts w:ascii="仿宋_GB2312" w:hAnsi="仿宋" w:eastAsia="仿宋_GB2312" w:cs="仿宋"/>
          <w:sz w:val="32"/>
          <w:szCs w:val="32"/>
        </w:rPr>
      </w:pPr>
    </w:p>
    <w:p>
      <w:pPr>
        <w:snapToGrid w:val="0"/>
        <w:spacing w:line="560" w:lineRule="exact"/>
        <w:ind w:firstLine="642" w:firstLineChars="200"/>
        <w:rPr>
          <w:rFonts w:ascii="楷体_GB2312" w:hAnsi="仿宋" w:eastAsia="楷体_GB2312" w:cs="仿宋"/>
          <w:b/>
          <w:color w:val="000000"/>
          <w:sz w:val="32"/>
          <w:szCs w:val="32"/>
        </w:rPr>
      </w:pPr>
      <w:r>
        <w:rPr>
          <w:rFonts w:hint="eastAsia" w:ascii="楷体_GB2312" w:hAnsi="仿宋" w:eastAsia="楷体_GB2312" w:cs="仿宋"/>
          <w:b/>
          <w:color w:val="000000"/>
          <w:sz w:val="32"/>
          <w:szCs w:val="32"/>
        </w:rPr>
        <w:t>（三）政府采购数据核对情况。</w:t>
      </w:r>
    </w:p>
    <w:p>
      <w:pPr>
        <w:ind w:firstLine="600" w:firstLineChars="200"/>
        <w:rPr>
          <w:rFonts w:ascii="仿宋_GB2312" w:hAnsi="仿宋" w:eastAsia="仿宋_GB2312" w:cs="仿宋"/>
          <w:sz w:val="32"/>
          <w:szCs w:val="32"/>
        </w:rPr>
      </w:pPr>
      <w:r>
        <w:rPr>
          <w:rFonts w:hint="eastAsia" w:ascii="仿宋_GB2312" w:eastAsia="仿宋_GB2312"/>
          <w:sz w:val="30"/>
          <w:szCs w:val="32"/>
        </w:rPr>
        <w:t>“政府采购情况表”与政府采购信息统计报表中“政府采购资金情况表”的一致。</w:t>
      </w:r>
    </w:p>
    <w:p>
      <w:pPr>
        <w:ind w:firstLine="709"/>
        <w:rPr>
          <w:rFonts w:ascii="黑体" w:hAnsi="黑体" w:eastAsia="黑体" w:cs="Times New Roman"/>
          <w:color w:val="000000"/>
          <w:sz w:val="32"/>
          <w:szCs w:val="32"/>
        </w:rPr>
      </w:pPr>
      <w:r>
        <w:rPr>
          <w:rFonts w:hint="eastAsia" w:ascii="宋体" w:hAnsi="宋体" w:cs="宋体"/>
          <w:color w:val="000000"/>
          <w:sz w:val="32"/>
          <w:szCs w:val="32"/>
        </w:rPr>
        <w:t> </w:t>
      </w:r>
      <w:r>
        <w:rPr>
          <w:rFonts w:hint="eastAsia" w:ascii="黑体" w:hAnsi="黑体" w:eastAsia="黑体" w:cs="黑体"/>
          <w:color w:val="000000"/>
          <w:sz w:val="32"/>
          <w:szCs w:val="32"/>
        </w:rPr>
        <w:t>四、报表审核情况（逐条</w:t>
      </w:r>
      <w:r>
        <w:rPr>
          <w:rFonts w:ascii="黑体" w:hAnsi="黑体" w:eastAsia="黑体" w:cs="黑体"/>
          <w:color w:val="000000"/>
          <w:sz w:val="32"/>
          <w:szCs w:val="32"/>
        </w:rPr>
        <w:t>编写</w:t>
      </w:r>
      <w:r>
        <w:rPr>
          <w:rFonts w:hint="eastAsia" w:ascii="黑体" w:hAnsi="黑体" w:eastAsia="黑体" w:cs="黑体"/>
          <w:color w:val="000000"/>
          <w:sz w:val="32"/>
          <w:szCs w:val="32"/>
        </w:rPr>
        <w:t>）</w:t>
      </w:r>
    </w:p>
    <w:p>
      <w:pPr>
        <w:ind w:firstLine="709"/>
        <w:rPr>
          <w:rFonts w:ascii="楷体_GB2312" w:hAnsi="仿宋" w:eastAsia="楷体_GB2312" w:cs="仿宋"/>
          <w:b/>
          <w:color w:val="000000"/>
          <w:sz w:val="32"/>
          <w:szCs w:val="32"/>
        </w:rPr>
      </w:pPr>
      <w:r>
        <w:rPr>
          <w:rFonts w:hint="eastAsia" w:ascii="楷体_GB2312" w:hAnsi="仿宋" w:eastAsia="楷体_GB2312" w:cs="仿宋"/>
          <w:b/>
          <w:color w:val="000000"/>
          <w:sz w:val="32"/>
          <w:szCs w:val="32"/>
        </w:rPr>
        <w:t>（一）审核情况。</w:t>
      </w:r>
    </w:p>
    <w:p>
      <w:pPr>
        <w:ind w:firstLine="709"/>
        <w:rPr>
          <w:rFonts w:ascii="仿宋_GB2312" w:eastAsia="仿宋_GB2312"/>
          <w:sz w:val="30"/>
          <w:szCs w:val="32"/>
        </w:rPr>
      </w:pPr>
      <w:r>
        <w:rPr>
          <w:rFonts w:hint="eastAsia" w:ascii="仿宋_GB2312" w:eastAsia="仿宋_GB2312"/>
          <w:sz w:val="30"/>
          <w:szCs w:val="32"/>
        </w:rPr>
        <w:t>基本平衡审核信息0条；逻辑性审核公式0条；核实性审核信息14条。</w:t>
      </w:r>
    </w:p>
    <w:tbl>
      <w:tblPr>
        <w:tblStyle w:val="4"/>
        <w:tblW w:w="5000" w:type="pct"/>
        <w:tblInd w:w="0" w:type="dxa"/>
        <w:tblLayout w:type="autofit"/>
        <w:tblCellMar>
          <w:top w:w="0" w:type="dxa"/>
          <w:left w:w="108" w:type="dxa"/>
          <w:bottom w:w="0" w:type="dxa"/>
          <w:right w:w="108" w:type="dxa"/>
        </w:tblCellMar>
      </w:tblPr>
      <w:tblGrid>
        <w:gridCol w:w="434"/>
        <w:gridCol w:w="1609"/>
        <w:gridCol w:w="362"/>
        <w:gridCol w:w="398"/>
        <w:gridCol w:w="1775"/>
        <w:gridCol w:w="1286"/>
        <w:gridCol w:w="4826"/>
        <w:gridCol w:w="298"/>
      </w:tblGrid>
      <w:tr>
        <w:trPr>
          <w:trHeight w:val="308" w:hRule="atLeast"/>
        </w:trPr>
        <w:tc>
          <w:tcPr>
            <w:tcW w:w="196" w:type="pc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单位编号</w:t>
            </w:r>
          </w:p>
        </w:tc>
        <w:tc>
          <w:tcPr>
            <w:tcW w:w="724" w:type="pct"/>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所在报表</w:t>
            </w:r>
          </w:p>
        </w:tc>
        <w:tc>
          <w:tcPr>
            <w:tcW w:w="163" w:type="pct"/>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公式编号</w:t>
            </w:r>
          </w:p>
        </w:tc>
        <w:tc>
          <w:tcPr>
            <w:tcW w:w="179" w:type="pct"/>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审核类型</w:t>
            </w:r>
          </w:p>
        </w:tc>
        <w:tc>
          <w:tcPr>
            <w:tcW w:w="787" w:type="pct"/>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公式说明</w:t>
            </w:r>
          </w:p>
        </w:tc>
        <w:tc>
          <w:tcPr>
            <w:tcW w:w="668" w:type="pct"/>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提示内容</w:t>
            </w:r>
          </w:p>
        </w:tc>
        <w:tc>
          <w:tcPr>
            <w:tcW w:w="2148" w:type="pct"/>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出错说明</w:t>
            </w:r>
          </w:p>
        </w:tc>
        <w:tc>
          <w:tcPr>
            <w:tcW w:w="135" w:type="pct"/>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数量</w:t>
            </w:r>
          </w:p>
        </w:tc>
      </w:tr>
      <w:tr>
        <w:trPr>
          <w:trHeight w:val="308" w:hRule="atLeast"/>
        </w:trPr>
        <w:tc>
          <w:tcPr>
            <w:tcW w:w="196"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一、审核公式</w:t>
            </w:r>
          </w:p>
        </w:tc>
        <w:tc>
          <w:tcPr>
            <w:tcW w:w="72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w:t>
            </w:r>
          </w:p>
        </w:tc>
        <w:tc>
          <w:tcPr>
            <w:tcW w:w="163"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w:t>
            </w:r>
          </w:p>
        </w:tc>
        <w:tc>
          <w:tcPr>
            <w:tcW w:w="179"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w:t>
            </w:r>
          </w:p>
        </w:tc>
        <w:tc>
          <w:tcPr>
            <w:tcW w:w="78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w:t>
            </w:r>
          </w:p>
        </w:tc>
        <w:tc>
          <w:tcPr>
            <w:tcW w:w="66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w:t>
            </w:r>
          </w:p>
        </w:tc>
        <w:tc>
          <w:tcPr>
            <w:tcW w:w="214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w:t>
            </w:r>
          </w:p>
        </w:tc>
        <w:tc>
          <w:tcPr>
            <w:tcW w:w="13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13条</w:t>
            </w:r>
          </w:p>
        </w:tc>
      </w:tr>
      <w:tr>
        <w:trPr>
          <w:trHeight w:val="308" w:hRule="atLeast"/>
        </w:trPr>
        <w:tc>
          <w:tcPr>
            <w:tcW w:w="196"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1.表间公式</w:t>
            </w:r>
          </w:p>
        </w:tc>
        <w:tc>
          <w:tcPr>
            <w:tcW w:w="72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w:t>
            </w:r>
          </w:p>
        </w:tc>
        <w:tc>
          <w:tcPr>
            <w:tcW w:w="163"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w:t>
            </w:r>
          </w:p>
        </w:tc>
        <w:tc>
          <w:tcPr>
            <w:tcW w:w="179"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w:t>
            </w:r>
          </w:p>
        </w:tc>
        <w:tc>
          <w:tcPr>
            <w:tcW w:w="78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w:t>
            </w:r>
          </w:p>
        </w:tc>
        <w:tc>
          <w:tcPr>
            <w:tcW w:w="66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w:t>
            </w:r>
          </w:p>
        </w:tc>
        <w:tc>
          <w:tcPr>
            <w:tcW w:w="214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w:t>
            </w:r>
          </w:p>
        </w:tc>
        <w:tc>
          <w:tcPr>
            <w:tcW w:w="13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1条</w:t>
            </w:r>
          </w:p>
        </w:tc>
      </w:tr>
      <w:tr>
        <w:trPr>
          <w:trHeight w:val="308" w:hRule="atLeast"/>
        </w:trPr>
        <w:tc>
          <w:tcPr>
            <w:tcW w:w="196"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00868956X6</w:t>
            </w:r>
          </w:p>
        </w:tc>
        <w:tc>
          <w:tcPr>
            <w:tcW w:w="72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w:t>
            </w:r>
          </w:p>
        </w:tc>
        <w:tc>
          <w:tcPr>
            <w:tcW w:w="163"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A0-1309</w:t>
            </w:r>
          </w:p>
        </w:tc>
        <w:tc>
          <w:tcPr>
            <w:tcW w:w="179"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逻辑性审核</w:t>
            </w:r>
          </w:p>
        </w:tc>
        <w:tc>
          <w:tcPr>
            <w:tcW w:w="78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当报表类型≠"7"（叠加汇总表）且单位性质时≠"10"（行政单位），则财决附03表28行3栏＝0</w:t>
            </w:r>
          </w:p>
        </w:tc>
        <w:tc>
          <w:tcPr>
            <w:tcW w:w="66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F03[28,3]=1,145,992.01 ( F03[28,3])-(0)=1,145,992.01</w:t>
            </w:r>
          </w:p>
        </w:tc>
        <w:tc>
          <w:tcPr>
            <w:tcW w:w="214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乡镇汇总填报包含行政和事业单位</w:t>
            </w:r>
          </w:p>
        </w:tc>
        <w:tc>
          <w:tcPr>
            <w:tcW w:w="13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w:t>
            </w:r>
          </w:p>
        </w:tc>
      </w:tr>
      <w:tr>
        <w:trPr>
          <w:trHeight w:val="308" w:hRule="atLeast"/>
        </w:trPr>
        <w:tc>
          <w:tcPr>
            <w:tcW w:w="196"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2.表内公式</w:t>
            </w:r>
          </w:p>
        </w:tc>
        <w:tc>
          <w:tcPr>
            <w:tcW w:w="72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w:t>
            </w:r>
          </w:p>
        </w:tc>
        <w:tc>
          <w:tcPr>
            <w:tcW w:w="163"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w:t>
            </w:r>
          </w:p>
        </w:tc>
        <w:tc>
          <w:tcPr>
            <w:tcW w:w="179"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w:t>
            </w:r>
          </w:p>
        </w:tc>
        <w:tc>
          <w:tcPr>
            <w:tcW w:w="78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w:t>
            </w:r>
          </w:p>
        </w:tc>
        <w:tc>
          <w:tcPr>
            <w:tcW w:w="66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w:t>
            </w:r>
          </w:p>
        </w:tc>
        <w:tc>
          <w:tcPr>
            <w:tcW w:w="214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12条</w:t>
            </w:r>
          </w:p>
        </w:tc>
        <w:tc>
          <w:tcPr>
            <w:tcW w:w="13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w:t>
            </w:r>
          </w:p>
        </w:tc>
      </w:tr>
      <w:tr>
        <w:trPr>
          <w:trHeight w:val="308" w:hRule="atLeast"/>
        </w:trPr>
        <w:tc>
          <w:tcPr>
            <w:tcW w:w="196"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00868956X6</w:t>
            </w:r>
          </w:p>
        </w:tc>
        <w:tc>
          <w:tcPr>
            <w:tcW w:w="72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[Z01] 收入支出决算总表(财决01表) 【核实性审核公式】</w:t>
            </w:r>
          </w:p>
        </w:tc>
        <w:tc>
          <w:tcPr>
            <w:tcW w:w="163"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B270</w:t>
            </w:r>
          </w:p>
        </w:tc>
        <w:tc>
          <w:tcPr>
            <w:tcW w:w="179"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核实性审核</w:t>
            </w:r>
          </w:p>
        </w:tc>
        <w:tc>
          <w:tcPr>
            <w:tcW w:w="78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政府性基金财政拨款决算数有数，则预算数应有数</w:t>
            </w:r>
          </w:p>
        </w:tc>
        <w:tc>
          <w:tcPr>
            <w:tcW w:w="66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[2,1]=0 ([2,1])-(0)=0</w:t>
            </w:r>
          </w:p>
        </w:tc>
        <w:tc>
          <w:tcPr>
            <w:tcW w:w="214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乡镇基金未纳入年初预算，也无基金预算。县财政转移支付后纳入调整预算和决算。</w:t>
            </w:r>
          </w:p>
        </w:tc>
        <w:tc>
          <w:tcPr>
            <w:tcW w:w="13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w:t>
            </w:r>
          </w:p>
        </w:tc>
      </w:tr>
      <w:tr>
        <w:trPr>
          <w:trHeight w:val="308" w:hRule="atLeast"/>
        </w:trPr>
        <w:tc>
          <w:tcPr>
            <w:tcW w:w="196"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00868956X6</w:t>
            </w:r>
          </w:p>
        </w:tc>
        <w:tc>
          <w:tcPr>
            <w:tcW w:w="72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[Z01] 收入支出决算总表(财决01表) 【核实性审核公式】</w:t>
            </w:r>
          </w:p>
        </w:tc>
        <w:tc>
          <w:tcPr>
            <w:tcW w:w="163"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B272</w:t>
            </w:r>
          </w:p>
        </w:tc>
        <w:tc>
          <w:tcPr>
            <w:tcW w:w="179"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核实性审核</w:t>
            </w:r>
          </w:p>
        </w:tc>
        <w:tc>
          <w:tcPr>
            <w:tcW w:w="78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如果调整预算数不等于年初预算数，请说明预算调整文件号。</w:t>
            </w:r>
          </w:p>
        </w:tc>
        <w:tc>
          <w:tcPr>
            <w:tcW w:w="66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[2,2]=4,341,766.26 [2,1]=0 ([2,2])-([2,1])=4,341,766.26</w:t>
            </w:r>
          </w:p>
        </w:tc>
        <w:tc>
          <w:tcPr>
            <w:tcW w:w="214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渝财建[2019]42号、渝财建[2020]258号、渝财建[2020]336号等</w:t>
            </w:r>
          </w:p>
        </w:tc>
        <w:tc>
          <w:tcPr>
            <w:tcW w:w="13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w:t>
            </w:r>
          </w:p>
        </w:tc>
      </w:tr>
      <w:tr>
        <w:trPr>
          <w:trHeight w:val="308" w:hRule="atLeast"/>
        </w:trPr>
        <w:tc>
          <w:tcPr>
            <w:tcW w:w="196"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00868956X6</w:t>
            </w:r>
          </w:p>
        </w:tc>
        <w:tc>
          <w:tcPr>
            <w:tcW w:w="72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[Z01] 收入支出决算总表(财决01表) 【核实性审核公式】</w:t>
            </w:r>
          </w:p>
        </w:tc>
        <w:tc>
          <w:tcPr>
            <w:tcW w:w="163"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B272</w:t>
            </w:r>
          </w:p>
        </w:tc>
        <w:tc>
          <w:tcPr>
            <w:tcW w:w="179"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核实性审核</w:t>
            </w:r>
          </w:p>
        </w:tc>
        <w:tc>
          <w:tcPr>
            <w:tcW w:w="78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如果调整预算数不等于年初预算数，请说明预算调整文件号。</w:t>
            </w:r>
          </w:p>
        </w:tc>
        <w:tc>
          <w:tcPr>
            <w:tcW w:w="66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[1,2]=40,416,160.16 [1,1]=15,524,708.69 ([1,2])-([1,1])=24,891,451.47</w:t>
            </w:r>
          </w:p>
        </w:tc>
        <w:tc>
          <w:tcPr>
            <w:tcW w:w="214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丰财预[2021]11号、丰财农[2021]11号、丰财建[2021]49号等</w:t>
            </w:r>
          </w:p>
        </w:tc>
        <w:tc>
          <w:tcPr>
            <w:tcW w:w="13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w:t>
            </w:r>
          </w:p>
        </w:tc>
      </w:tr>
      <w:tr>
        <w:trPr>
          <w:trHeight w:val="308" w:hRule="atLeast"/>
        </w:trPr>
        <w:tc>
          <w:tcPr>
            <w:tcW w:w="196"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00868956X6</w:t>
            </w:r>
          </w:p>
        </w:tc>
        <w:tc>
          <w:tcPr>
            <w:tcW w:w="72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[Z01_1] 财政拨款收入支出决算总表(财决01-1表) 【核实性审核公式】</w:t>
            </w:r>
          </w:p>
        </w:tc>
        <w:tc>
          <w:tcPr>
            <w:tcW w:w="163"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B386</w:t>
            </w:r>
          </w:p>
        </w:tc>
        <w:tc>
          <w:tcPr>
            <w:tcW w:w="179"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核实性审核</w:t>
            </w:r>
          </w:p>
        </w:tc>
        <w:tc>
          <w:tcPr>
            <w:tcW w:w="78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财政拨款决算数有数，则年初预算数应有数</w:t>
            </w:r>
          </w:p>
        </w:tc>
        <w:tc>
          <w:tcPr>
            <w:tcW w:w="66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[2,1]=0 ([2,1])-(0)=0</w:t>
            </w:r>
          </w:p>
        </w:tc>
        <w:tc>
          <w:tcPr>
            <w:tcW w:w="214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乡镇基金未纳入年初预算，也无基金预算。县财政转移支付后纳入调整预算和决算。</w:t>
            </w:r>
          </w:p>
        </w:tc>
        <w:tc>
          <w:tcPr>
            <w:tcW w:w="13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w:t>
            </w:r>
          </w:p>
        </w:tc>
      </w:tr>
      <w:tr>
        <w:trPr>
          <w:trHeight w:val="308" w:hRule="atLeast"/>
        </w:trPr>
        <w:tc>
          <w:tcPr>
            <w:tcW w:w="196"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00868956X6</w:t>
            </w:r>
          </w:p>
        </w:tc>
        <w:tc>
          <w:tcPr>
            <w:tcW w:w="72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[Z05] 支出决算明细表(财决05表) 【核实性审核公式】</w:t>
            </w:r>
          </w:p>
        </w:tc>
        <w:tc>
          <w:tcPr>
            <w:tcW w:w="163"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B744</w:t>
            </w:r>
          </w:p>
        </w:tc>
        <w:tc>
          <w:tcPr>
            <w:tcW w:w="179"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核实性审核</w:t>
            </w:r>
          </w:p>
        </w:tc>
        <w:tc>
          <w:tcPr>
            <w:tcW w:w="78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有其他工资福利支出请说明经费构成及金额</w:t>
            </w:r>
          </w:p>
        </w:tc>
        <w:tc>
          <w:tcPr>
            <w:tcW w:w="66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[1,15]=760,656 ([1,15])-(0)=760,656</w:t>
            </w:r>
          </w:p>
        </w:tc>
        <w:tc>
          <w:tcPr>
            <w:tcW w:w="214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平时考核404240元，应休未休年休假106081元，值班补助59640元。</w:t>
            </w:r>
          </w:p>
        </w:tc>
        <w:tc>
          <w:tcPr>
            <w:tcW w:w="13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w:t>
            </w:r>
          </w:p>
        </w:tc>
      </w:tr>
      <w:tr>
        <w:trPr>
          <w:trHeight w:val="308" w:hRule="atLeast"/>
        </w:trPr>
        <w:tc>
          <w:tcPr>
            <w:tcW w:w="196"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00868956X6</w:t>
            </w:r>
          </w:p>
        </w:tc>
        <w:tc>
          <w:tcPr>
            <w:tcW w:w="72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[Z05] 支出决算明细表(财决05表) 【核实性审核公式】</w:t>
            </w:r>
          </w:p>
        </w:tc>
        <w:tc>
          <w:tcPr>
            <w:tcW w:w="163"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B748</w:t>
            </w:r>
          </w:p>
        </w:tc>
        <w:tc>
          <w:tcPr>
            <w:tcW w:w="179"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核实性审核</w:t>
            </w:r>
          </w:p>
        </w:tc>
        <w:tc>
          <w:tcPr>
            <w:tcW w:w="78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有救济费，请说明开支情况！</w:t>
            </w:r>
          </w:p>
        </w:tc>
        <w:tc>
          <w:tcPr>
            <w:tcW w:w="66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[1,50]=480,000 ([1,50])-(0)=480,000</w:t>
            </w:r>
          </w:p>
        </w:tc>
        <w:tc>
          <w:tcPr>
            <w:tcW w:w="214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疑难信访救助100000元；地质灾害救助100000元，自然灾害救助38万元</w:t>
            </w:r>
          </w:p>
        </w:tc>
        <w:tc>
          <w:tcPr>
            <w:tcW w:w="13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w:t>
            </w:r>
          </w:p>
        </w:tc>
      </w:tr>
      <w:tr>
        <w:trPr>
          <w:trHeight w:val="308" w:hRule="atLeast"/>
        </w:trPr>
        <w:tc>
          <w:tcPr>
            <w:tcW w:w="196"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00868956X6</w:t>
            </w:r>
          </w:p>
        </w:tc>
        <w:tc>
          <w:tcPr>
            <w:tcW w:w="72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[Z05] 支出决算明细表(财决05表) 【核实性审核公式】</w:t>
            </w:r>
          </w:p>
        </w:tc>
        <w:tc>
          <w:tcPr>
            <w:tcW w:w="163"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B749</w:t>
            </w:r>
          </w:p>
        </w:tc>
        <w:tc>
          <w:tcPr>
            <w:tcW w:w="179"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核实性审核</w:t>
            </w:r>
          </w:p>
        </w:tc>
        <w:tc>
          <w:tcPr>
            <w:tcW w:w="78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有个人农业生产补贴，请说明开支情况！</w:t>
            </w:r>
          </w:p>
        </w:tc>
        <w:tc>
          <w:tcPr>
            <w:tcW w:w="66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[1,54]=800,000 ([1,54])-(0)=800,000</w:t>
            </w:r>
          </w:p>
        </w:tc>
        <w:tc>
          <w:tcPr>
            <w:tcW w:w="214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三元镇大城寨集体经济项目光伏增容80千瓦50万元，三元镇2021年大城寨村菊花种植产业烘干房项目30万元</w:t>
            </w:r>
          </w:p>
        </w:tc>
        <w:tc>
          <w:tcPr>
            <w:tcW w:w="13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w:t>
            </w:r>
          </w:p>
        </w:tc>
      </w:tr>
      <w:tr>
        <w:trPr>
          <w:trHeight w:val="308" w:hRule="atLeast"/>
        </w:trPr>
        <w:tc>
          <w:tcPr>
            <w:tcW w:w="196"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00868956X6</w:t>
            </w:r>
          </w:p>
        </w:tc>
        <w:tc>
          <w:tcPr>
            <w:tcW w:w="72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[Z05_2] 项目支出决算明细表(财决05-2表) 【核实性审核公式】</w:t>
            </w:r>
          </w:p>
        </w:tc>
        <w:tc>
          <w:tcPr>
            <w:tcW w:w="163"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B954</w:t>
            </w:r>
          </w:p>
        </w:tc>
        <w:tc>
          <w:tcPr>
            <w:tcW w:w="179"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核实性审核</w:t>
            </w:r>
          </w:p>
        </w:tc>
        <w:tc>
          <w:tcPr>
            <w:tcW w:w="78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项目支出中对个人和家庭补助如果有数，请说明情况！</w:t>
            </w:r>
          </w:p>
        </w:tc>
        <w:tc>
          <w:tcPr>
            <w:tcW w:w="66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[1,47]&amp;[1,54]+[1,56]=2,781,268.4 ([1,47]&amp;[1,54]+[1,56])-(0)=2,781,268.4</w:t>
            </w:r>
          </w:p>
        </w:tc>
        <w:tc>
          <w:tcPr>
            <w:tcW w:w="214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自然灾害38万元，残疾人阳光家园居家托养、助残员补助2.64万元，老年人居家适老化改造试点补助5万元，农村公益性岗位补贴75.255万元，调解员补助1.6万元，协管员补助3.24万元，老党员生活补贴29.84万元，普查员补助6.7万元，疑难信访救助10万元，集体经济补助80万元</w:t>
            </w:r>
          </w:p>
        </w:tc>
        <w:tc>
          <w:tcPr>
            <w:tcW w:w="13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w:t>
            </w:r>
          </w:p>
        </w:tc>
      </w:tr>
      <w:tr>
        <w:trPr>
          <w:trHeight w:val="308" w:hRule="atLeast"/>
        </w:trPr>
        <w:tc>
          <w:tcPr>
            <w:tcW w:w="196"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00868956X6</w:t>
            </w:r>
          </w:p>
        </w:tc>
        <w:tc>
          <w:tcPr>
            <w:tcW w:w="72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[Z08] 一般公共预算财政拨款支出决算明细表(财决08表) 【核实性审核公式】</w:t>
            </w:r>
          </w:p>
        </w:tc>
        <w:tc>
          <w:tcPr>
            <w:tcW w:w="163"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B1344</w:t>
            </w:r>
          </w:p>
        </w:tc>
        <w:tc>
          <w:tcPr>
            <w:tcW w:w="179"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核实性审核</w:t>
            </w:r>
          </w:p>
        </w:tc>
        <w:tc>
          <w:tcPr>
            <w:tcW w:w="78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有其他工资福利支出请说明经费构成及金额</w:t>
            </w:r>
          </w:p>
        </w:tc>
        <w:tc>
          <w:tcPr>
            <w:tcW w:w="66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[1,15]=760,656 ([1,15])-(0)=760,656</w:t>
            </w:r>
          </w:p>
        </w:tc>
        <w:tc>
          <w:tcPr>
            <w:tcW w:w="214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平时考核404240元，应休未休年休假106081元，值班补助59640元。</w:t>
            </w:r>
          </w:p>
        </w:tc>
        <w:tc>
          <w:tcPr>
            <w:tcW w:w="13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w:t>
            </w:r>
          </w:p>
        </w:tc>
      </w:tr>
      <w:tr>
        <w:trPr>
          <w:trHeight w:val="308" w:hRule="atLeast"/>
        </w:trPr>
        <w:tc>
          <w:tcPr>
            <w:tcW w:w="196"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00868956X6</w:t>
            </w:r>
          </w:p>
        </w:tc>
        <w:tc>
          <w:tcPr>
            <w:tcW w:w="72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[Z08] 一般公共预算财政拨款支出决算明细表(财决08表) 【核实性审核公式】</w:t>
            </w:r>
          </w:p>
        </w:tc>
        <w:tc>
          <w:tcPr>
            <w:tcW w:w="163"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B1348</w:t>
            </w:r>
          </w:p>
        </w:tc>
        <w:tc>
          <w:tcPr>
            <w:tcW w:w="179"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核实性审核</w:t>
            </w:r>
          </w:p>
        </w:tc>
        <w:tc>
          <w:tcPr>
            <w:tcW w:w="78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有救济费，请说明开支情况！</w:t>
            </w:r>
          </w:p>
        </w:tc>
        <w:tc>
          <w:tcPr>
            <w:tcW w:w="66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[1,50]=480,000 ([1,50])-(0)=480,000</w:t>
            </w:r>
          </w:p>
        </w:tc>
        <w:tc>
          <w:tcPr>
            <w:tcW w:w="214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疑难信访救助100000元；地质灾害救助100000元，自然灾害救助38万元</w:t>
            </w:r>
          </w:p>
        </w:tc>
        <w:tc>
          <w:tcPr>
            <w:tcW w:w="13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w:t>
            </w:r>
          </w:p>
        </w:tc>
      </w:tr>
      <w:tr>
        <w:trPr>
          <w:trHeight w:val="308" w:hRule="atLeast"/>
        </w:trPr>
        <w:tc>
          <w:tcPr>
            <w:tcW w:w="196"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00868956X6</w:t>
            </w:r>
          </w:p>
        </w:tc>
        <w:tc>
          <w:tcPr>
            <w:tcW w:w="72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[Z08] 一般公共预算财政拨款支出决算明细表(财决08表) 【核实性审核公式】</w:t>
            </w:r>
          </w:p>
        </w:tc>
        <w:tc>
          <w:tcPr>
            <w:tcW w:w="163"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B1349</w:t>
            </w:r>
          </w:p>
        </w:tc>
        <w:tc>
          <w:tcPr>
            <w:tcW w:w="179"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核实性审核</w:t>
            </w:r>
          </w:p>
        </w:tc>
        <w:tc>
          <w:tcPr>
            <w:tcW w:w="78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有个人农业生产补贴，请说明开支情况！</w:t>
            </w:r>
          </w:p>
        </w:tc>
        <w:tc>
          <w:tcPr>
            <w:tcW w:w="66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[1,54]=800,000 ([1,54])-(0)=800,000</w:t>
            </w:r>
          </w:p>
        </w:tc>
        <w:tc>
          <w:tcPr>
            <w:tcW w:w="214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三元镇大城寨集体经济项目光伏增容80千瓦50万元，三元镇2021年大城寨村菊花种植产业烘干房项目30万元</w:t>
            </w:r>
          </w:p>
        </w:tc>
        <w:tc>
          <w:tcPr>
            <w:tcW w:w="13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w:t>
            </w:r>
          </w:p>
        </w:tc>
      </w:tr>
      <w:tr>
        <w:trPr>
          <w:trHeight w:val="308" w:hRule="atLeast"/>
        </w:trPr>
        <w:tc>
          <w:tcPr>
            <w:tcW w:w="196"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00868956X6</w:t>
            </w:r>
          </w:p>
        </w:tc>
        <w:tc>
          <w:tcPr>
            <w:tcW w:w="72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[Z08_2] 一般公共预算财政拨款项目支出决算明细表(财决08-2表) 【核实性审核公式】</w:t>
            </w:r>
          </w:p>
        </w:tc>
        <w:tc>
          <w:tcPr>
            <w:tcW w:w="163"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B1554</w:t>
            </w:r>
          </w:p>
        </w:tc>
        <w:tc>
          <w:tcPr>
            <w:tcW w:w="179"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核实性审核</w:t>
            </w:r>
          </w:p>
        </w:tc>
        <w:tc>
          <w:tcPr>
            <w:tcW w:w="78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项目支出中对个人和家庭补助如果有数，请说明情况！</w:t>
            </w:r>
          </w:p>
        </w:tc>
        <w:tc>
          <w:tcPr>
            <w:tcW w:w="66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[1,47]&amp;[1,54]+[1,56]=2,601,750 ([1,47]&amp;[1,54]+[1,56])-(0)=2,601,750</w:t>
            </w:r>
          </w:p>
        </w:tc>
        <w:tc>
          <w:tcPr>
            <w:tcW w:w="214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自然灾害38万元，残疾人阳光家园居家托养、助残员补助2.64万元，老年人居家适老化改造试点补助5万元，农村公益性岗位补贴75.255万元，调解员补助1.6万元，协管员补助3.24万元，老党员生活补贴29.84万元，普查员补助6.7万元，疑难信访救助10万元，集体经济补助80万元</w:t>
            </w:r>
          </w:p>
        </w:tc>
        <w:tc>
          <w:tcPr>
            <w:tcW w:w="13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w:t>
            </w:r>
          </w:p>
        </w:tc>
      </w:tr>
    </w:tbl>
    <w:p>
      <w:pPr>
        <w:ind w:firstLine="709"/>
        <w:rPr>
          <w:rFonts w:ascii="仿宋_GB2312" w:eastAsia="仿宋_GB2312"/>
          <w:sz w:val="30"/>
          <w:szCs w:val="32"/>
        </w:rPr>
      </w:pPr>
    </w:p>
    <w:p>
      <w:pPr>
        <w:ind w:firstLine="709"/>
        <w:rPr>
          <w:rFonts w:ascii="楷体_GB2312" w:hAnsi="Times New Roman" w:eastAsia="楷体_GB2312" w:cs="Times New Roman"/>
          <w:b/>
          <w:color w:val="000000"/>
          <w:sz w:val="32"/>
          <w:szCs w:val="32"/>
        </w:rPr>
      </w:pPr>
      <w:r>
        <w:rPr>
          <w:rFonts w:hint="eastAsia" w:ascii="楷体_GB2312" w:hAnsi="仿宋" w:eastAsia="楷体_GB2312" w:cs="仿宋"/>
          <w:b/>
          <w:color w:val="000000"/>
          <w:sz w:val="32"/>
          <w:szCs w:val="32"/>
        </w:rPr>
        <w:t>（二）对报表指标、审核公式和审核模板的设置建议：无。</w:t>
      </w:r>
    </w:p>
    <w:p>
      <w:pPr>
        <w:ind w:firstLine="709"/>
        <w:rPr>
          <w:rFonts w:ascii="黑体" w:hAnsi="黑体" w:eastAsia="黑体" w:cs="黑体"/>
          <w:color w:val="000000"/>
          <w:sz w:val="32"/>
          <w:szCs w:val="32"/>
        </w:rPr>
      </w:pPr>
      <w:r>
        <w:rPr>
          <w:rFonts w:hint="eastAsia" w:ascii="黑体" w:hAnsi="黑体" w:eastAsia="黑体" w:cs="黑体"/>
          <w:color w:val="000000"/>
          <w:sz w:val="32"/>
          <w:szCs w:val="32"/>
        </w:rPr>
        <w:t>五、决算数据其他需要说明的情况</w:t>
      </w:r>
    </w:p>
    <w:p>
      <w:pPr>
        <w:ind w:firstLine="709"/>
        <w:rPr>
          <w:rFonts w:ascii="仿宋_GB2312" w:hAnsi="仿宋" w:eastAsia="仿宋_GB2312" w:cs="仿宋"/>
          <w:sz w:val="32"/>
          <w:szCs w:val="32"/>
        </w:rPr>
      </w:pPr>
      <w:r>
        <w:rPr>
          <w:rFonts w:hint="eastAsia" w:ascii="仿宋_GB2312" w:hAnsi="仿宋" w:eastAsia="仿宋_GB2312" w:cs="仿宋"/>
          <w:color w:val="000000"/>
          <w:sz w:val="32"/>
          <w:szCs w:val="32"/>
        </w:rPr>
        <w:t>1．“收入决算表”中</w:t>
      </w:r>
      <w:r>
        <w:rPr>
          <w:rFonts w:hint="eastAsia" w:ascii="仿宋_GB2312" w:hAnsi="仿宋" w:eastAsia="仿宋_GB2312" w:cs="仿宋"/>
          <w:color w:val="000000"/>
          <w:spacing w:val="6"/>
          <w:sz w:val="32"/>
          <w:szCs w:val="32"/>
        </w:rPr>
        <w:t>其他收入的具体构成情况：（无此情况）</w:t>
      </w:r>
      <w:r>
        <w:rPr>
          <w:rFonts w:hint="eastAsia" w:ascii="仿宋_GB2312" w:hAnsi="仿宋" w:eastAsia="仿宋_GB2312" w:cs="仿宋"/>
          <w:sz w:val="32"/>
          <w:szCs w:val="32"/>
        </w:rPr>
        <w:t>。</w:t>
      </w:r>
    </w:p>
    <w:p>
      <w:pPr>
        <w:ind w:firstLine="709"/>
        <w:rPr>
          <w:rFonts w:ascii="仿宋_GB2312" w:hAnsi="仿宋" w:eastAsia="仿宋_GB2312" w:cs="仿宋"/>
          <w:sz w:val="32"/>
          <w:szCs w:val="32"/>
        </w:rPr>
      </w:pPr>
      <w:r>
        <w:rPr>
          <w:rFonts w:hint="eastAsia" w:ascii="仿宋_GB2312" w:hAnsi="仿宋" w:eastAsia="仿宋_GB2312" w:cs="仿宋"/>
          <w:sz w:val="32"/>
          <w:szCs w:val="32"/>
        </w:rPr>
        <w:t>2、年末结余分配转入其他的情况：（无此情况）。</w:t>
      </w:r>
    </w:p>
    <w:p>
      <w:pPr>
        <w:ind w:firstLine="709"/>
        <w:rPr>
          <w:rFonts w:ascii="仿宋_GB2312" w:hAnsi="仿宋" w:eastAsia="仿宋_GB2312" w:cs="仿宋"/>
          <w:sz w:val="32"/>
          <w:szCs w:val="32"/>
        </w:rPr>
      </w:pPr>
      <w:r>
        <w:rPr>
          <w:rFonts w:hint="eastAsia" w:ascii="仿宋_GB2312" w:hAnsi="仿宋" w:eastAsia="仿宋_GB2312" w:cs="仿宋"/>
          <w:sz w:val="32"/>
          <w:szCs w:val="32"/>
        </w:rPr>
        <w:t>3.年末结转和结余为负数的原因说明：（无负数）。</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4．“项目支出决算明细表”中列支“对个人和家庭的补助”的依据及说明：</w:t>
      </w:r>
    </w:p>
    <w:p>
      <w:pPr>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列支的为：自然灾害38万元，残疾人阳光家园居家托养、助残员补助2.64万元，老年人居家适老化改造试点补助5万元，农村公益性岗位补贴75.255万元，调解员补助1.6万元，协管员补助3.24万元，老党员生活补贴29.84万元，普查员补助6.7万元，疑难信访救助10万元，集体经济补助80万元。</w:t>
      </w:r>
      <w:r>
        <w:rPr>
          <w:rFonts w:ascii="仿宋_GB2312" w:hAnsi="仿宋" w:eastAsia="仿宋_GB2312" w:cs="仿宋"/>
          <w:color w:val="000000"/>
          <w:sz w:val="32"/>
          <w:szCs w:val="32"/>
        </w:rPr>
        <w:t xml:space="preserve"> </w:t>
      </w:r>
    </w:p>
    <w:p>
      <w:pPr>
        <w:ind w:firstLine="709"/>
        <w:rPr>
          <w:rFonts w:ascii="仿宋_GB2312" w:hAnsi="仿宋" w:eastAsia="仿宋_GB2312" w:cs="仿宋"/>
          <w:sz w:val="32"/>
          <w:szCs w:val="32"/>
        </w:rPr>
      </w:pPr>
      <w:r>
        <w:rPr>
          <w:rFonts w:ascii="仿宋_GB2312" w:hAnsi="仿宋" w:eastAsia="仿宋_GB2312" w:cs="仿宋"/>
          <w:sz w:val="32"/>
          <w:szCs w:val="32"/>
        </w:rPr>
        <w:t>5.</w:t>
      </w:r>
      <w:r>
        <w:rPr>
          <w:rFonts w:hint="eastAsia" w:ascii="仿宋_GB2312" w:hAnsi="仿宋" w:eastAsia="仿宋_GB2312" w:cs="仿宋"/>
          <w:sz w:val="32"/>
          <w:szCs w:val="32"/>
        </w:rPr>
        <w:t xml:space="preserve"> “支出明细表”中“其他工资福利支出”的开支情况：列支的为：平时考核404240元，应休未休年休假106081元，值班补助59640元。 </w:t>
      </w:r>
    </w:p>
    <w:p>
      <w:pPr>
        <w:ind w:firstLine="709"/>
        <w:rPr>
          <w:rFonts w:ascii="仿宋_GB2312" w:hAnsi="仿宋" w:eastAsia="仿宋_GB2312" w:cs="仿宋"/>
          <w:sz w:val="32"/>
          <w:szCs w:val="32"/>
        </w:rPr>
      </w:pPr>
      <w:r>
        <w:rPr>
          <w:rFonts w:hint="eastAsia" w:ascii="仿宋_GB2312" w:hAnsi="仿宋" w:eastAsia="仿宋_GB2312" w:cs="仿宋"/>
          <w:sz w:val="32"/>
          <w:szCs w:val="32"/>
        </w:rPr>
        <w:t>6</w:t>
      </w:r>
      <w:r>
        <w:rPr>
          <w:rFonts w:ascii="仿宋_GB2312" w:hAnsi="仿宋" w:eastAsia="仿宋_GB2312" w:cs="仿宋"/>
          <w:sz w:val="32"/>
          <w:szCs w:val="32"/>
        </w:rPr>
        <w:t>.</w:t>
      </w:r>
      <w:r>
        <w:rPr>
          <w:rFonts w:hint="eastAsia" w:ascii="仿宋_GB2312" w:hAnsi="仿宋" w:eastAsia="仿宋_GB2312" w:cs="仿宋"/>
          <w:sz w:val="32"/>
          <w:szCs w:val="32"/>
        </w:rPr>
        <w:t>“支出决算明细表”中，本部门转拨附属单位或者非本级预算单位的经费支出，应具体说明支出经济分类科目、去向和金额。</w:t>
      </w:r>
      <w:r>
        <w:rPr>
          <w:rFonts w:hint="eastAsia" w:ascii="仿宋_GB2312" w:hAnsi="仿宋" w:eastAsia="仿宋_GB2312" w:cs="仿宋"/>
          <w:color w:val="000000"/>
          <w:sz w:val="32"/>
          <w:szCs w:val="32"/>
        </w:rPr>
        <w:t>（无此情况）</w:t>
      </w:r>
      <w:r>
        <w:rPr>
          <w:rFonts w:hint="eastAsia" w:ascii="仿宋_GB2312" w:hAnsi="仿宋" w:eastAsia="仿宋_GB2312" w:cs="仿宋"/>
          <w:sz w:val="32"/>
          <w:szCs w:val="32"/>
        </w:rPr>
        <w:t>。</w:t>
      </w:r>
    </w:p>
    <w:p>
      <w:pPr>
        <w:ind w:firstLine="709"/>
        <w:rPr>
          <w:rFonts w:ascii="仿宋_GB2312" w:hAnsi="仿宋" w:eastAsia="仿宋_GB2312" w:cs="仿宋"/>
          <w:color w:val="000000"/>
          <w:sz w:val="32"/>
          <w:szCs w:val="32"/>
        </w:rPr>
      </w:pPr>
      <w:r>
        <w:rPr>
          <w:rFonts w:ascii="仿宋_GB2312" w:hAnsi="仿宋" w:eastAsia="仿宋_GB2312" w:cs="仿宋"/>
          <w:color w:val="000000"/>
          <w:sz w:val="32"/>
          <w:szCs w:val="32"/>
        </w:rPr>
        <w:t>7</w:t>
      </w:r>
      <w:r>
        <w:rPr>
          <w:rFonts w:hint="eastAsia" w:ascii="仿宋_GB2312" w:hAnsi="仿宋" w:eastAsia="仿宋_GB2312" w:cs="仿宋"/>
          <w:color w:val="000000"/>
          <w:sz w:val="32"/>
          <w:szCs w:val="32"/>
        </w:rPr>
        <w:t>.“三公”经费总额及分项金额与年初预算数、上年决算数对比变动的原因说明：</w:t>
      </w:r>
    </w:p>
    <w:tbl>
      <w:tblPr>
        <w:tblStyle w:val="4"/>
        <w:tblW w:w="9400" w:type="dxa"/>
        <w:tblInd w:w="98" w:type="dxa"/>
        <w:tblLayout w:type="autofit"/>
        <w:tblCellMar>
          <w:top w:w="0" w:type="dxa"/>
          <w:left w:w="108" w:type="dxa"/>
          <w:bottom w:w="0" w:type="dxa"/>
          <w:right w:w="108" w:type="dxa"/>
        </w:tblCellMar>
      </w:tblPr>
      <w:tblGrid>
        <w:gridCol w:w="4720"/>
        <w:gridCol w:w="880"/>
        <w:gridCol w:w="1900"/>
        <w:gridCol w:w="1900"/>
      </w:tblGrid>
      <w:tr>
        <w:trPr>
          <w:trHeight w:val="308" w:hRule="atLeast"/>
        </w:trPr>
        <w:tc>
          <w:tcPr>
            <w:tcW w:w="4720" w:type="dxa"/>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  目</w:t>
            </w:r>
          </w:p>
        </w:tc>
        <w:tc>
          <w:tcPr>
            <w:tcW w:w="880" w:type="dxa"/>
            <w:vMerge w:val="restart"/>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900" w:type="dxa"/>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预算数</w:t>
            </w:r>
          </w:p>
        </w:tc>
        <w:tc>
          <w:tcPr>
            <w:tcW w:w="1900" w:type="dxa"/>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统计数</w:t>
            </w:r>
          </w:p>
        </w:tc>
      </w:tr>
      <w:tr>
        <w:trPr>
          <w:trHeight w:val="308" w:hRule="atLeast"/>
        </w:trPr>
        <w:tc>
          <w:tcPr>
            <w:tcW w:w="472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  次</w:t>
            </w:r>
          </w:p>
        </w:tc>
        <w:tc>
          <w:tcPr>
            <w:tcW w:w="88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90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r>
      <w:tr>
        <w:trPr>
          <w:trHeight w:val="308" w:hRule="atLeast"/>
        </w:trPr>
        <w:tc>
          <w:tcPr>
            <w:tcW w:w="472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一、“三公”经费支出</w:t>
            </w:r>
          </w:p>
        </w:tc>
        <w:tc>
          <w:tcPr>
            <w:tcW w:w="8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r>
      <w:tr>
        <w:trPr>
          <w:trHeight w:val="308" w:hRule="atLeast"/>
        </w:trPr>
        <w:tc>
          <w:tcPr>
            <w:tcW w:w="472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（一）支出合计</w:t>
            </w:r>
          </w:p>
        </w:tc>
        <w:tc>
          <w:tcPr>
            <w:tcW w:w="8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483,065.00</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442,458.20</w:t>
            </w:r>
          </w:p>
        </w:tc>
      </w:tr>
      <w:tr>
        <w:trPr>
          <w:trHeight w:val="308" w:hRule="atLeast"/>
        </w:trPr>
        <w:tc>
          <w:tcPr>
            <w:tcW w:w="472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1．因公出国（境）费</w:t>
            </w:r>
          </w:p>
        </w:tc>
        <w:tc>
          <w:tcPr>
            <w:tcW w:w="8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rPr>
          <w:trHeight w:val="308" w:hRule="atLeast"/>
        </w:trPr>
        <w:tc>
          <w:tcPr>
            <w:tcW w:w="472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2．公务用车购置及运行维护费</w:t>
            </w:r>
          </w:p>
        </w:tc>
        <w:tc>
          <w:tcPr>
            <w:tcW w:w="8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211,665.00</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185,148.20</w:t>
            </w:r>
          </w:p>
        </w:tc>
      </w:tr>
      <w:tr>
        <w:trPr>
          <w:trHeight w:val="308" w:hRule="atLeast"/>
        </w:trPr>
        <w:tc>
          <w:tcPr>
            <w:tcW w:w="472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（1）公务用车购置费</w:t>
            </w:r>
          </w:p>
        </w:tc>
        <w:tc>
          <w:tcPr>
            <w:tcW w:w="8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rPr>
          <w:trHeight w:val="308" w:hRule="atLeast"/>
        </w:trPr>
        <w:tc>
          <w:tcPr>
            <w:tcW w:w="472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（2）公务用车运行维护费</w:t>
            </w:r>
          </w:p>
        </w:tc>
        <w:tc>
          <w:tcPr>
            <w:tcW w:w="8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211,665.00</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185,148.20</w:t>
            </w:r>
          </w:p>
        </w:tc>
      </w:tr>
      <w:tr>
        <w:trPr>
          <w:trHeight w:val="308" w:hRule="atLeast"/>
        </w:trPr>
        <w:tc>
          <w:tcPr>
            <w:tcW w:w="472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3．公务接待费</w:t>
            </w:r>
          </w:p>
        </w:tc>
        <w:tc>
          <w:tcPr>
            <w:tcW w:w="8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271,400.00</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257,310.00</w:t>
            </w:r>
          </w:p>
        </w:tc>
      </w:tr>
      <w:tr>
        <w:trPr>
          <w:trHeight w:val="308" w:hRule="atLeast"/>
        </w:trPr>
        <w:tc>
          <w:tcPr>
            <w:tcW w:w="472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（1）国内接待费</w:t>
            </w:r>
          </w:p>
        </w:tc>
        <w:tc>
          <w:tcPr>
            <w:tcW w:w="8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257,310.00</w:t>
            </w:r>
          </w:p>
        </w:tc>
      </w:tr>
      <w:tr>
        <w:trPr>
          <w:trHeight w:val="308" w:hRule="atLeast"/>
        </w:trPr>
        <w:tc>
          <w:tcPr>
            <w:tcW w:w="472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其中：外事接待费</w:t>
            </w:r>
          </w:p>
        </w:tc>
        <w:tc>
          <w:tcPr>
            <w:tcW w:w="8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rPr>
          <w:trHeight w:val="308" w:hRule="atLeast"/>
        </w:trPr>
        <w:tc>
          <w:tcPr>
            <w:tcW w:w="472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（2）国（境）外接待费</w:t>
            </w:r>
          </w:p>
        </w:tc>
        <w:tc>
          <w:tcPr>
            <w:tcW w:w="8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bl>
    <w:p>
      <w:pPr>
        <w:ind w:firstLine="640" w:firstLineChars="200"/>
        <w:rPr>
          <w:rFonts w:ascii="仿宋_GB2312" w:hAnsi="仿宋" w:eastAsia="仿宋_GB2312" w:cs="仿宋"/>
          <w:color w:val="000000"/>
          <w:sz w:val="32"/>
          <w:szCs w:val="32"/>
        </w:rPr>
      </w:pPr>
    </w:p>
    <w:tbl>
      <w:tblPr>
        <w:tblStyle w:val="4"/>
        <w:tblW w:w="0" w:type="auto"/>
        <w:tblInd w:w="98" w:type="dxa"/>
        <w:tblLayout w:type="autofit"/>
        <w:tblCellMar>
          <w:top w:w="0" w:type="dxa"/>
          <w:left w:w="108" w:type="dxa"/>
          <w:bottom w:w="0" w:type="dxa"/>
          <w:right w:w="108" w:type="dxa"/>
        </w:tblCellMar>
      </w:tblPr>
      <w:tblGrid>
        <w:gridCol w:w="4176"/>
        <w:gridCol w:w="436"/>
        <w:gridCol w:w="1206"/>
        <w:gridCol w:w="1206"/>
        <w:gridCol w:w="1107"/>
        <w:gridCol w:w="722"/>
        <w:gridCol w:w="222"/>
      </w:tblGrid>
      <w:tr>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2.“三公”经费支出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442,458.20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444,444.00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-1,985.80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-0.45</w:t>
            </w:r>
          </w:p>
        </w:tc>
        <w:tc>
          <w:tcPr>
            <w:tcW w:w="0" w:type="auto"/>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其中：因公出国（境）费</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0" w:type="auto"/>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公务用车购置及运行维护费</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185,148.20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185,400.00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-251.80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-0.14</w:t>
            </w:r>
          </w:p>
        </w:tc>
        <w:tc>
          <w:tcPr>
            <w:tcW w:w="0" w:type="auto"/>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其中：公务用车购置费</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0" w:type="auto"/>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公务用车运行维护费</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185,148.20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185,400.00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-251.80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-0.14</w:t>
            </w:r>
          </w:p>
        </w:tc>
        <w:tc>
          <w:tcPr>
            <w:tcW w:w="0" w:type="auto"/>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公务接待费</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257,310.00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259,044.00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-1,734.00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-0.67</w:t>
            </w:r>
          </w:p>
        </w:tc>
        <w:tc>
          <w:tcPr>
            <w:tcW w:w="0" w:type="auto"/>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bl>
    <w:p>
      <w:pPr>
        <w:ind w:firstLine="640" w:firstLineChars="200"/>
        <w:rPr>
          <w:rFonts w:ascii="仿宋_GB2312" w:hAnsi="仿宋" w:eastAsia="仿宋_GB2312" w:cs="仿宋"/>
          <w:color w:val="000000"/>
          <w:sz w:val="32"/>
          <w:szCs w:val="32"/>
        </w:rPr>
      </w:pPr>
    </w:p>
    <w:p>
      <w:pPr>
        <w:ind w:firstLine="709"/>
        <w:rPr>
          <w:rFonts w:hint="eastAsia" w:ascii="仿宋_GB2312" w:hAnsi="仿宋" w:eastAsia="仿宋_GB2312" w:cs="仿宋"/>
          <w:sz w:val="32"/>
          <w:szCs w:val="32"/>
        </w:rPr>
      </w:pPr>
      <w:r>
        <w:rPr>
          <w:rFonts w:hint="eastAsia" w:ascii="仿宋_GB2312" w:hAnsi="仿宋" w:eastAsia="仿宋_GB2312" w:cs="仿宋"/>
          <w:color w:val="000000"/>
          <w:sz w:val="32"/>
          <w:szCs w:val="32"/>
        </w:rPr>
        <w:t>相关的公务用车购置及保有量、因公出国（</w:t>
      </w:r>
      <w:r>
        <w:rPr>
          <w:rFonts w:hint="eastAsia" w:ascii="仿宋_GB2312" w:hAnsi="仿宋" w:eastAsia="仿宋_GB2312" w:cs="仿宋"/>
          <w:sz w:val="32"/>
          <w:szCs w:val="32"/>
        </w:rPr>
        <w:t>境）团组数及人数和公务接待批次及人数等情况：</w:t>
      </w:r>
    </w:p>
    <w:tbl>
      <w:tblPr>
        <w:tblStyle w:val="4"/>
        <w:tblW w:w="9400" w:type="dxa"/>
        <w:tblInd w:w="98" w:type="dxa"/>
        <w:tblLayout w:type="autofit"/>
        <w:tblCellMar>
          <w:top w:w="0" w:type="dxa"/>
          <w:left w:w="108" w:type="dxa"/>
          <w:bottom w:w="0" w:type="dxa"/>
          <w:right w:w="108" w:type="dxa"/>
        </w:tblCellMar>
      </w:tblPr>
      <w:tblGrid>
        <w:gridCol w:w="4720"/>
        <w:gridCol w:w="880"/>
        <w:gridCol w:w="1900"/>
        <w:gridCol w:w="1900"/>
      </w:tblGrid>
      <w:tr>
        <w:trPr>
          <w:trHeight w:val="308" w:hRule="atLeast"/>
        </w:trPr>
        <w:tc>
          <w:tcPr>
            <w:tcW w:w="472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1．因公出国（境）团组数（个）</w:t>
            </w:r>
          </w:p>
        </w:tc>
        <w:tc>
          <w:tcPr>
            <w:tcW w:w="8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w:t>
            </w:r>
          </w:p>
        </w:tc>
      </w:tr>
      <w:tr>
        <w:trPr>
          <w:trHeight w:val="308" w:hRule="atLeast"/>
        </w:trPr>
        <w:tc>
          <w:tcPr>
            <w:tcW w:w="472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2．因公出国（境）人次数（人）</w:t>
            </w:r>
          </w:p>
        </w:tc>
        <w:tc>
          <w:tcPr>
            <w:tcW w:w="8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w:t>
            </w:r>
          </w:p>
        </w:tc>
      </w:tr>
      <w:tr>
        <w:trPr>
          <w:trHeight w:val="308" w:hRule="atLeast"/>
        </w:trPr>
        <w:tc>
          <w:tcPr>
            <w:tcW w:w="472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3．公务用车购置数（辆）</w:t>
            </w:r>
          </w:p>
        </w:tc>
        <w:tc>
          <w:tcPr>
            <w:tcW w:w="8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w:t>
            </w:r>
          </w:p>
        </w:tc>
      </w:tr>
      <w:tr>
        <w:trPr>
          <w:trHeight w:val="308" w:hRule="atLeast"/>
        </w:trPr>
        <w:tc>
          <w:tcPr>
            <w:tcW w:w="472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4．公务用车保有量（辆）</w:t>
            </w:r>
          </w:p>
        </w:tc>
        <w:tc>
          <w:tcPr>
            <w:tcW w:w="8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w:t>
            </w:r>
          </w:p>
        </w:tc>
      </w:tr>
      <w:tr>
        <w:trPr>
          <w:trHeight w:val="308" w:hRule="atLeast"/>
        </w:trPr>
        <w:tc>
          <w:tcPr>
            <w:tcW w:w="472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5．国内公务接待批次（个）</w:t>
            </w:r>
          </w:p>
        </w:tc>
        <w:tc>
          <w:tcPr>
            <w:tcW w:w="8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198</w:t>
            </w:r>
          </w:p>
        </w:tc>
      </w:tr>
      <w:tr>
        <w:trPr>
          <w:trHeight w:val="308" w:hRule="atLeast"/>
        </w:trPr>
        <w:tc>
          <w:tcPr>
            <w:tcW w:w="472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其中：外事接待批次（个）</w:t>
            </w:r>
          </w:p>
        </w:tc>
        <w:tc>
          <w:tcPr>
            <w:tcW w:w="8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w:t>
            </w:r>
          </w:p>
        </w:tc>
      </w:tr>
      <w:tr>
        <w:trPr>
          <w:trHeight w:val="308" w:hRule="atLeast"/>
        </w:trPr>
        <w:tc>
          <w:tcPr>
            <w:tcW w:w="472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6．国内公务接待人次（人）</w:t>
            </w:r>
          </w:p>
        </w:tc>
        <w:tc>
          <w:tcPr>
            <w:tcW w:w="8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2,887</w:t>
            </w:r>
          </w:p>
        </w:tc>
      </w:tr>
      <w:tr>
        <w:trPr>
          <w:trHeight w:val="308" w:hRule="atLeast"/>
        </w:trPr>
        <w:tc>
          <w:tcPr>
            <w:tcW w:w="472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其中：外事接待人次（人）</w:t>
            </w:r>
          </w:p>
        </w:tc>
        <w:tc>
          <w:tcPr>
            <w:tcW w:w="8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w:t>
            </w:r>
          </w:p>
        </w:tc>
      </w:tr>
      <w:tr>
        <w:trPr>
          <w:trHeight w:val="308" w:hRule="atLeast"/>
        </w:trPr>
        <w:tc>
          <w:tcPr>
            <w:tcW w:w="472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7．国（境）外公务接待批次（个）</w:t>
            </w:r>
          </w:p>
        </w:tc>
        <w:tc>
          <w:tcPr>
            <w:tcW w:w="8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w:t>
            </w:r>
          </w:p>
        </w:tc>
      </w:tr>
      <w:tr>
        <w:trPr>
          <w:trHeight w:val="308" w:hRule="atLeast"/>
        </w:trPr>
        <w:tc>
          <w:tcPr>
            <w:tcW w:w="472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8．国（境）外公务接待人次（人）</w:t>
            </w:r>
          </w:p>
        </w:tc>
        <w:tc>
          <w:tcPr>
            <w:tcW w:w="8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1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w:t>
            </w:r>
          </w:p>
        </w:tc>
      </w:tr>
    </w:tbl>
    <w:p>
      <w:pPr>
        <w:rPr>
          <w:rFonts w:ascii="仿宋_GB2312" w:hAnsi="仿宋" w:eastAsia="仿宋_GB2312" w:cs="仿宋"/>
          <w:sz w:val="32"/>
          <w:szCs w:val="32"/>
        </w:rPr>
      </w:pPr>
    </w:p>
    <w:p>
      <w:pPr>
        <w:ind w:firstLine="709"/>
        <w:rPr>
          <w:rFonts w:hint="eastAsia" w:ascii="仿宋_GB2312" w:hAnsi="仿宋" w:eastAsia="仿宋_GB2312" w:cs="仿宋"/>
          <w:bCs/>
          <w:sz w:val="32"/>
          <w:szCs w:val="32"/>
        </w:rPr>
      </w:pPr>
      <w:r>
        <w:rPr>
          <w:rFonts w:ascii="仿宋_GB2312" w:hAnsi="仿宋" w:eastAsia="仿宋_GB2312" w:cs="仿宋"/>
          <w:bCs/>
          <w:sz w:val="32"/>
          <w:szCs w:val="32"/>
        </w:rPr>
        <w:t>8</w:t>
      </w:r>
      <w:r>
        <w:rPr>
          <w:rFonts w:hint="eastAsia" w:ascii="仿宋_GB2312" w:hAnsi="仿宋" w:eastAsia="仿宋_GB2312" w:cs="仿宋"/>
          <w:bCs/>
          <w:sz w:val="32"/>
          <w:szCs w:val="32"/>
        </w:rPr>
        <w:t>.行政单位、参照公务员法管理的事业单位机关运行经费支出情况，以及与上年数对比变动原因说明：</w:t>
      </w:r>
    </w:p>
    <w:tbl>
      <w:tblPr>
        <w:tblStyle w:val="4"/>
        <w:tblW w:w="5000" w:type="pct"/>
        <w:tblInd w:w="0" w:type="dxa"/>
        <w:tblLayout w:type="autofit"/>
        <w:tblCellMar>
          <w:top w:w="0" w:type="dxa"/>
          <w:left w:w="108" w:type="dxa"/>
          <w:bottom w:w="0" w:type="dxa"/>
          <w:right w:w="108" w:type="dxa"/>
        </w:tblCellMar>
      </w:tblPr>
      <w:tblGrid>
        <w:gridCol w:w="3682"/>
        <w:gridCol w:w="436"/>
        <w:gridCol w:w="1371"/>
        <w:gridCol w:w="1371"/>
        <w:gridCol w:w="1166"/>
        <w:gridCol w:w="1166"/>
        <w:gridCol w:w="1796"/>
      </w:tblGrid>
      <w:tr>
        <w:trPr>
          <w:trHeight w:val="308" w:hRule="atLeast"/>
        </w:trPr>
        <w:tc>
          <w:tcPr>
            <w:tcW w:w="1712"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5.机关运行经费</w:t>
            </w:r>
          </w:p>
        </w:tc>
        <w:tc>
          <w:tcPr>
            <w:tcW w:w="16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5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1,145,992.01</w:t>
            </w:r>
          </w:p>
        </w:tc>
        <w:tc>
          <w:tcPr>
            <w:tcW w:w="5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1,107,594.34</w:t>
            </w:r>
          </w:p>
        </w:tc>
        <w:tc>
          <w:tcPr>
            <w:tcW w:w="5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38,397.67</w:t>
            </w:r>
          </w:p>
        </w:tc>
        <w:tc>
          <w:tcPr>
            <w:tcW w:w="5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3.47</w:t>
            </w:r>
          </w:p>
        </w:tc>
        <w:tc>
          <w:tcPr>
            <w:tcW w:w="853" w:type="pct"/>
            <w:tcBorders>
              <w:top w:val="nil"/>
              <w:left w:val="nil"/>
              <w:bottom w:val="single" w:color="000000" w:sz="4" w:space="0"/>
              <w:right w:val="single" w:color="000000" w:sz="8"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bl>
    <w:p>
      <w:pPr>
        <w:rPr>
          <w:rFonts w:ascii="仿宋_GB2312" w:hAnsi="仿宋" w:eastAsia="仿宋_GB2312" w:cs="仿宋"/>
          <w:bCs/>
          <w:sz w:val="32"/>
          <w:szCs w:val="32"/>
        </w:rPr>
      </w:pPr>
    </w:p>
    <w:p>
      <w:pPr>
        <w:ind w:firstLine="709"/>
        <w:rPr>
          <w:rFonts w:ascii="仿宋_GB2312" w:hAnsi="仿宋" w:eastAsia="仿宋_GB2312" w:cs="仿宋"/>
          <w:bCs/>
          <w:sz w:val="32"/>
          <w:szCs w:val="32"/>
        </w:rPr>
      </w:pPr>
      <w:r>
        <w:rPr>
          <w:rFonts w:ascii="仿宋_GB2312" w:hAnsi="仿宋" w:eastAsia="仿宋_GB2312" w:cs="仿宋"/>
          <w:bCs/>
          <w:sz w:val="32"/>
          <w:szCs w:val="32"/>
        </w:rPr>
        <w:t>9</w:t>
      </w:r>
      <w:r>
        <w:rPr>
          <w:rFonts w:hint="eastAsia" w:ascii="仿宋_GB2312" w:hAnsi="仿宋" w:eastAsia="仿宋_GB2312" w:cs="仿宋"/>
          <w:bCs/>
          <w:sz w:val="32"/>
          <w:szCs w:val="32"/>
        </w:rPr>
        <w:t>.住房公积金管理中心住房公积金业务收支情况（住房</w:t>
      </w:r>
      <w:r>
        <w:rPr>
          <w:rFonts w:ascii="仿宋_GB2312" w:hAnsi="仿宋" w:eastAsia="仿宋_GB2312" w:cs="仿宋"/>
          <w:bCs/>
          <w:sz w:val="32"/>
          <w:szCs w:val="32"/>
        </w:rPr>
        <w:t>公积金中心填报</w:t>
      </w:r>
      <w:r>
        <w:rPr>
          <w:rFonts w:hint="eastAsia" w:ascii="仿宋_GB2312" w:hAnsi="仿宋" w:eastAsia="仿宋_GB2312" w:cs="仿宋"/>
          <w:bCs/>
          <w:sz w:val="32"/>
          <w:szCs w:val="32"/>
        </w:rPr>
        <w:t>）。</w:t>
      </w:r>
    </w:p>
    <w:p>
      <w:pPr>
        <w:spacing w:line="594" w:lineRule="exact"/>
        <w:ind w:firstLine="709"/>
        <w:rPr>
          <w:rFonts w:ascii="仿宋_GB2312" w:hAnsi="仿宋" w:eastAsia="仿宋_GB2312" w:cs="仿宋"/>
          <w:bCs/>
          <w:sz w:val="32"/>
          <w:szCs w:val="32"/>
        </w:rPr>
      </w:pPr>
      <w:r>
        <w:rPr>
          <w:rFonts w:hint="eastAsia" w:ascii="仿宋_GB2312" w:hAnsi="仿宋" w:eastAsia="仿宋_GB2312" w:cs="仿宋"/>
          <w:bCs/>
          <w:sz w:val="32"/>
          <w:szCs w:val="32"/>
        </w:rPr>
        <w:t>10.本单位编外</w:t>
      </w:r>
      <w:r>
        <w:rPr>
          <w:rFonts w:ascii="仿宋_GB2312" w:hAnsi="仿宋" w:eastAsia="仿宋_GB2312" w:cs="仿宋"/>
          <w:bCs/>
          <w:sz w:val="32"/>
          <w:szCs w:val="32"/>
        </w:rPr>
        <w:t>长聘人员。</w:t>
      </w:r>
      <w:r>
        <w:rPr>
          <w:rFonts w:hint="eastAsia" w:ascii="仿宋_GB2312" w:hAnsi="仿宋" w:eastAsia="仿宋_GB2312" w:cs="仿宋"/>
          <w:bCs/>
          <w:sz w:val="32"/>
          <w:szCs w:val="32"/>
        </w:rPr>
        <w:t>（无此情况）</w:t>
      </w:r>
    </w:p>
    <w:p>
      <w:pPr>
        <w:spacing w:line="594" w:lineRule="exact"/>
        <w:ind w:firstLine="709"/>
        <w:rPr>
          <w:rFonts w:ascii="仿宋_GB2312" w:hAnsi="仿宋" w:eastAsia="仿宋_GB2312" w:cs="仿宋"/>
          <w:color w:val="000000"/>
          <w:sz w:val="32"/>
          <w:szCs w:val="32"/>
        </w:rPr>
      </w:pPr>
      <w:r>
        <w:rPr>
          <w:rFonts w:hint="eastAsia" w:ascii="仿宋_GB2312" w:hAnsi="仿宋" w:eastAsia="仿宋_GB2312" w:cs="仿宋"/>
          <w:bCs/>
          <w:sz w:val="32"/>
          <w:szCs w:val="32"/>
        </w:rPr>
        <w:t>11.</w:t>
      </w:r>
      <w:r>
        <w:rPr>
          <w:rFonts w:hint="eastAsia" w:ascii="仿宋_GB2312" w:hAnsi="仿宋" w:eastAsia="仿宋_GB2312" w:cs="仿宋"/>
          <w:color w:val="000000"/>
          <w:sz w:val="32"/>
          <w:szCs w:val="32"/>
        </w:rPr>
        <w:t>有关国有资本经营预算收支情况说明：（无此情况）</w:t>
      </w:r>
    </w:p>
    <w:p>
      <w:pPr>
        <w:ind w:firstLine="709"/>
        <w:rPr>
          <w:rFonts w:ascii="黑体" w:hAnsi="黑体" w:eastAsia="黑体" w:cs="黑体"/>
          <w:color w:val="000000"/>
          <w:sz w:val="32"/>
          <w:szCs w:val="32"/>
        </w:rPr>
      </w:pPr>
      <w:r>
        <w:rPr>
          <w:rFonts w:hint="eastAsia" w:ascii="黑体" w:hAnsi="黑体" w:eastAsia="黑体" w:cs="黑体"/>
          <w:color w:val="000000"/>
          <w:sz w:val="32"/>
          <w:szCs w:val="32"/>
        </w:rPr>
        <w:t>六、调整预算数备案说明</w:t>
      </w:r>
    </w:p>
    <w:p>
      <w:pPr>
        <w:spacing w:line="594" w:lineRule="exact"/>
        <w:ind w:firstLine="709"/>
        <w:rPr>
          <w:rFonts w:ascii="仿宋_GB2312" w:hAnsi="仿宋" w:eastAsia="仿宋_GB2312" w:cs="仿宋"/>
          <w:color w:val="000000"/>
          <w:sz w:val="32"/>
          <w:szCs w:val="32"/>
        </w:rPr>
      </w:pPr>
      <w:r>
        <w:rPr>
          <w:rFonts w:hint="eastAsia" w:ascii="仿宋_GB2312" w:hAnsi="仿宋" w:eastAsia="仿宋_GB2312" w:cs="仿宋"/>
          <w:bCs/>
          <w:sz w:val="32"/>
          <w:szCs w:val="32"/>
        </w:rPr>
        <w:t>“收入支出决算总表”中如调整预算数大于年初预算数：</w:t>
      </w:r>
      <w:r>
        <w:rPr>
          <w:rFonts w:hint="eastAsia" w:ascii="仿宋_GB2312" w:hAnsi="仿宋" w:eastAsia="仿宋_GB2312" w:cs="仿宋"/>
          <w:sz w:val="32"/>
          <w:szCs w:val="32"/>
        </w:rPr>
        <w:t>主要为1-6月财政拨款预算调整，文件依据：丰财预[2021]11号、丰财农[2021]11号、丰财建[2021]49号等。</w:t>
      </w:r>
    </w:p>
    <w:p>
      <w:pPr>
        <w:ind w:firstLine="709"/>
        <w:rPr>
          <w:rFonts w:ascii="黑体" w:hAnsi="黑体" w:eastAsia="黑体" w:cs="黑体"/>
          <w:color w:val="000000"/>
          <w:sz w:val="32"/>
          <w:szCs w:val="32"/>
        </w:rPr>
      </w:pPr>
      <w:r>
        <w:rPr>
          <w:rFonts w:hint="eastAsia" w:ascii="黑体" w:hAnsi="黑体" w:eastAsia="黑体" w:cs="黑体"/>
          <w:color w:val="000000"/>
          <w:sz w:val="32"/>
          <w:szCs w:val="32"/>
        </w:rPr>
        <w:t>七、预算绩效管理工作开展情况</w:t>
      </w:r>
    </w:p>
    <w:p>
      <w:pPr>
        <w:ind w:firstLine="709"/>
        <w:rPr>
          <w:rFonts w:ascii="仿宋_GB2312" w:hAnsi="仿宋" w:eastAsia="仿宋_GB2312" w:cs="仿宋"/>
          <w:bCs/>
          <w:sz w:val="32"/>
          <w:szCs w:val="32"/>
        </w:rPr>
      </w:pPr>
      <w:r>
        <w:rPr>
          <w:rFonts w:hint="eastAsia" w:ascii="仿宋_GB2312" w:hAnsi="仿宋" w:eastAsia="仿宋_GB2312" w:cs="仿宋"/>
          <w:bCs/>
          <w:sz w:val="32"/>
          <w:szCs w:val="32"/>
        </w:rPr>
        <w:t>认真贯彻落实《</w:t>
      </w:r>
      <w:r>
        <w:rPr>
          <w:rFonts w:hint="eastAsia" w:ascii="仿宋_GB2312" w:hAnsi="仿宋" w:eastAsia="仿宋_GB2312" w:cs="仿宋"/>
          <w:bCs/>
          <w:sz w:val="32"/>
          <w:szCs w:val="32"/>
          <w:lang w:eastAsia="zh-CN"/>
        </w:rPr>
        <w:t>中华人民共和国</w:t>
      </w:r>
      <w:r>
        <w:rPr>
          <w:rFonts w:hint="eastAsia" w:ascii="仿宋_GB2312" w:hAnsi="仿宋" w:eastAsia="仿宋_GB2312" w:cs="仿宋"/>
          <w:bCs/>
          <w:sz w:val="32"/>
          <w:szCs w:val="32"/>
        </w:rPr>
        <w:t>预算法》预算绩效管理方面的规定及关于推进预算绩效管理改革各项要求的情况，围绕“预算编制有目标、预算执行有监控、预算完成有评价、评价结果</w:t>
      </w:r>
      <w:bookmarkStart w:id="1" w:name="_GoBack"/>
      <w:r>
        <w:rPr>
          <w:rFonts w:hint="eastAsia" w:ascii="仿宋_GB2312" w:hAnsi="仿宋" w:eastAsia="仿宋_GB2312" w:cs="仿宋"/>
          <w:bCs/>
          <w:sz w:val="32"/>
          <w:szCs w:val="32"/>
        </w:rPr>
        <w:t>有</w:t>
      </w:r>
      <w:bookmarkEnd w:id="1"/>
      <w:r>
        <w:rPr>
          <w:rFonts w:hint="eastAsia" w:ascii="仿宋_GB2312" w:hAnsi="仿宋" w:eastAsia="仿宋_GB2312" w:cs="仿宋"/>
          <w:bCs/>
          <w:sz w:val="32"/>
          <w:szCs w:val="32"/>
        </w:rPr>
        <w:t>反馈、反馈结果有应用”开展工作。存在的困难和问题：绩效内容的编制以及相关的流程需进一步熟悉，质量需进一步提高，在以后的工作，需上级加强业务的培训和指导。</w:t>
      </w:r>
    </w:p>
    <w:p>
      <w:pPr>
        <w:numPr>
          <w:ilvl w:val="0"/>
          <w:numId w:val="1"/>
        </w:numPr>
        <w:ind w:firstLine="709"/>
        <w:rPr>
          <w:rFonts w:ascii="黑体" w:hAnsi="黑体" w:eastAsia="黑体" w:cs="黑体"/>
          <w:color w:val="000000"/>
          <w:sz w:val="32"/>
          <w:szCs w:val="32"/>
        </w:rPr>
      </w:pPr>
      <w:r>
        <w:rPr>
          <w:rFonts w:hint="eastAsia" w:ascii="黑体" w:hAnsi="黑体" w:eastAsia="黑体" w:cs="黑体"/>
          <w:color w:val="000000"/>
          <w:sz w:val="32"/>
          <w:szCs w:val="32"/>
        </w:rPr>
        <w:t>其他需要说明的情况</w:t>
      </w:r>
      <w:bookmarkStart w:id="0" w:name="YS060305"/>
      <w:r>
        <w:rPr>
          <w:rFonts w:hint="eastAsia" w:ascii="黑体" w:hAnsi="黑体" w:eastAsia="黑体" w:cs="黑体"/>
          <w:color w:val="000000"/>
          <w:sz w:val="32"/>
          <w:szCs w:val="32"/>
        </w:rPr>
        <w:t>：无</w:t>
      </w:r>
    </w:p>
    <w:bookmarkEnd w:id="0"/>
    <w:p>
      <w:pPr>
        <w:rPr>
          <w:rFonts w:ascii="仿宋_GB2312" w:hAnsi="仿宋" w:eastAsia="仿宋_GB2312" w:cs="仿宋"/>
          <w:bCs/>
          <w:sz w:val="32"/>
          <w:szCs w:val="32"/>
        </w:rPr>
      </w:pPr>
    </w:p>
    <w:p>
      <w:pPr>
        <w:rPr>
          <w:rFonts w:ascii="仿宋_GB2312" w:hAnsi="仿宋" w:eastAsia="仿宋_GB2312" w:cs="仿宋"/>
          <w:bCs/>
          <w:sz w:val="32"/>
          <w:szCs w:val="32"/>
        </w:rPr>
      </w:pPr>
    </w:p>
    <w:p>
      <w:pPr>
        <w:ind w:firstLine="6400" w:firstLineChars="2000"/>
        <w:rPr>
          <w:rFonts w:ascii="仿宋_GB2312" w:hAnsi="仿宋" w:eastAsia="仿宋_GB2312" w:cs="仿宋"/>
          <w:bCs/>
          <w:sz w:val="32"/>
          <w:szCs w:val="32"/>
        </w:rPr>
      </w:pPr>
      <w:r>
        <w:rPr>
          <w:rFonts w:hint="eastAsia" w:ascii="仿宋_GB2312" w:hAnsi="仿宋" w:eastAsia="仿宋_GB2312" w:cs="仿宋"/>
          <w:bCs/>
          <w:sz w:val="32"/>
          <w:szCs w:val="32"/>
        </w:rPr>
        <w:t>丰都县三元镇人民政府</w:t>
      </w:r>
    </w:p>
    <w:p>
      <w:pPr>
        <w:ind w:firstLine="7040" w:firstLineChars="2200"/>
        <w:rPr>
          <w:rFonts w:ascii="仿宋_GB2312" w:hAnsi="仿宋" w:eastAsia="仿宋_GB2312" w:cs="仿宋"/>
          <w:bCs/>
          <w:sz w:val="32"/>
          <w:szCs w:val="32"/>
        </w:rPr>
      </w:pPr>
      <w:r>
        <w:rPr>
          <w:rFonts w:hint="eastAsia" w:ascii="仿宋_GB2312" w:hAnsi="仿宋" w:eastAsia="仿宋_GB2312" w:cs="仿宋"/>
          <w:bCs/>
          <w:sz w:val="32"/>
          <w:szCs w:val="32"/>
        </w:rPr>
        <w:t>2022年1月23日</w:t>
      </w:r>
    </w:p>
    <w:p>
      <w:pPr>
        <w:rPr>
          <w:rFonts w:ascii="仿宋_GB2312" w:hAnsi="仿宋" w:eastAsia="仿宋_GB2312" w:cs="仿宋"/>
          <w:color w:val="000000"/>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567" w:bottom="1440"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MS Sans Serif">
    <w:altName w:val="Noto Sans CJK JP Regular"/>
    <w:panose1 w:val="020B0500000000000000"/>
    <w:charset w:val="00"/>
    <w:family w:val="auto"/>
    <w:pitch w:val="default"/>
    <w:sig w:usb0="00000000" w:usb1="00000000" w:usb2="00000000" w:usb3="00000000" w:csb0="00000000"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altName w:val="方正仿宋_GBK"/>
    <w:panose1 w:val="00000000000000000000"/>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方正楷体_GBK"/>
    <w:panose1 w:val="00000000000000000000"/>
    <w:charset w:val="86"/>
    <w:family w:val="modern"/>
    <w:pitch w:val="default"/>
    <w:sig w:usb0="00000000" w:usb1="00000000" w:usb2="00000010" w:usb3="00000000" w:csb0="00040000" w:csb1="00000000"/>
  </w:font>
  <w:font w:name="Arial">
    <w:altName w:val="Times New Roman"/>
    <w:panose1 w:val="020B0604020202020204"/>
    <w:charset w:val="00"/>
    <w:family w:val="swiss"/>
    <w:pitch w:val="default"/>
    <w:sig w:usb0="00000000" w:usb1="00000000" w:usb2="00000009" w:usb3="00000000" w:csb0="000001FF"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FFC841"/>
    <w:multiLevelType w:val="singleLevel"/>
    <w:tmpl w:val="77FFC841"/>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253E4"/>
    <w:rsid w:val="0031736D"/>
    <w:rsid w:val="004E1369"/>
    <w:rsid w:val="009253E4"/>
    <w:rsid w:val="00EE783A"/>
    <w:rsid w:val="00EF74D9"/>
    <w:rsid w:val="125455FE"/>
    <w:rsid w:val="2CEF0DE7"/>
    <w:rsid w:val="400A0E71"/>
    <w:rsid w:val="4A2F2C5A"/>
    <w:rsid w:val="61126913"/>
    <w:rsid w:val="FFE3EB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font21"/>
    <w:basedOn w:val="5"/>
    <w:qFormat/>
    <w:uiPriority w:val="0"/>
    <w:rPr>
      <w:rFonts w:hint="eastAsia" w:ascii="宋体" w:hAnsi="宋体" w:eastAsia="宋体" w:cs="宋体"/>
      <w:color w:val="000000"/>
      <w:sz w:val="16"/>
      <w:szCs w:val="16"/>
      <w:u w:val="none"/>
    </w:rPr>
  </w:style>
  <w:style w:type="character" w:customStyle="1" w:styleId="7">
    <w:name w:val="font01"/>
    <w:basedOn w:val="5"/>
    <w:qFormat/>
    <w:uiPriority w:val="0"/>
    <w:rPr>
      <w:rFonts w:hint="default" w:ascii="MS Sans Serif" w:hAnsi="MS Sans Serif" w:eastAsia="MS Sans Serif" w:cs="MS Sans Serif"/>
      <w:color w:val="000000"/>
      <w:sz w:val="16"/>
      <w:szCs w:val="16"/>
      <w:u w:val="none"/>
    </w:rPr>
  </w:style>
  <w:style w:type="character" w:customStyle="1" w:styleId="8">
    <w:name w:val="页眉 Char"/>
    <w:basedOn w:val="5"/>
    <w:link w:val="3"/>
    <w:qFormat/>
    <w:uiPriority w:val="0"/>
    <w:rPr>
      <w:rFonts w:ascii="Calibri" w:hAnsi="Calibri" w:cs="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1311</Words>
  <Characters>7474</Characters>
  <Lines>62</Lines>
  <Paragraphs>17</Paragraphs>
  <TotalTime>27</TotalTime>
  <ScaleCrop>false</ScaleCrop>
  <LinksUpToDate>false</LinksUpToDate>
  <CharactersWithSpaces>8768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fd</dc:creator>
  <cp:lastModifiedBy>三元镇机要秘书</cp:lastModifiedBy>
  <dcterms:modified xsi:type="dcterms:W3CDTF">2023-12-06T18:28:37Z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