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方正小标宋简体" w:hAnsi="方正小标宋简体" w:eastAsia="方正小标宋简体" w:cs="方正小标宋简体"/>
          <w:color w:val="auto"/>
          <w:sz w:val="44"/>
          <w:szCs w:val="44"/>
          <w:lang w:eastAsia="zh-CN"/>
        </w:rPr>
      </w:pPr>
      <w:bookmarkStart w:id="0" w:name="YS040100"/>
      <w:r>
        <w:rPr>
          <w:rFonts w:hint="eastAsia" w:ascii="方正小标宋简体" w:hAnsi="方正小标宋简体" w:eastAsia="方正小标宋简体" w:cs="方正小标宋简体"/>
          <w:color w:val="auto"/>
          <w:sz w:val="44"/>
          <w:szCs w:val="44"/>
          <w:lang w:eastAsia="zh-CN"/>
        </w:rPr>
        <w:t>丰都县三元镇人民政府</w:t>
      </w:r>
    </w:p>
    <w:bookmarkEnd w:id="0"/>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方正小标宋简体" w:hAnsi="方正小标宋简体" w:eastAsia="方正小标宋简体" w:cs="方正小标宋简体"/>
          <w:color w:val="auto"/>
          <w:kern w:val="0"/>
          <w:sz w:val="44"/>
          <w:szCs w:val="44"/>
        </w:rPr>
      </w:pPr>
      <w:r>
        <w:rPr>
          <w:rFonts w:hint="eastAsia" w:ascii="方正小标宋简体" w:hAnsi="方正小标宋简体" w:eastAsia="方正小标宋简体" w:cs="方正小标宋简体"/>
          <w:color w:val="auto"/>
          <w:sz w:val="44"/>
          <w:szCs w:val="44"/>
        </w:rPr>
        <w:t>2019年度部门决算报表填报说明</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黑体" w:hAnsi="黑体" w:eastAsia="黑体" w:cs="黑体"/>
          <w:color w:val="auto"/>
          <w:sz w:val="32"/>
          <w:szCs w:val="32"/>
        </w:rPr>
      </w:pP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ascii="黑体" w:hAnsi="黑体" w:eastAsia="黑体" w:cs="黑体"/>
          <w:color w:val="auto"/>
          <w:sz w:val="32"/>
          <w:szCs w:val="32"/>
        </w:rPr>
      </w:pPr>
      <w:r>
        <w:rPr>
          <w:rFonts w:hint="eastAsia" w:ascii="黑体" w:hAnsi="黑体" w:eastAsia="黑体" w:cs="黑体"/>
          <w:color w:val="auto"/>
          <w:sz w:val="32"/>
          <w:szCs w:val="32"/>
        </w:rPr>
        <w:t>一、决算信息来源说明</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ascii="仿宋_GB2312" w:hAnsi="仿宋" w:eastAsia="仿宋_GB2312" w:cs="仿宋"/>
          <w:bCs/>
          <w:color w:val="auto"/>
          <w:sz w:val="32"/>
          <w:szCs w:val="32"/>
        </w:rPr>
      </w:pPr>
      <w:r>
        <w:rPr>
          <w:rFonts w:hint="eastAsia" w:ascii="仿宋_GB2312" w:hAnsi="仿宋" w:eastAsia="仿宋_GB2312" w:cs="仿宋"/>
          <w:bCs/>
          <w:color w:val="auto"/>
          <w:sz w:val="32"/>
          <w:szCs w:val="32"/>
        </w:rPr>
        <w:t>本套决算依据本单位登记完整、核对无误的账簿记录和其他有关会计核算资料编制，账</w:t>
      </w:r>
      <w:bookmarkStart w:id="2" w:name="_GoBack"/>
      <w:bookmarkEnd w:id="2"/>
      <w:r>
        <w:rPr>
          <w:rFonts w:hint="eastAsia" w:ascii="仿宋_GB2312" w:hAnsi="仿宋" w:eastAsia="仿宋_GB2312" w:cs="仿宋"/>
          <w:bCs/>
          <w:color w:val="auto"/>
          <w:sz w:val="32"/>
          <w:szCs w:val="32"/>
        </w:rPr>
        <w:t>证相符、账实相符、账表相符、表表相符，真实、准确、完整地反映了本单位预算执行结果和财务状况。</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ascii="仿宋_GB2312" w:hAnsi="仿宋" w:eastAsia="仿宋_GB2312" w:cs="黑体"/>
          <w:color w:val="auto"/>
          <w:sz w:val="32"/>
          <w:szCs w:val="32"/>
        </w:rPr>
      </w:pPr>
      <w:r>
        <w:rPr>
          <w:rFonts w:hint="eastAsia" w:ascii="仿宋_GB2312" w:hAnsi="仿宋" w:eastAsia="仿宋_GB2312"/>
          <w:color w:val="auto"/>
          <w:sz w:val="32"/>
          <w:szCs w:val="32"/>
        </w:rPr>
        <w:t>（一）本套决算主表数据主要依据本单位会计账簿总账及明细账数据填列，预算数据依据本单位预、决算批复文件及预算调整文件填列。</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ascii="仿宋_GB2312" w:hAnsi="仿宋" w:eastAsia="仿宋_GB2312"/>
          <w:color w:val="auto"/>
          <w:sz w:val="32"/>
          <w:szCs w:val="32"/>
        </w:rPr>
      </w:pPr>
      <w:r>
        <w:rPr>
          <w:rFonts w:hint="eastAsia" w:ascii="仿宋_GB2312" w:hAnsi="仿宋" w:eastAsia="仿宋_GB2312"/>
          <w:color w:val="auto"/>
          <w:sz w:val="32"/>
          <w:szCs w:val="32"/>
        </w:rPr>
        <w:t>（二）本套决算附表数据主要依据本单位会计账簿、资产、人事台账及相关资料填列。</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ascii="黑体" w:hAnsi="黑体" w:eastAsia="黑体" w:cs="黑体"/>
          <w:color w:val="auto"/>
          <w:sz w:val="32"/>
          <w:szCs w:val="32"/>
        </w:rPr>
      </w:pPr>
      <w:r>
        <w:rPr>
          <w:rFonts w:hint="eastAsia" w:ascii="黑体" w:hAnsi="黑体" w:eastAsia="黑体" w:cs="黑体"/>
          <w:color w:val="auto"/>
          <w:sz w:val="32"/>
          <w:szCs w:val="32"/>
        </w:rPr>
        <w:t>二、决算汇编基本情况</w:t>
      </w:r>
    </w:p>
    <w:p>
      <w:pPr>
        <w:keepNext w:val="0"/>
        <w:keepLines w:val="0"/>
        <w:pageBreakBefore w:val="0"/>
        <w:widowControl w:val="0"/>
        <w:kinsoku/>
        <w:wordWrap/>
        <w:overflowPunct/>
        <w:topLinePunct w:val="0"/>
        <w:autoSpaceDE/>
        <w:autoSpaceDN/>
        <w:bidi w:val="0"/>
        <w:adjustRightInd/>
        <w:snapToGrid/>
        <w:spacing w:line="594" w:lineRule="exact"/>
        <w:ind w:firstLine="643" w:firstLineChars="200"/>
        <w:textAlignment w:val="auto"/>
        <w:rPr>
          <w:rFonts w:ascii="楷体_GB2312" w:hAnsi="Times New Roman" w:eastAsia="楷体_GB2312" w:cs="Times New Roman"/>
          <w:b/>
          <w:color w:val="auto"/>
          <w:sz w:val="32"/>
          <w:szCs w:val="32"/>
        </w:rPr>
      </w:pPr>
      <w:r>
        <w:rPr>
          <w:rFonts w:hint="eastAsia" w:ascii="楷体_GB2312" w:hAnsi="仿宋" w:eastAsia="楷体_GB2312" w:cs="仿宋"/>
          <w:b/>
          <w:color w:val="auto"/>
          <w:sz w:val="32"/>
          <w:szCs w:val="32"/>
        </w:rPr>
        <w:t>（一）部门机构情况说明。</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ascii="仿宋_GB2312" w:hAnsi="仿宋" w:eastAsia="仿宋_GB2312" w:cs="Times New Roman"/>
          <w:color w:val="auto"/>
          <w:sz w:val="32"/>
          <w:szCs w:val="32"/>
        </w:rPr>
      </w:pPr>
      <w:r>
        <w:rPr>
          <w:rFonts w:hint="eastAsia" w:ascii="仿宋_GB2312" w:eastAsia="仿宋_GB2312" w:cs="Times New Roman"/>
          <w:color w:val="auto"/>
          <w:sz w:val="32"/>
          <w:szCs w:val="32"/>
          <w:u w:val="single"/>
        </w:rPr>
        <w:t> </w:t>
      </w:r>
      <w:r>
        <w:rPr>
          <w:rFonts w:hint="eastAsia" w:ascii="仿宋_GB2312" w:eastAsia="仿宋_GB2312" w:cs="Times New Roman"/>
          <w:color w:val="auto"/>
          <w:sz w:val="32"/>
          <w:szCs w:val="32"/>
          <w:u w:val="single"/>
          <w:lang w:val="en-US" w:eastAsia="zh-CN"/>
        </w:rPr>
        <w:t>2019</w:t>
      </w:r>
      <w:r>
        <w:rPr>
          <w:rFonts w:hint="eastAsia" w:ascii="仿宋_GB2312" w:eastAsia="仿宋_GB2312" w:cs="Times New Roman"/>
          <w:color w:val="auto"/>
          <w:sz w:val="32"/>
          <w:szCs w:val="32"/>
          <w:u w:val="single"/>
        </w:rPr>
        <w:t> </w:t>
      </w:r>
      <w:r>
        <w:rPr>
          <w:rFonts w:hint="eastAsia" w:ascii="仿宋_GB2312" w:hAnsi="仿宋" w:eastAsia="仿宋_GB2312" w:cs="仿宋"/>
          <w:color w:val="auto"/>
          <w:sz w:val="32"/>
          <w:szCs w:val="32"/>
        </w:rPr>
        <w:t>年度，纳入本部门决算汇编范围的独立核算单位共</w:t>
      </w:r>
      <w:r>
        <w:rPr>
          <w:rFonts w:hint="eastAsia" w:ascii="仿宋_GB2312" w:eastAsia="仿宋_GB2312" w:cs="Times New Roman"/>
          <w:color w:val="auto"/>
          <w:sz w:val="32"/>
          <w:szCs w:val="32"/>
          <w:u w:val="single"/>
        </w:rPr>
        <w:t>  </w:t>
      </w:r>
      <w:r>
        <w:rPr>
          <w:rFonts w:hint="eastAsia" w:ascii="仿宋_GB2312" w:eastAsia="仿宋_GB2312" w:cs="Times New Roman"/>
          <w:color w:val="auto"/>
          <w:sz w:val="32"/>
          <w:szCs w:val="32"/>
          <w:u w:val="single"/>
          <w:lang w:val="en-US" w:eastAsia="zh-CN"/>
        </w:rPr>
        <w:t>1</w:t>
      </w:r>
      <w:r>
        <w:rPr>
          <w:rFonts w:hint="eastAsia" w:ascii="仿宋_GB2312" w:eastAsia="仿宋_GB2312" w:cs="Times New Roman"/>
          <w:color w:val="auto"/>
          <w:sz w:val="32"/>
          <w:szCs w:val="32"/>
          <w:u w:val="single"/>
        </w:rPr>
        <w:t>  </w:t>
      </w:r>
      <w:r>
        <w:rPr>
          <w:rFonts w:hint="eastAsia" w:ascii="仿宋_GB2312" w:hAnsi="仿宋" w:eastAsia="仿宋_GB2312" w:cs="仿宋"/>
          <w:color w:val="auto"/>
          <w:sz w:val="32"/>
          <w:szCs w:val="32"/>
        </w:rPr>
        <w:t>个，比上年增减</w:t>
      </w:r>
      <w:r>
        <w:rPr>
          <w:rFonts w:hint="eastAsia" w:ascii="仿宋_GB2312" w:eastAsia="仿宋_GB2312" w:cs="Times New Roman"/>
          <w:color w:val="auto"/>
          <w:sz w:val="32"/>
          <w:szCs w:val="32"/>
          <w:u w:val="single"/>
        </w:rPr>
        <w:t>   </w:t>
      </w:r>
      <w:r>
        <w:rPr>
          <w:rFonts w:hint="eastAsia" w:ascii="仿宋_GB2312" w:eastAsia="仿宋_GB2312" w:cs="Times New Roman"/>
          <w:color w:val="auto"/>
          <w:sz w:val="32"/>
          <w:szCs w:val="32"/>
          <w:u w:val="single"/>
          <w:lang w:val="en-US" w:eastAsia="zh-CN"/>
        </w:rPr>
        <w:t>0</w:t>
      </w:r>
      <w:r>
        <w:rPr>
          <w:rFonts w:hint="eastAsia" w:ascii="仿宋_GB2312" w:eastAsia="仿宋_GB2312" w:cs="Times New Roman"/>
          <w:color w:val="auto"/>
          <w:sz w:val="32"/>
          <w:szCs w:val="32"/>
          <w:u w:val="single"/>
        </w:rPr>
        <w:t>   </w:t>
      </w:r>
      <w:r>
        <w:rPr>
          <w:rFonts w:hint="eastAsia" w:ascii="仿宋_GB2312" w:hAnsi="仿宋" w:eastAsia="仿宋_GB2312" w:cs="仿宋"/>
          <w:color w:val="auto"/>
          <w:sz w:val="32"/>
          <w:szCs w:val="32"/>
        </w:rPr>
        <w:t>个，分类说明如下：</w:t>
      </w:r>
    </w:p>
    <w:tbl>
      <w:tblPr>
        <w:tblStyle w:val="5"/>
        <w:tblW w:w="8528" w:type="dxa"/>
        <w:tblInd w:w="2" w:type="dxa"/>
        <w:tblLayout w:type="fixed"/>
        <w:tblCellMar>
          <w:top w:w="0" w:type="dxa"/>
          <w:left w:w="0" w:type="dxa"/>
          <w:bottom w:w="0" w:type="dxa"/>
          <w:right w:w="0" w:type="dxa"/>
        </w:tblCellMar>
      </w:tblPr>
      <w:tblGrid>
        <w:gridCol w:w="2928"/>
        <w:gridCol w:w="1034"/>
        <w:gridCol w:w="1106"/>
        <w:gridCol w:w="3460"/>
      </w:tblGrid>
      <w:tr>
        <w:tblPrEx>
          <w:tblLayout w:type="fixed"/>
          <w:tblCellMar>
            <w:top w:w="0" w:type="dxa"/>
            <w:left w:w="0" w:type="dxa"/>
            <w:bottom w:w="0" w:type="dxa"/>
            <w:right w:w="0" w:type="dxa"/>
          </w:tblCellMar>
        </w:tblPrEx>
        <w:trPr>
          <w:trHeight w:val="70" w:hRule="atLeast"/>
        </w:trPr>
        <w:tc>
          <w:tcPr>
            <w:tcW w:w="292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70" w:lineRule="atLeast"/>
              <w:jc w:val="center"/>
              <w:rPr>
                <w:rFonts w:ascii="仿宋_GB2312" w:hAnsi="仿宋" w:eastAsia="仿宋_GB2312" w:cs="Times New Roman"/>
                <w:color w:val="auto"/>
                <w:sz w:val="24"/>
                <w:szCs w:val="32"/>
              </w:rPr>
            </w:pPr>
            <w:r>
              <w:rPr>
                <w:rFonts w:hint="eastAsia" w:ascii="仿宋_GB2312" w:hAnsi="仿宋" w:eastAsia="仿宋_GB2312" w:cs="仿宋_GB2312"/>
                <w:color w:val="auto"/>
                <w:sz w:val="24"/>
                <w:szCs w:val="32"/>
              </w:rPr>
              <w:t>项目</w:t>
            </w:r>
          </w:p>
        </w:tc>
        <w:tc>
          <w:tcPr>
            <w:tcW w:w="103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spacing w:line="70" w:lineRule="atLeast"/>
              <w:jc w:val="center"/>
              <w:rPr>
                <w:rFonts w:ascii="仿宋_GB2312" w:hAnsi="仿宋" w:eastAsia="仿宋_GB2312" w:cs="Times New Roman"/>
                <w:color w:val="auto"/>
                <w:sz w:val="24"/>
                <w:szCs w:val="32"/>
              </w:rPr>
            </w:pPr>
            <w:r>
              <w:rPr>
                <w:rFonts w:hint="eastAsia" w:ascii="仿宋_GB2312" w:hAnsi="仿宋" w:eastAsia="仿宋_GB2312" w:cs="仿宋_GB2312"/>
                <w:color w:val="auto"/>
                <w:sz w:val="24"/>
                <w:szCs w:val="32"/>
              </w:rPr>
              <w:t>数量</w:t>
            </w:r>
          </w:p>
        </w:tc>
        <w:tc>
          <w:tcPr>
            <w:tcW w:w="110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spacing w:line="70" w:lineRule="atLeast"/>
              <w:jc w:val="center"/>
              <w:rPr>
                <w:rFonts w:ascii="仿宋_GB2312" w:hAnsi="仿宋" w:eastAsia="仿宋_GB2312" w:cs="Times New Roman"/>
                <w:color w:val="auto"/>
                <w:sz w:val="24"/>
                <w:szCs w:val="32"/>
              </w:rPr>
            </w:pPr>
            <w:r>
              <w:rPr>
                <w:rFonts w:hint="eastAsia" w:ascii="仿宋_GB2312" w:hAnsi="仿宋" w:eastAsia="仿宋_GB2312" w:cs="仿宋_GB2312"/>
                <w:color w:val="auto"/>
                <w:sz w:val="24"/>
                <w:szCs w:val="32"/>
              </w:rPr>
              <w:t>比上年增减</w:t>
            </w:r>
          </w:p>
        </w:tc>
        <w:tc>
          <w:tcPr>
            <w:tcW w:w="346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spacing w:line="70" w:lineRule="atLeast"/>
              <w:jc w:val="center"/>
              <w:rPr>
                <w:rFonts w:ascii="仿宋_GB2312" w:hAnsi="仿宋" w:eastAsia="仿宋_GB2312" w:cs="Times New Roman"/>
                <w:color w:val="auto"/>
                <w:sz w:val="24"/>
                <w:szCs w:val="32"/>
              </w:rPr>
            </w:pPr>
            <w:r>
              <w:rPr>
                <w:rFonts w:hint="eastAsia" w:ascii="仿宋_GB2312" w:hAnsi="仿宋" w:eastAsia="仿宋_GB2312" w:cs="仿宋_GB2312"/>
                <w:color w:val="auto"/>
                <w:sz w:val="24"/>
                <w:szCs w:val="32"/>
              </w:rPr>
              <w:t>变动原因说明</w:t>
            </w:r>
          </w:p>
        </w:tc>
      </w:tr>
      <w:tr>
        <w:tblPrEx>
          <w:tblLayout w:type="fixed"/>
          <w:tblCellMar>
            <w:top w:w="0" w:type="dxa"/>
            <w:left w:w="0" w:type="dxa"/>
            <w:bottom w:w="0" w:type="dxa"/>
            <w:right w:w="0" w:type="dxa"/>
          </w:tblCellMar>
        </w:tblPrEx>
        <w:trPr>
          <w:trHeight w:val="285" w:hRule="atLeast"/>
        </w:trPr>
        <w:tc>
          <w:tcPr>
            <w:tcW w:w="292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仿宋_GB2312" w:hAnsi="仿宋" w:eastAsia="仿宋_GB2312" w:cs="Times New Roman"/>
                <w:color w:val="auto"/>
                <w:sz w:val="24"/>
                <w:szCs w:val="32"/>
              </w:rPr>
            </w:pPr>
            <w:r>
              <w:rPr>
                <w:rFonts w:hint="eastAsia" w:ascii="仿宋_GB2312" w:hAnsi="仿宋" w:eastAsia="仿宋_GB2312" w:cs="仿宋_GB2312"/>
                <w:color w:val="auto"/>
                <w:sz w:val="24"/>
                <w:szCs w:val="32"/>
              </w:rPr>
              <w:t>合</w:t>
            </w:r>
            <w:r>
              <w:rPr>
                <w:rFonts w:hint="eastAsia" w:ascii="仿宋_GB2312" w:hAnsi="Times New Roman" w:eastAsia="仿宋_GB2312" w:cs="Times New Roman"/>
                <w:color w:val="auto"/>
                <w:sz w:val="24"/>
                <w:szCs w:val="32"/>
              </w:rPr>
              <w:t>    </w:t>
            </w:r>
            <w:r>
              <w:rPr>
                <w:rFonts w:hint="eastAsia" w:ascii="仿宋_GB2312" w:hAnsi="仿宋" w:eastAsia="仿宋_GB2312" w:cs="仿宋_GB2312"/>
                <w:color w:val="auto"/>
                <w:sz w:val="24"/>
                <w:szCs w:val="32"/>
              </w:rPr>
              <w:t>计</w:t>
            </w:r>
          </w:p>
        </w:tc>
        <w:tc>
          <w:tcPr>
            <w:tcW w:w="1034"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仿宋_GB2312" w:hAnsi="仿宋" w:eastAsia="仿宋_GB2312" w:cs="Times New Roman"/>
                <w:color w:val="auto"/>
                <w:sz w:val="24"/>
                <w:szCs w:val="32"/>
              </w:rPr>
            </w:pPr>
            <w:r>
              <w:rPr>
                <w:rFonts w:hint="eastAsia" w:ascii="仿宋_GB2312" w:hAnsi="仿宋" w:eastAsia="仿宋_GB2312" w:cs="仿宋_GB2312"/>
                <w:color w:val="auto"/>
                <w:sz w:val="24"/>
                <w:szCs w:val="32"/>
              </w:rPr>
              <w:t>　</w:t>
            </w:r>
          </w:p>
        </w:tc>
        <w:tc>
          <w:tcPr>
            <w:tcW w:w="1106"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仿宋_GB2312" w:hAnsi="仿宋" w:eastAsia="仿宋_GB2312" w:cs="Times New Roman"/>
                <w:color w:val="auto"/>
                <w:sz w:val="24"/>
                <w:szCs w:val="32"/>
              </w:rPr>
            </w:pPr>
            <w:r>
              <w:rPr>
                <w:rFonts w:hint="eastAsia" w:ascii="仿宋_GB2312" w:hAnsi="仿宋" w:eastAsia="仿宋_GB2312" w:cs="仿宋_GB2312"/>
                <w:color w:val="auto"/>
                <w:sz w:val="24"/>
                <w:szCs w:val="32"/>
              </w:rPr>
              <w:t>　</w:t>
            </w:r>
          </w:p>
        </w:tc>
        <w:tc>
          <w:tcPr>
            <w:tcW w:w="3460"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仿宋_GB2312" w:hAnsi="仿宋" w:eastAsia="仿宋_GB2312" w:cs="Times New Roman"/>
                <w:color w:val="auto"/>
                <w:sz w:val="24"/>
                <w:szCs w:val="32"/>
              </w:rPr>
            </w:pPr>
            <w:r>
              <w:rPr>
                <w:rFonts w:hint="eastAsia" w:ascii="仿宋_GB2312" w:hAnsi="仿宋" w:eastAsia="仿宋_GB2312" w:cs="仿宋_GB2312"/>
                <w:color w:val="auto"/>
                <w:sz w:val="24"/>
                <w:szCs w:val="32"/>
              </w:rPr>
              <w:t>　</w:t>
            </w:r>
          </w:p>
        </w:tc>
      </w:tr>
      <w:tr>
        <w:tblPrEx>
          <w:tblLayout w:type="fixed"/>
          <w:tblCellMar>
            <w:top w:w="0" w:type="dxa"/>
            <w:left w:w="0" w:type="dxa"/>
            <w:bottom w:w="0" w:type="dxa"/>
            <w:right w:w="0" w:type="dxa"/>
          </w:tblCellMar>
        </w:tblPrEx>
        <w:trPr>
          <w:trHeight w:val="285" w:hRule="atLeast"/>
        </w:trPr>
        <w:tc>
          <w:tcPr>
            <w:tcW w:w="292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rPr>
                <w:rFonts w:ascii="仿宋_GB2312" w:hAnsi="仿宋" w:eastAsia="仿宋_GB2312" w:cs="Times New Roman"/>
                <w:color w:val="auto"/>
                <w:sz w:val="24"/>
                <w:szCs w:val="28"/>
              </w:rPr>
            </w:pPr>
            <w:r>
              <w:rPr>
                <w:rFonts w:hint="eastAsia" w:ascii="仿宋_GB2312" w:hAnsi="仿宋" w:eastAsia="仿宋_GB2312" w:cs="仿宋_GB2312"/>
                <w:color w:val="auto"/>
                <w:sz w:val="24"/>
                <w:szCs w:val="28"/>
              </w:rPr>
              <w:t>一、按单位基本性质</w:t>
            </w:r>
          </w:p>
        </w:tc>
        <w:tc>
          <w:tcPr>
            <w:tcW w:w="1034"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hint="eastAsia" w:ascii="仿宋_GB2312" w:hAnsi="仿宋" w:eastAsia="仿宋_GB2312" w:cs="Times New Roman"/>
                <w:color w:val="auto"/>
                <w:kern w:val="2"/>
                <w:sz w:val="24"/>
                <w:szCs w:val="28"/>
                <w:lang w:val="en-US" w:eastAsia="zh-CN" w:bidi="ar-SA"/>
              </w:rPr>
            </w:pPr>
            <w:r>
              <w:rPr>
                <w:rFonts w:hint="eastAsia" w:ascii="仿宋_GB2312" w:hAnsi="仿宋" w:eastAsia="仿宋_GB2312" w:cs="仿宋_GB2312"/>
                <w:color w:val="auto"/>
                <w:sz w:val="24"/>
                <w:szCs w:val="28"/>
              </w:rPr>
              <w:t>　</w:t>
            </w:r>
            <w:r>
              <w:rPr>
                <w:rFonts w:hint="eastAsia" w:ascii="仿宋_GB2312" w:hAnsi="仿宋" w:eastAsia="仿宋_GB2312" w:cs="仿宋_GB2312"/>
                <w:color w:val="auto"/>
                <w:sz w:val="24"/>
                <w:szCs w:val="28"/>
                <w:lang w:val="en-US" w:eastAsia="zh-CN"/>
              </w:rPr>
              <w:t>6</w:t>
            </w:r>
          </w:p>
        </w:tc>
        <w:tc>
          <w:tcPr>
            <w:tcW w:w="1106"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hint="eastAsia" w:ascii="仿宋_GB2312" w:hAnsi="仿宋" w:eastAsia="仿宋_GB2312" w:cs="Times New Roman"/>
                <w:color w:val="auto"/>
                <w:kern w:val="2"/>
                <w:sz w:val="24"/>
                <w:szCs w:val="28"/>
                <w:lang w:val="en-US" w:eastAsia="zh-CN" w:bidi="ar-SA"/>
              </w:rPr>
            </w:pPr>
            <w:r>
              <w:rPr>
                <w:rFonts w:hint="eastAsia" w:ascii="仿宋_GB2312" w:hAnsi="仿宋" w:eastAsia="仿宋_GB2312" w:cs="仿宋_GB2312"/>
                <w:color w:val="auto"/>
                <w:sz w:val="24"/>
                <w:szCs w:val="28"/>
              </w:rPr>
              <w:t>　</w:t>
            </w:r>
            <w:r>
              <w:rPr>
                <w:rFonts w:hint="eastAsia" w:ascii="仿宋_GB2312" w:hAnsi="仿宋" w:eastAsia="仿宋_GB2312" w:cs="仿宋_GB2312"/>
                <w:color w:val="auto"/>
                <w:sz w:val="24"/>
                <w:szCs w:val="28"/>
                <w:lang w:val="en-US" w:eastAsia="zh-CN"/>
              </w:rPr>
              <w:t>0</w:t>
            </w:r>
          </w:p>
        </w:tc>
        <w:tc>
          <w:tcPr>
            <w:tcW w:w="3460"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hint="eastAsia" w:ascii="仿宋_GB2312" w:hAnsi="仿宋" w:eastAsia="仿宋_GB2312" w:cs="Times New Roman"/>
                <w:color w:val="auto"/>
                <w:kern w:val="2"/>
                <w:sz w:val="24"/>
                <w:szCs w:val="28"/>
                <w:lang w:val="en-US" w:eastAsia="zh-CN" w:bidi="ar-SA"/>
              </w:rPr>
            </w:pPr>
            <w:r>
              <w:rPr>
                <w:rFonts w:hint="eastAsia" w:ascii="仿宋_GB2312" w:hAnsi="仿宋" w:eastAsia="仿宋_GB2312" w:cs="仿宋_GB2312"/>
                <w:color w:val="auto"/>
                <w:sz w:val="24"/>
                <w:szCs w:val="28"/>
              </w:rPr>
              <w:t>　</w:t>
            </w:r>
            <w:r>
              <w:rPr>
                <w:rFonts w:hint="eastAsia" w:ascii="仿宋_GB2312" w:hAnsi="仿宋" w:eastAsia="仿宋_GB2312" w:cs="仿宋_GB2312"/>
                <w:color w:val="auto"/>
                <w:sz w:val="24"/>
                <w:szCs w:val="28"/>
                <w:lang w:eastAsia="zh-CN"/>
              </w:rPr>
              <w:t>无变动</w:t>
            </w:r>
          </w:p>
        </w:tc>
      </w:tr>
      <w:tr>
        <w:tblPrEx>
          <w:tblLayout w:type="fixed"/>
          <w:tblCellMar>
            <w:top w:w="0" w:type="dxa"/>
            <w:left w:w="0" w:type="dxa"/>
            <w:bottom w:w="0" w:type="dxa"/>
            <w:right w:w="0" w:type="dxa"/>
          </w:tblCellMar>
        </w:tblPrEx>
        <w:trPr>
          <w:trHeight w:val="285" w:hRule="atLeast"/>
        </w:trPr>
        <w:tc>
          <w:tcPr>
            <w:tcW w:w="292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rPr>
                <w:rFonts w:ascii="仿宋_GB2312" w:hAnsi="仿宋" w:eastAsia="仿宋_GB2312" w:cs="Times New Roman"/>
                <w:color w:val="auto"/>
                <w:sz w:val="24"/>
                <w:szCs w:val="28"/>
              </w:rPr>
            </w:pPr>
            <w:r>
              <w:rPr>
                <w:rFonts w:hint="eastAsia" w:ascii="仿宋_GB2312" w:hAnsi="Times New Roman" w:eastAsia="仿宋_GB2312" w:cs="Times New Roman"/>
                <w:color w:val="auto"/>
                <w:sz w:val="24"/>
                <w:szCs w:val="28"/>
              </w:rPr>
              <w:t>    </w:t>
            </w:r>
            <w:r>
              <w:rPr>
                <w:rFonts w:hint="eastAsia" w:ascii="仿宋_GB2312" w:hAnsi="仿宋" w:eastAsia="仿宋_GB2312" w:cs="仿宋_GB2312"/>
                <w:color w:val="auto"/>
                <w:sz w:val="24"/>
                <w:szCs w:val="28"/>
              </w:rPr>
              <w:t>行政单位</w:t>
            </w:r>
          </w:p>
        </w:tc>
        <w:tc>
          <w:tcPr>
            <w:tcW w:w="1034"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hint="eastAsia" w:ascii="仿宋_GB2312" w:hAnsi="仿宋" w:eastAsia="仿宋_GB2312" w:cs="Times New Roman"/>
                <w:color w:val="auto"/>
                <w:kern w:val="2"/>
                <w:sz w:val="24"/>
                <w:szCs w:val="28"/>
                <w:lang w:val="en-US" w:eastAsia="zh-CN" w:bidi="ar-SA"/>
              </w:rPr>
            </w:pPr>
            <w:r>
              <w:rPr>
                <w:rFonts w:hint="eastAsia" w:ascii="仿宋_GB2312" w:hAnsi="仿宋" w:eastAsia="仿宋_GB2312" w:cs="仿宋_GB2312"/>
                <w:color w:val="auto"/>
                <w:sz w:val="24"/>
                <w:szCs w:val="28"/>
              </w:rPr>
              <w:t>　1</w:t>
            </w:r>
          </w:p>
        </w:tc>
        <w:tc>
          <w:tcPr>
            <w:tcW w:w="1106"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hint="eastAsia" w:ascii="仿宋_GB2312" w:hAnsi="仿宋" w:eastAsia="仿宋_GB2312" w:cs="Times New Roman"/>
                <w:color w:val="auto"/>
                <w:kern w:val="2"/>
                <w:sz w:val="24"/>
                <w:szCs w:val="28"/>
                <w:lang w:val="en-US" w:eastAsia="zh-CN" w:bidi="ar-SA"/>
              </w:rPr>
            </w:pPr>
            <w:r>
              <w:rPr>
                <w:rFonts w:hint="eastAsia" w:ascii="仿宋_GB2312" w:hAnsi="仿宋" w:eastAsia="仿宋_GB2312" w:cs="仿宋_GB2312"/>
                <w:color w:val="auto"/>
                <w:sz w:val="24"/>
                <w:szCs w:val="28"/>
              </w:rPr>
              <w:t>　0</w:t>
            </w:r>
          </w:p>
        </w:tc>
        <w:tc>
          <w:tcPr>
            <w:tcW w:w="3460"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hint="eastAsia" w:ascii="仿宋_GB2312" w:hAnsi="仿宋" w:eastAsia="仿宋_GB2312" w:cs="Times New Roman"/>
                <w:color w:val="auto"/>
                <w:kern w:val="2"/>
                <w:sz w:val="24"/>
                <w:szCs w:val="28"/>
                <w:lang w:val="en-US" w:eastAsia="zh-CN" w:bidi="ar-SA"/>
              </w:rPr>
            </w:pPr>
            <w:r>
              <w:rPr>
                <w:rFonts w:hint="eastAsia" w:ascii="仿宋_GB2312" w:hAnsi="仿宋" w:eastAsia="仿宋_GB2312" w:cs="仿宋_GB2312"/>
                <w:color w:val="auto"/>
                <w:sz w:val="24"/>
                <w:szCs w:val="28"/>
              </w:rPr>
              <w:t>　</w:t>
            </w:r>
            <w:r>
              <w:rPr>
                <w:rFonts w:hint="eastAsia" w:ascii="仿宋_GB2312" w:hAnsi="仿宋" w:eastAsia="仿宋_GB2312" w:cs="仿宋_GB2312"/>
                <w:color w:val="auto"/>
                <w:sz w:val="24"/>
                <w:szCs w:val="28"/>
                <w:lang w:eastAsia="zh-CN"/>
              </w:rPr>
              <w:t>无变动</w:t>
            </w:r>
          </w:p>
        </w:tc>
      </w:tr>
      <w:tr>
        <w:tblPrEx>
          <w:tblLayout w:type="fixed"/>
          <w:tblCellMar>
            <w:top w:w="0" w:type="dxa"/>
            <w:left w:w="0" w:type="dxa"/>
            <w:bottom w:w="0" w:type="dxa"/>
            <w:right w:w="0" w:type="dxa"/>
          </w:tblCellMar>
        </w:tblPrEx>
        <w:trPr>
          <w:trHeight w:val="285" w:hRule="atLeast"/>
        </w:trPr>
        <w:tc>
          <w:tcPr>
            <w:tcW w:w="292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rPr>
                <w:rFonts w:ascii="仿宋_GB2312" w:hAnsi="仿宋" w:eastAsia="仿宋_GB2312" w:cs="Times New Roman"/>
                <w:color w:val="auto"/>
                <w:sz w:val="24"/>
                <w:szCs w:val="28"/>
              </w:rPr>
            </w:pPr>
            <w:r>
              <w:rPr>
                <w:rFonts w:hint="eastAsia" w:ascii="仿宋_GB2312" w:hAnsi="Times New Roman" w:eastAsia="仿宋_GB2312" w:cs="Times New Roman"/>
                <w:color w:val="auto"/>
                <w:sz w:val="24"/>
                <w:szCs w:val="28"/>
              </w:rPr>
              <w:t>    </w:t>
            </w:r>
            <w:r>
              <w:rPr>
                <w:rFonts w:hint="eastAsia" w:ascii="仿宋_GB2312" w:hAnsi="仿宋" w:eastAsia="仿宋_GB2312" w:cs="仿宋_GB2312"/>
                <w:color w:val="auto"/>
                <w:sz w:val="24"/>
                <w:szCs w:val="28"/>
              </w:rPr>
              <w:t>事业单位</w:t>
            </w:r>
          </w:p>
        </w:tc>
        <w:tc>
          <w:tcPr>
            <w:tcW w:w="1034"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hint="eastAsia" w:ascii="仿宋_GB2312" w:hAnsi="仿宋" w:eastAsia="仿宋_GB2312" w:cs="Times New Roman"/>
                <w:color w:val="auto"/>
                <w:kern w:val="2"/>
                <w:sz w:val="24"/>
                <w:szCs w:val="28"/>
                <w:lang w:val="en-US" w:eastAsia="zh-CN" w:bidi="ar-SA"/>
              </w:rPr>
            </w:pPr>
            <w:r>
              <w:rPr>
                <w:rFonts w:hint="eastAsia" w:ascii="仿宋_GB2312" w:hAnsi="仿宋" w:eastAsia="仿宋_GB2312" w:cs="仿宋_GB2312"/>
                <w:color w:val="auto"/>
                <w:sz w:val="24"/>
                <w:szCs w:val="28"/>
              </w:rPr>
              <w:t>　</w:t>
            </w:r>
            <w:r>
              <w:rPr>
                <w:rFonts w:hint="eastAsia" w:ascii="仿宋_GB2312" w:hAnsi="仿宋" w:eastAsia="仿宋_GB2312" w:cs="仿宋_GB2312"/>
                <w:color w:val="auto"/>
                <w:sz w:val="24"/>
                <w:szCs w:val="28"/>
                <w:lang w:val="en-US" w:eastAsia="zh-CN"/>
              </w:rPr>
              <w:t>5</w:t>
            </w:r>
          </w:p>
        </w:tc>
        <w:tc>
          <w:tcPr>
            <w:tcW w:w="1106"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hint="eastAsia" w:ascii="仿宋_GB2312" w:hAnsi="仿宋" w:eastAsia="仿宋_GB2312" w:cs="Times New Roman"/>
                <w:color w:val="auto"/>
                <w:kern w:val="2"/>
                <w:sz w:val="24"/>
                <w:szCs w:val="28"/>
                <w:lang w:val="en-US" w:eastAsia="zh-CN" w:bidi="ar-SA"/>
              </w:rPr>
            </w:pPr>
            <w:r>
              <w:rPr>
                <w:rFonts w:hint="eastAsia" w:ascii="仿宋_GB2312" w:hAnsi="仿宋" w:eastAsia="仿宋_GB2312" w:cs="仿宋_GB2312"/>
                <w:color w:val="auto"/>
                <w:sz w:val="24"/>
                <w:szCs w:val="28"/>
              </w:rPr>
              <w:t>　</w:t>
            </w:r>
            <w:r>
              <w:rPr>
                <w:rFonts w:hint="eastAsia" w:ascii="仿宋_GB2312" w:hAnsi="仿宋" w:eastAsia="仿宋_GB2312" w:cs="仿宋_GB2312"/>
                <w:color w:val="auto"/>
                <w:sz w:val="24"/>
                <w:szCs w:val="28"/>
                <w:lang w:val="en-US" w:eastAsia="zh-CN"/>
              </w:rPr>
              <w:t>0</w:t>
            </w:r>
          </w:p>
        </w:tc>
        <w:tc>
          <w:tcPr>
            <w:tcW w:w="3460"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hint="eastAsia" w:ascii="仿宋_GB2312" w:hAnsi="仿宋" w:eastAsia="仿宋_GB2312" w:cs="Times New Roman"/>
                <w:color w:val="auto"/>
                <w:kern w:val="2"/>
                <w:sz w:val="24"/>
                <w:szCs w:val="28"/>
                <w:lang w:val="en-US" w:eastAsia="zh-CN" w:bidi="ar-SA"/>
              </w:rPr>
            </w:pPr>
            <w:r>
              <w:rPr>
                <w:rFonts w:hint="eastAsia" w:ascii="仿宋_GB2312" w:hAnsi="仿宋" w:eastAsia="仿宋_GB2312" w:cs="仿宋_GB2312"/>
                <w:color w:val="auto"/>
                <w:sz w:val="24"/>
                <w:szCs w:val="28"/>
              </w:rPr>
              <w:t>　</w:t>
            </w:r>
            <w:r>
              <w:rPr>
                <w:rFonts w:hint="eastAsia" w:ascii="仿宋_GB2312" w:hAnsi="仿宋" w:eastAsia="仿宋_GB2312" w:cs="仿宋_GB2312"/>
                <w:color w:val="auto"/>
                <w:sz w:val="24"/>
                <w:szCs w:val="28"/>
                <w:lang w:eastAsia="zh-CN"/>
              </w:rPr>
              <w:t>无变动</w:t>
            </w:r>
          </w:p>
        </w:tc>
      </w:tr>
      <w:tr>
        <w:tblPrEx>
          <w:tblLayout w:type="fixed"/>
          <w:tblCellMar>
            <w:top w:w="0" w:type="dxa"/>
            <w:left w:w="0" w:type="dxa"/>
            <w:bottom w:w="0" w:type="dxa"/>
            <w:right w:w="0" w:type="dxa"/>
          </w:tblCellMar>
        </w:tblPrEx>
        <w:trPr>
          <w:trHeight w:val="285" w:hRule="atLeast"/>
        </w:trPr>
        <w:tc>
          <w:tcPr>
            <w:tcW w:w="292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rPr>
                <w:rFonts w:ascii="仿宋_GB2312" w:hAnsi="仿宋" w:eastAsia="仿宋_GB2312" w:cs="Times New Roman"/>
                <w:color w:val="auto"/>
                <w:sz w:val="24"/>
                <w:szCs w:val="28"/>
              </w:rPr>
            </w:pPr>
            <w:r>
              <w:rPr>
                <w:rFonts w:hint="eastAsia" w:ascii="仿宋_GB2312" w:hAnsi="Times New Roman" w:eastAsia="仿宋_GB2312" w:cs="Times New Roman"/>
                <w:color w:val="auto"/>
                <w:sz w:val="24"/>
                <w:szCs w:val="28"/>
              </w:rPr>
              <w:t>    </w:t>
            </w:r>
            <w:r>
              <w:rPr>
                <w:rFonts w:hint="eastAsia" w:ascii="仿宋_GB2312" w:hAnsi="仿宋" w:eastAsia="仿宋_GB2312" w:cs="仿宋_GB2312"/>
                <w:color w:val="auto"/>
                <w:sz w:val="24"/>
                <w:szCs w:val="28"/>
              </w:rPr>
              <w:t>其他</w:t>
            </w:r>
          </w:p>
        </w:tc>
        <w:tc>
          <w:tcPr>
            <w:tcW w:w="1034"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仿宋_GB2312" w:hAnsi="仿宋" w:eastAsia="仿宋_GB2312" w:cs="Times New Roman"/>
                <w:color w:val="auto"/>
                <w:sz w:val="24"/>
                <w:szCs w:val="28"/>
              </w:rPr>
            </w:pPr>
            <w:r>
              <w:rPr>
                <w:rFonts w:hint="eastAsia" w:ascii="仿宋_GB2312" w:hAnsi="仿宋" w:eastAsia="仿宋_GB2312" w:cs="仿宋_GB2312"/>
                <w:color w:val="auto"/>
                <w:sz w:val="24"/>
                <w:szCs w:val="28"/>
              </w:rPr>
              <w:t>　</w:t>
            </w:r>
          </w:p>
        </w:tc>
        <w:tc>
          <w:tcPr>
            <w:tcW w:w="1106"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仿宋_GB2312" w:hAnsi="仿宋" w:eastAsia="仿宋_GB2312" w:cs="Times New Roman"/>
                <w:color w:val="auto"/>
                <w:sz w:val="24"/>
                <w:szCs w:val="28"/>
              </w:rPr>
            </w:pPr>
            <w:r>
              <w:rPr>
                <w:rFonts w:hint="eastAsia" w:ascii="仿宋_GB2312" w:hAnsi="仿宋" w:eastAsia="仿宋_GB2312" w:cs="仿宋_GB2312"/>
                <w:color w:val="auto"/>
                <w:sz w:val="24"/>
                <w:szCs w:val="28"/>
              </w:rPr>
              <w:t>　</w:t>
            </w:r>
          </w:p>
        </w:tc>
        <w:tc>
          <w:tcPr>
            <w:tcW w:w="3460"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仿宋_GB2312" w:hAnsi="仿宋" w:eastAsia="仿宋_GB2312" w:cs="Times New Roman"/>
                <w:color w:val="auto"/>
                <w:sz w:val="24"/>
                <w:szCs w:val="28"/>
              </w:rPr>
            </w:pPr>
            <w:r>
              <w:rPr>
                <w:rFonts w:hint="eastAsia" w:ascii="仿宋_GB2312" w:hAnsi="仿宋" w:eastAsia="仿宋_GB2312" w:cs="仿宋_GB2312"/>
                <w:color w:val="auto"/>
                <w:sz w:val="24"/>
                <w:szCs w:val="28"/>
              </w:rPr>
              <w:t>　</w:t>
            </w:r>
          </w:p>
        </w:tc>
      </w:tr>
      <w:tr>
        <w:tblPrEx>
          <w:tblLayout w:type="fixed"/>
          <w:tblCellMar>
            <w:top w:w="0" w:type="dxa"/>
            <w:left w:w="0" w:type="dxa"/>
            <w:bottom w:w="0" w:type="dxa"/>
            <w:right w:w="0" w:type="dxa"/>
          </w:tblCellMar>
        </w:tblPrEx>
        <w:trPr>
          <w:trHeight w:val="285" w:hRule="atLeast"/>
        </w:trPr>
        <w:tc>
          <w:tcPr>
            <w:tcW w:w="292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rPr>
                <w:rFonts w:ascii="仿宋_GB2312" w:hAnsi="仿宋" w:eastAsia="仿宋_GB2312" w:cs="Times New Roman"/>
                <w:color w:val="auto"/>
                <w:sz w:val="24"/>
                <w:szCs w:val="28"/>
              </w:rPr>
            </w:pPr>
            <w:r>
              <w:rPr>
                <w:rFonts w:hint="eastAsia" w:ascii="仿宋_GB2312" w:hAnsi="仿宋" w:eastAsia="仿宋_GB2312" w:cs="仿宋_GB2312"/>
                <w:color w:val="auto"/>
                <w:sz w:val="24"/>
                <w:szCs w:val="28"/>
              </w:rPr>
              <w:t>二、按执行会计制度</w:t>
            </w:r>
          </w:p>
        </w:tc>
        <w:tc>
          <w:tcPr>
            <w:tcW w:w="1034"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仿宋_GB2312" w:hAnsi="仿宋" w:eastAsia="仿宋_GB2312" w:cs="Times New Roman"/>
                <w:color w:val="auto"/>
                <w:sz w:val="24"/>
                <w:szCs w:val="28"/>
              </w:rPr>
            </w:pPr>
            <w:r>
              <w:rPr>
                <w:rFonts w:hint="eastAsia" w:ascii="仿宋_GB2312" w:hAnsi="仿宋" w:eastAsia="仿宋_GB2312" w:cs="仿宋_GB2312"/>
                <w:color w:val="auto"/>
                <w:sz w:val="24"/>
                <w:szCs w:val="28"/>
              </w:rPr>
              <w:t>　</w:t>
            </w:r>
          </w:p>
        </w:tc>
        <w:tc>
          <w:tcPr>
            <w:tcW w:w="1106"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仿宋_GB2312" w:hAnsi="仿宋" w:eastAsia="仿宋_GB2312" w:cs="Times New Roman"/>
                <w:color w:val="auto"/>
                <w:sz w:val="24"/>
                <w:szCs w:val="28"/>
              </w:rPr>
            </w:pPr>
            <w:r>
              <w:rPr>
                <w:rFonts w:hint="eastAsia" w:ascii="仿宋_GB2312" w:hAnsi="仿宋" w:eastAsia="仿宋_GB2312" w:cs="仿宋_GB2312"/>
                <w:color w:val="auto"/>
                <w:sz w:val="24"/>
                <w:szCs w:val="28"/>
              </w:rPr>
              <w:t>　</w:t>
            </w:r>
          </w:p>
        </w:tc>
        <w:tc>
          <w:tcPr>
            <w:tcW w:w="3460"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仿宋_GB2312" w:hAnsi="仿宋" w:eastAsia="仿宋_GB2312" w:cs="Times New Roman"/>
                <w:color w:val="auto"/>
                <w:sz w:val="24"/>
                <w:szCs w:val="28"/>
              </w:rPr>
            </w:pPr>
            <w:r>
              <w:rPr>
                <w:rFonts w:hint="eastAsia" w:ascii="仿宋_GB2312" w:hAnsi="仿宋" w:eastAsia="仿宋_GB2312" w:cs="仿宋_GB2312"/>
                <w:color w:val="auto"/>
                <w:sz w:val="24"/>
                <w:szCs w:val="28"/>
              </w:rPr>
              <w:t>　</w:t>
            </w:r>
          </w:p>
        </w:tc>
      </w:tr>
      <w:tr>
        <w:tblPrEx>
          <w:tblLayout w:type="fixed"/>
          <w:tblCellMar>
            <w:top w:w="0" w:type="dxa"/>
            <w:left w:w="0" w:type="dxa"/>
            <w:bottom w:w="0" w:type="dxa"/>
            <w:right w:w="0" w:type="dxa"/>
          </w:tblCellMar>
        </w:tblPrEx>
        <w:trPr>
          <w:trHeight w:val="285" w:hRule="atLeast"/>
        </w:trPr>
        <w:tc>
          <w:tcPr>
            <w:tcW w:w="292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rPr>
                <w:rFonts w:ascii="仿宋_GB2312" w:hAnsi="仿宋" w:eastAsia="仿宋_GB2312" w:cs="Times New Roman"/>
                <w:color w:val="auto"/>
                <w:sz w:val="24"/>
                <w:szCs w:val="28"/>
              </w:rPr>
            </w:pPr>
            <w:r>
              <w:rPr>
                <w:rFonts w:hint="eastAsia" w:ascii="仿宋_GB2312" w:hAnsi="Times New Roman" w:eastAsia="仿宋_GB2312" w:cs="Times New Roman"/>
                <w:color w:val="auto"/>
                <w:sz w:val="24"/>
                <w:szCs w:val="28"/>
              </w:rPr>
              <w:t>   政府</w:t>
            </w:r>
          </w:p>
        </w:tc>
        <w:tc>
          <w:tcPr>
            <w:tcW w:w="1034"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hint="eastAsia" w:ascii="仿宋_GB2312" w:hAnsi="仿宋" w:eastAsia="仿宋_GB2312" w:cs="Times New Roman"/>
                <w:color w:val="auto"/>
                <w:kern w:val="2"/>
                <w:sz w:val="24"/>
                <w:szCs w:val="28"/>
                <w:lang w:val="en-US" w:eastAsia="zh-CN" w:bidi="ar-SA"/>
              </w:rPr>
            </w:pPr>
            <w:r>
              <w:rPr>
                <w:rFonts w:hint="eastAsia" w:ascii="仿宋_GB2312" w:hAnsi="仿宋" w:eastAsia="仿宋_GB2312" w:cs="仿宋_GB2312"/>
                <w:color w:val="auto"/>
                <w:sz w:val="24"/>
                <w:szCs w:val="28"/>
              </w:rPr>
              <w:t>　1</w:t>
            </w:r>
          </w:p>
        </w:tc>
        <w:tc>
          <w:tcPr>
            <w:tcW w:w="1106"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hint="eastAsia" w:ascii="仿宋_GB2312" w:hAnsi="仿宋" w:eastAsia="仿宋_GB2312" w:cs="Times New Roman"/>
                <w:color w:val="auto"/>
                <w:kern w:val="2"/>
                <w:sz w:val="24"/>
                <w:szCs w:val="28"/>
                <w:lang w:val="en-US" w:eastAsia="zh-CN" w:bidi="ar-SA"/>
              </w:rPr>
            </w:pPr>
            <w:r>
              <w:rPr>
                <w:rFonts w:hint="eastAsia" w:ascii="仿宋_GB2312" w:hAnsi="仿宋" w:eastAsia="仿宋_GB2312" w:cs="仿宋_GB2312"/>
                <w:color w:val="auto"/>
                <w:sz w:val="24"/>
                <w:szCs w:val="28"/>
              </w:rPr>
              <w:t>　0</w:t>
            </w:r>
          </w:p>
        </w:tc>
        <w:tc>
          <w:tcPr>
            <w:tcW w:w="3460"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hint="eastAsia" w:ascii="仿宋_GB2312" w:hAnsi="仿宋" w:eastAsia="仿宋_GB2312" w:cs="Times New Roman"/>
                <w:color w:val="auto"/>
                <w:kern w:val="2"/>
                <w:sz w:val="24"/>
                <w:szCs w:val="28"/>
                <w:lang w:val="en-US" w:eastAsia="zh-CN" w:bidi="ar-SA"/>
              </w:rPr>
            </w:pPr>
            <w:r>
              <w:rPr>
                <w:rFonts w:hint="eastAsia" w:ascii="仿宋_GB2312" w:hAnsi="仿宋" w:eastAsia="仿宋_GB2312" w:cs="仿宋_GB2312"/>
                <w:color w:val="auto"/>
                <w:sz w:val="24"/>
                <w:szCs w:val="28"/>
              </w:rPr>
              <w:t>　</w:t>
            </w:r>
            <w:r>
              <w:rPr>
                <w:rFonts w:hint="eastAsia" w:ascii="仿宋_GB2312" w:hAnsi="仿宋" w:eastAsia="仿宋_GB2312" w:cs="仿宋_GB2312"/>
                <w:color w:val="auto"/>
                <w:sz w:val="24"/>
                <w:szCs w:val="28"/>
                <w:lang w:eastAsia="zh-CN"/>
              </w:rPr>
              <w:t>无变动</w:t>
            </w:r>
          </w:p>
        </w:tc>
      </w:tr>
      <w:tr>
        <w:tblPrEx>
          <w:tblLayout w:type="fixed"/>
          <w:tblCellMar>
            <w:top w:w="0" w:type="dxa"/>
            <w:left w:w="0" w:type="dxa"/>
            <w:bottom w:w="0" w:type="dxa"/>
            <w:right w:w="0" w:type="dxa"/>
          </w:tblCellMar>
        </w:tblPrEx>
        <w:trPr>
          <w:trHeight w:val="285" w:hRule="atLeast"/>
        </w:trPr>
        <w:tc>
          <w:tcPr>
            <w:tcW w:w="292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ind w:firstLine="240" w:firstLineChars="100"/>
              <w:rPr>
                <w:rFonts w:ascii="仿宋_GB2312" w:hAnsi="仿宋" w:eastAsia="仿宋_GB2312" w:cs="Times New Roman"/>
                <w:color w:val="auto"/>
                <w:sz w:val="24"/>
                <w:szCs w:val="28"/>
              </w:rPr>
            </w:pPr>
            <w:r>
              <w:rPr>
                <w:rFonts w:hint="eastAsia" w:ascii="仿宋_GB2312" w:hAnsi="仿宋" w:eastAsia="仿宋_GB2312" w:cs="仿宋_GB2312"/>
                <w:color w:val="auto"/>
                <w:sz w:val="24"/>
                <w:szCs w:val="28"/>
              </w:rPr>
              <w:t>民间非营利组织</w:t>
            </w:r>
          </w:p>
        </w:tc>
        <w:tc>
          <w:tcPr>
            <w:tcW w:w="1034"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仿宋_GB2312" w:hAnsi="仿宋" w:eastAsia="仿宋_GB2312" w:cs="Times New Roman"/>
                <w:color w:val="auto"/>
                <w:sz w:val="24"/>
                <w:szCs w:val="28"/>
              </w:rPr>
            </w:pPr>
            <w:r>
              <w:rPr>
                <w:rFonts w:hint="eastAsia" w:ascii="仿宋_GB2312" w:hAnsi="仿宋" w:eastAsia="仿宋_GB2312" w:cs="仿宋_GB2312"/>
                <w:color w:val="auto"/>
                <w:sz w:val="24"/>
                <w:szCs w:val="28"/>
              </w:rPr>
              <w:t>　</w:t>
            </w:r>
          </w:p>
        </w:tc>
        <w:tc>
          <w:tcPr>
            <w:tcW w:w="1106"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仿宋_GB2312" w:hAnsi="仿宋" w:eastAsia="仿宋_GB2312" w:cs="Times New Roman"/>
                <w:color w:val="auto"/>
                <w:sz w:val="24"/>
                <w:szCs w:val="28"/>
              </w:rPr>
            </w:pPr>
            <w:r>
              <w:rPr>
                <w:rFonts w:hint="eastAsia" w:ascii="仿宋_GB2312" w:hAnsi="仿宋" w:eastAsia="仿宋_GB2312" w:cs="仿宋_GB2312"/>
                <w:color w:val="auto"/>
                <w:sz w:val="24"/>
                <w:szCs w:val="28"/>
              </w:rPr>
              <w:t>　</w:t>
            </w:r>
          </w:p>
        </w:tc>
        <w:tc>
          <w:tcPr>
            <w:tcW w:w="3460"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仿宋_GB2312" w:hAnsi="仿宋" w:eastAsia="仿宋_GB2312" w:cs="Times New Roman"/>
                <w:color w:val="auto"/>
                <w:sz w:val="24"/>
                <w:szCs w:val="28"/>
              </w:rPr>
            </w:pPr>
            <w:r>
              <w:rPr>
                <w:rFonts w:hint="eastAsia" w:ascii="仿宋_GB2312" w:hAnsi="仿宋" w:eastAsia="仿宋_GB2312" w:cs="仿宋_GB2312"/>
                <w:color w:val="auto"/>
                <w:sz w:val="24"/>
                <w:szCs w:val="28"/>
              </w:rPr>
              <w:t>　</w:t>
            </w:r>
          </w:p>
        </w:tc>
      </w:tr>
      <w:tr>
        <w:tblPrEx>
          <w:tblLayout w:type="fixed"/>
          <w:tblCellMar>
            <w:top w:w="0" w:type="dxa"/>
            <w:left w:w="0" w:type="dxa"/>
            <w:bottom w:w="0" w:type="dxa"/>
            <w:right w:w="0" w:type="dxa"/>
          </w:tblCellMar>
        </w:tblPrEx>
        <w:trPr>
          <w:trHeight w:val="285" w:hRule="atLeast"/>
        </w:trPr>
        <w:tc>
          <w:tcPr>
            <w:tcW w:w="292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rPr>
                <w:rFonts w:ascii="仿宋_GB2312" w:hAnsi="仿宋" w:eastAsia="仿宋_GB2312" w:cs="Times New Roman"/>
                <w:color w:val="auto"/>
                <w:sz w:val="24"/>
                <w:szCs w:val="28"/>
              </w:rPr>
            </w:pPr>
            <w:r>
              <w:rPr>
                <w:rFonts w:hint="eastAsia" w:ascii="仿宋_GB2312" w:hAnsi="Times New Roman" w:eastAsia="仿宋_GB2312" w:cs="Times New Roman"/>
                <w:color w:val="auto"/>
                <w:sz w:val="24"/>
                <w:szCs w:val="28"/>
              </w:rPr>
              <w:t xml:space="preserve">  </w:t>
            </w:r>
            <w:r>
              <w:rPr>
                <w:rFonts w:hint="eastAsia" w:ascii="仿宋_GB2312" w:hAnsi="仿宋" w:eastAsia="仿宋_GB2312" w:cs="仿宋_GB2312"/>
                <w:color w:val="auto"/>
                <w:sz w:val="24"/>
                <w:szCs w:val="28"/>
              </w:rPr>
              <w:t>企业</w:t>
            </w:r>
          </w:p>
        </w:tc>
        <w:tc>
          <w:tcPr>
            <w:tcW w:w="1034"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仿宋_GB2312" w:hAnsi="仿宋" w:eastAsia="仿宋_GB2312" w:cs="Times New Roman"/>
                <w:color w:val="auto"/>
                <w:sz w:val="24"/>
                <w:szCs w:val="28"/>
              </w:rPr>
            </w:pPr>
            <w:r>
              <w:rPr>
                <w:rFonts w:hint="eastAsia" w:ascii="仿宋_GB2312" w:hAnsi="仿宋" w:eastAsia="仿宋_GB2312" w:cs="仿宋_GB2312"/>
                <w:color w:val="auto"/>
                <w:sz w:val="24"/>
                <w:szCs w:val="28"/>
              </w:rPr>
              <w:t>　</w:t>
            </w:r>
          </w:p>
        </w:tc>
        <w:tc>
          <w:tcPr>
            <w:tcW w:w="1106"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仿宋_GB2312" w:hAnsi="仿宋" w:eastAsia="仿宋_GB2312" w:cs="Times New Roman"/>
                <w:color w:val="auto"/>
                <w:sz w:val="24"/>
                <w:szCs w:val="28"/>
              </w:rPr>
            </w:pPr>
            <w:r>
              <w:rPr>
                <w:rFonts w:hint="eastAsia" w:ascii="仿宋_GB2312" w:hAnsi="仿宋" w:eastAsia="仿宋_GB2312" w:cs="仿宋_GB2312"/>
                <w:color w:val="auto"/>
                <w:sz w:val="24"/>
                <w:szCs w:val="28"/>
              </w:rPr>
              <w:t>　</w:t>
            </w:r>
          </w:p>
        </w:tc>
        <w:tc>
          <w:tcPr>
            <w:tcW w:w="3460"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仿宋_GB2312" w:hAnsi="仿宋" w:eastAsia="仿宋_GB2312" w:cs="Times New Roman"/>
                <w:color w:val="auto"/>
                <w:sz w:val="24"/>
                <w:szCs w:val="28"/>
              </w:rPr>
            </w:pPr>
            <w:r>
              <w:rPr>
                <w:rFonts w:hint="eastAsia" w:ascii="仿宋_GB2312" w:hAnsi="仿宋" w:eastAsia="仿宋_GB2312" w:cs="仿宋_GB2312"/>
                <w:color w:val="auto"/>
                <w:sz w:val="24"/>
                <w:szCs w:val="28"/>
              </w:rPr>
              <w:t>　</w:t>
            </w:r>
          </w:p>
        </w:tc>
      </w:tr>
      <w:tr>
        <w:tblPrEx>
          <w:tblLayout w:type="fixed"/>
          <w:tblCellMar>
            <w:top w:w="0" w:type="dxa"/>
            <w:left w:w="0" w:type="dxa"/>
            <w:bottom w:w="0" w:type="dxa"/>
            <w:right w:w="0" w:type="dxa"/>
          </w:tblCellMar>
        </w:tblPrEx>
        <w:trPr>
          <w:trHeight w:val="285" w:hRule="atLeast"/>
        </w:trPr>
        <w:tc>
          <w:tcPr>
            <w:tcW w:w="292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rPr>
                <w:rFonts w:ascii="仿宋_GB2312" w:hAnsi="仿宋" w:eastAsia="仿宋_GB2312" w:cs="Times New Roman"/>
                <w:color w:val="auto"/>
                <w:sz w:val="24"/>
                <w:szCs w:val="28"/>
              </w:rPr>
            </w:pPr>
            <w:r>
              <w:rPr>
                <w:rFonts w:hint="eastAsia" w:ascii="仿宋_GB2312" w:hAnsi="Times New Roman" w:eastAsia="仿宋_GB2312" w:cs="Times New Roman"/>
                <w:color w:val="auto"/>
                <w:sz w:val="24"/>
                <w:szCs w:val="28"/>
              </w:rPr>
              <w:t xml:space="preserve">  其他</w:t>
            </w:r>
          </w:p>
        </w:tc>
        <w:tc>
          <w:tcPr>
            <w:tcW w:w="1034"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仿宋_GB2312" w:hAnsi="仿宋" w:eastAsia="仿宋_GB2312" w:cs="Times New Roman"/>
                <w:color w:val="auto"/>
                <w:sz w:val="24"/>
                <w:szCs w:val="28"/>
              </w:rPr>
            </w:pPr>
            <w:r>
              <w:rPr>
                <w:rFonts w:hint="eastAsia" w:ascii="仿宋_GB2312" w:hAnsi="仿宋" w:eastAsia="仿宋_GB2312" w:cs="仿宋_GB2312"/>
                <w:color w:val="auto"/>
                <w:sz w:val="24"/>
                <w:szCs w:val="28"/>
              </w:rPr>
              <w:t>　</w:t>
            </w:r>
          </w:p>
        </w:tc>
        <w:tc>
          <w:tcPr>
            <w:tcW w:w="1106"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仿宋_GB2312" w:hAnsi="仿宋" w:eastAsia="仿宋_GB2312" w:cs="Times New Roman"/>
                <w:color w:val="auto"/>
                <w:sz w:val="24"/>
                <w:szCs w:val="28"/>
              </w:rPr>
            </w:pPr>
            <w:r>
              <w:rPr>
                <w:rFonts w:hint="eastAsia" w:ascii="仿宋_GB2312" w:hAnsi="仿宋" w:eastAsia="仿宋_GB2312" w:cs="仿宋_GB2312"/>
                <w:color w:val="auto"/>
                <w:sz w:val="24"/>
                <w:szCs w:val="28"/>
              </w:rPr>
              <w:t>　</w:t>
            </w:r>
          </w:p>
        </w:tc>
        <w:tc>
          <w:tcPr>
            <w:tcW w:w="3460"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仿宋_GB2312" w:hAnsi="仿宋" w:eastAsia="仿宋_GB2312" w:cs="Times New Roman"/>
                <w:color w:val="auto"/>
                <w:sz w:val="24"/>
                <w:szCs w:val="28"/>
              </w:rPr>
            </w:pPr>
            <w:r>
              <w:rPr>
                <w:rFonts w:hint="eastAsia" w:ascii="仿宋_GB2312" w:hAnsi="仿宋" w:eastAsia="仿宋_GB2312" w:cs="仿宋_GB2312"/>
                <w:color w:val="auto"/>
                <w:sz w:val="24"/>
                <w:szCs w:val="28"/>
              </w:rPr>
              <w:t>　</w:t>
            </w:r>
          </w:p>
        </w:tc>
      </w:tr>
      <w:tr>
        <w:tblPrEx>
          <w:tblLayout w:type="fixed"/>
          <w:tblCellMar>
            <w:top w:w="0" w:type="dxa"/>
            <w:left w:w="0" w:type="dxa"/>
            <w:bottom w:w="0" w:type="dxa"/>
            <w:right w:w="0" w:type="dxa"/>
          </w:tblCellMar>
        </w:tblPrEx>
        <w:trPr>
          <w:trHeight w:val="285" w:hRule="atLeast"/>
        </w:trPr>
        <w:tc>
          <w:tcPr>
            <w:tcW w:w="292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rPr>
                <w:rFonts w:ascii="仿宋_GB2312" w:hAnsi="仿宋" w:eastAsia="仿宋_GB2312" w:cs="Times New Roman"/>
                <w:color w:val="auto"/>
                <w:sz w:val="24"/>
                <w:szCs w:val="28"/>
              </w:rPr>
            </w:pPr>
            <w:r>
              <w:rPr>
                <w:rFonts w:hint="eastAsia" w:ascii="仿宋_GB2312" w:hAnsi="仿宋" w:eastAsia="仿宋_GB2312" w:cs="仿宋_GB2312"/>
                <w:color w:val="auto"/>
                <w:sz w:val="24"/>
                <w:szCs w:val="28"/>
              </w:rPr>
              <w:t>三、按单位预算级次</w:t>
            </w:r>
          </w:p>
        </w:tc>
        <w:tc>
          <w:tcPr>
            <w:tcW w:w="1034"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仿宋_GB2312" w:hAnsi="仿宋" w:eastAsia="仿宋_GB2312" w:cs="Times New Roman"/>
                <w:color w:val="auto"/>
                <w:sz w:val="24"/>
                <w:szCs w:val="28"/>
              </w:rPr>
            </w:pPr>
            <w:r>
              <w:rPr>
                <w:rFonts w:hint="eastAsia" w:ascii="仿宋_GB2312" w:hAnsi="仿宋" w:eastAsia="仿宋_GB2312" w:cs="仿宋_GB2312"/>
                <w:color w:val="auto"/>
                <w:sz w:val="24"/>
                <w:szCs w:val="28"/>
              </w:rPr>
              <w:t>　</w:t>
            </w:r>
          </w:p>
        </w:tc>
        <w:tc>
          <w:tcPr>
            <w:tcW w:w="1106"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仿宋_GB2312" w:hAnsi="仿宋" w:eastAsia="仿宋_GB2312" w:cs="Times New Roman"/>
                <w:color w:val="auto"/>
                <w:sz w:val="24"/>
                <w:szCs w:val="28"/>
              </w:rPr>
            </w:pPr>
            <w:r>
              <w:rPr>
                <w:rFonts w:hint="eastAsia" w:ascii="仿宋_GB2312" w:hAnsi="仿宋" w:eastAsia="仿宋_GB2312" w:cs="仿宋_GB2312"/>
                <w:color w:val="auto"/>
                <w:sz w:val="24"/>
                <w:szCs w:val="28"/>
              </w:rPr>
              <w:t>　</w:t>
            </w:r>
          </w:p>
        </w:tc>
        <w:tc>
          <w:tcPr>
            <w:tcW w:w="3460"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仿宋_GB2312" w:hAnsi="仿宋" w:eastAsia="仿宋_GB2312" w:cs="Times New Roman"/>
                <w:color w:val="auto"/>
                <w:sz w:val="24"/>
                <w:szCs w:val="28"/>
              </w:rPr>
            </w:pPr>
            <w:r>
              <w:rPr>
                <w:rFonts w:hint="eastAsia" w:ascii="仿宋_GB2312" w:hAnsi="仿宋" w:eastAsia="仿宋_GB2312" w:cs="仿宋_GB2312"/>
                <w:color w:val="auto"/>
                <w:sz w:val="24"/>
                <w:szCs w:val="28"/>
              </w:rPr>
              <w:t>　</w:t>
            </w:r>
          </w:p>
        </w:tc>
      </w:tr>
      <w:tr>
        <w:tblPrEx>
          <w:tblLayout w:type="fixed"/>
          <w:tblCellMar>
            <w:top w:w="0" w:type="dxa"/>
            <w:left w:w="0" w:type="dxa"/>
            <w:bottom w:w="0" w:type="dxa"/>
            <w:right w:w="0" w:type="dxa"/>
          </w:tblCellMar>
        </w:tblPrEx>
        <w:trPr>
          <w:trHeight w:val="285" w:hRule="atLeast"/>
        </w:trPr>
        <w:tc>
          <w:tcPr>
            <w:tcW w:w="292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rPr>
                <w:rFonts w:ascii="仿宋_GB2312" w:hAnsi="仿宋" w:eastAsia="仿宋_GB2312" w:cs="Times New Roman"/>
                <w:color w:val="auto"/>
                <w:sz w:val="24"/>
                <w:szCs w:val="28"/>
              </w:rPr>
            </w:pPr>
            <w:r>
              <w:rPr>
                <w:rFonts w:hint="eastAsia" w:ascii="仿宋_GB2312" w:hAnsi="Times New Roman" w:eastAsia="仿宋_GB2312" w:cs="Times New Roman"/>
                <w:color w:val="auto"/>
                <w:sz w:val="24"/>
                <w:szCs w:val="28"/>
              </w:rPr>
              <w:t>    </w:t>
            </w:r>
            <w:r>
              <w:rPr>
                <w:rFonts w:hint="eastAsia" w:ascii="仿宋_GB2312" w:hAnsi="仿宋" w:eastAsia="仿宋_GB2312" w:cs="仿宋_GB2312"/>
                <w:color w:val="auto"/>
                <w:sz w:val="24"/>
                <w:szCs w:val="28"/>
              </w:rPr>
              <w:t>一级预算单位</w:t>
            </w:r>
          </w:p>
        </w:tc>
        <w:tc>
          <w:tcPr>
            <w:tcW w:w="1034"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hint="eastAsia" w:ascii="仿宋_GB2312" w:hAnsi="仿宋" w:eastAsia="仿宋_GB2312" w:cs="Times New Roman"/>
                <w:color w:val="auto"/>
                <w:kern w:val="2"/>
                <w:sz w:val="24"/>
                <w:szCs w:val="28"/>
                <w:lang w:val="en-US" w:eastAsia="zh-CN" w:bidi="ar-SA"/>
              </w:rPr>
            </w:pPr>
            <w:r>
              <w:rPr>
                <w:rFonts w:hint="eastAsia" w:ascii="仿宋_GB2312" w:hAnsi="仿宋" w:eastAsia="仿宋_GB2312" w:cs="仿宋_GB2312"/>
                <w:color w:val="auto"/>
                <w:sz w:val="24"/>
                <w:szCs w:val="28"/>
              </w:rPr>
              <w:t>　1</w:t>
            </w:r>
          </w:p>
        </w:tc>
        <w:tc>
          <w:tcPr>
            <w:tcW w:w="1106"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hint="eastAsia" w:ascii="仿宋_GB2312" w:hAnsi="仿宋" w:eastAsia="仿宋_GB2312" w:cs="Times New Roman"/>
                <w:color w:val="auto"/>
                <w:kern w:val="2"/>
                <w:sz w:val="24"/>
                <w:szCs w:val="28"/>
                <w:lang w:val="en-US" w:eastAsia="zh-CN" w:bidi="ar-SA"/>
              </w:rPr>
            </w:pPr>
            <w:r>
              <w:rPr>
                <w:rFonts w:hint="eastAsia" w:ascii="仿宋_GB2312" w:hAnsi="仿宋" w:eastAsia="仿宋_GB2312" w:cs="仿宋_GB2312"/>
                <w:color w:val="auto"/>
                <w:sz w:val="24"/>
                <w:szCs w:val="28"/>
              </w:rPr>
              <w:t>　0</w:t>
            </w:r>
          </w:p>
        </w:tc>
        <w:tc>
          <w:tcPr>
            <w:tcW w:w="3460"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hint="eastAsia" w:ascii="仿宋_GB2312" w:hAnsi="仿宋" w:eastAsia="仿宋_GB2312" w:cs="Times New Roman"/>
                <w:color w:val="auto"/>
                <w:kern w:val="2"/>
                <w:sz w:val="24"/>
                <w:szCs w:val="28"/>
                <w:lang w:val="en-US" w:eastAsia="zh-CN" w:bidi="ar-SA"/>
              </w:rPr>
            </w:pPr>
            <w:r>
              <w:rPr>
                <w:rFonts w:hint="eastAsia" w:ascii="仿宋_GB2312" w:hAnsi="仿宋" w:eastAsia="仿宋_GB2312" w:cs="仿宋_GB2312"/>
                <w:color w:val="auto"/>
                <w:sz w:val="24"/>
                <w:szCs w:val="28"/>
              </w:rPr>
              <w:t>　</w:t>
            </w:r>
            <w:r>
              <w:rPr>
                <w:rFonts w:hint="eastAsia" w:ascii="仿宋_GB2312" w:hAnsi="仿宋" w:eastAsia="仿宋_GB2312" w:cs="仿宋_GB2312"/>
                <w:color w:val="auto"/>
                <w:sz w:val="24"/>
                <w:szCs w:val="28"/>
                <w:lang w:eastAsia="zh-CN"/>
              </w:rPr>
              <w:t>无变动</w:t>
            </w:r>
          </w:p>
        </w:tc>
      </w:tr>
      <w:tr>
        <w:tblPrEx>
          <w:tblLayout w:type="fixed"/>
          <w:tblCellMar>
            <w:top w:w="0" w:type="dxa"/>
            <w:left w:w="0" w:type="dxa"/>
            <w:bottom w:w="0" w:type="dxa"/>
            <w:right w:w="0" w:type="dxa"/>
          </w:tblCellMar>
        </w:tblPrEx>
        <w:trPr>
          <w:trHeight w:val="285" w:hRule="atLeast"/>
        </w:trPr>
        <w:tc>
          <w:tcPr>
            <w:tcW w:w="292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rPr>
                <w:rFonts w:ascii="仿宋_GB2312" w:hAnsi="仿宋" w:eastAsia="仿宋_GB2312" w:cs="Times New Roman"/>
                <w:color w:val="auto"/>
                <w:sz w:val="24"/>
                <w:szCs w:val="28"/>
              </w:rPr>
            </w:pPr>
            <w:r>
              <w:rPr>
                <w:rFonts w:hint="eastAsia" w:ascii="仿宋_GB2312" w:hAnsi="Times New Roman" w:eastAsia="仿宋_GB2312" w:cs="Times New Roman"/>
                <w:color w:val="auto"/>
                <w:sz w:val="24"/>
                <w:szCs w:val="28"/>
              </w:rPr>
              <w:t>    </w:t>
            </w:r>
            <w:r>
              <w:rPr>
                <w:rFonts w:hint="eastAsia" w:ascii="仿宋_GB2312" w:hAnsi="仿宋" w:eastAsia="仿宋_GB2312" w:cs="仿宋_GB2312"/>
                <w:color w:val="auto"/>
                <w:sz w:val="24"/>
                <w:szCs w:val="28"/>
              </w:rPr>
              <w:t>二级预算单位</w:t>
            </w:r>
          </w:p>
        </w:tc>
        <w:tc>
          <w:tcPr>
            <w:tcW w:w="1034"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仿宋_GB2312" w:hAnsi="仿宋" w:eastAsia="仿宋_GB2312" w:cs="仿宋_GB2312"/>
                <w:color w:val="auto"/>
                <w:sz w:val="24"/>
                <w:szCs w:val="28"/>
              </w:rPr>
            </w:pPr>
          </w:p>
        </w:tc>
        <w:tc>
          <w:tcPr>
            <w:tcW w:w="1106"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仿宋_GB2312" w:hAnsi="仿宋" w:eastAsia="仿宋_GB2312" w:cs="仿宋_GB2312"/>
                <w:color w:val="auto"/>
                <w:sz w:val="24"/>
                <w:szCs w:val="28"/>
              </w:rPr>
            </w:pPr>
          </w:p>
        </w:tc>
        <w:tc>
          <w:tcPr>
            <w:tcW w:w="3460"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仿宋_GB2312" w:hAnsi="仿宋" w:eastAsia="仿宋_GB2312" w:cs="仿宋_GB2312"/>
                <w:color w:val="auto"/>
                <w:sz w:val="24"/>
                <w:szCs w:val="28"/>
              </w:rPr>
            </w:pPr>
          </w:p>
        </w:tc>
      </w:tr>
      <w:tr>
        <w:tblPrEx>
          <w:tblLayout w:type="fixed"/>
          <w:tblCellMar>
            <w:top w:w="0" w:type="dxa"/>
            <w:left w:w="0" w:type="dxa"/>
            <w:bottom w:w="0" w:type="dxa"/>
            <w:right w:w="0" w:type="dxa"/>
          </w:tblCellMar>
        </w:tblPrEx>
        <w:trPr>
          <w:trHeight w:val="285" w:hRule="atLeast"/>
        </w:trPr>
        <w:tc>
          <w:tcPr>
            <w:tcW w:w="292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rPr>
                <w:rFonts w:ascii="仿宋_GB2312" w:hAnsi="仿宋" w:eastAsia="仿宋_GB2312" w:cs="Times New Roman"/>
                <w:color w:val="auto"/>
                <w:sz w:val="24"/>
                <w:szCs w:val="28"/>
              </w:rPr>
            </w:pPr>
            <w:r>
              <w:rPr>
                <w:rFonts w:hint="eastAsia" w:ascii="仿宋_GB2312" w:hAnsi="Times New Roman" w:eastAsia="仿宋_GB2312" w:cs="Times New Roman"/>
                <w:color w:val="auto"/>
                <w:sz w:val="24"/>
                <w:szCs w:val="28"/>
              </w:rPr>
              <w:t>    </w:t>
            </w:r>
            <w:r>
              <w:rPr>
                <w:rFonts w:hint="eastAsia" w:ascii="仿宋_GB2312" w:hAnsi="仿宋" w:eastAsia="仿宋_GB2312" w:cs="仿宋_GB2312"/>
                <w:color w:val="auto"/>
                <w:sz w:val="24"/>
                <w:szCs w:val="28"/>
              </w:rPr>
              <w:t>三级预算单位</w:t>
            </w:r>
          </w:p>
        </w:tc>
        <w:tc>
          <w:tcPr>
            <w:tcW w:w="1034"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仿宋_GB2312" w:hAnsi="仿宋" w:eastAsia="仿宋_GB2312" w:cs="仿宋_GB2312"/>
                <w:color w:val="auto"/>
                <w:sz w:val="24"/>
                <w:szCs w:val="28"/>
              </w:rPr>
            </w:pPr>
          </w:p>
        </w:tc>
        <w:tc>
          <w:tcPr>
            <w:tcW w:w="1106"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仿宋_GB2312" w:hAnsi="仿宋" w:eastAsia="仿宋_GB2312" w:cs="仿宋_GB2312"/>
                <w:color w:val="auto"/>
                <w:sz w:val="24"/>
                <w:szCs w:val="28"/>
              </w:rPr>
            </w:pPr>
          </w:p>
        </w:tc>
        <w:tc>
          <w:tcPr>
            <w:tcW w:w="3460"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仿宋_GB2312" w:hAnsi="仿宋" w:eastAsia="仿宋_GB2312" w:cs="仿宋_GB2312"/>
                <w:color w:val="auto"/>
                <w:sz w:val="24"/>
                <w:szCs w:val="28"/>
              </w:rPr>
            </w:pPr>
          </w:p>
        </w:tc>
      </w:tr>
      <w:tr>
        <w:tblPrEx>
          <w:tblLayout w:type="fixed"/>
          <w:tblCellMar>
            <w:top w:w="0" w:type="dxa"/>
            <w:left w:w="0" w:type="dxa"/>
            <w:bottom w:w="0" w:type="dxa"/>
            <w:right w:w="0" w:type="dxa"/>
          </w:tblCellMar>
        </w:tblPrEx>
        <w:trPr>
          <w:trHeight w:val="285" w:hRule="atLeast"/>
        </w:trPr>
        <w:tc>
          <w:tcPr>
            <w:tcW w:w="292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rPr>
                <w:rFonts w:ascii="仿宋_GB2312" w:hAnsi="仿宋" w:eastAsia="仿宋_GB2312" w:cs="Times New Roman"/>
                <w:color w:val="auto"/>
                <w:sz w:val="24"/>
                <w:szCs w:val="28"/>
              </w:rPr>
            </w:pPr>
            <w:r>
              <w:rPr>
                <w:rFonts w:hint="eastAsia" w:ascii="仿宋_GB2312" w:hAnsi="仿宋" w:eastAsia="仿宋_GB2312" w:cs="仿宋_GB2312"/>
                <w:color w:val="auto"/>
                <w:sz w:val="24"/>
                <w:szCs w:val="28"/>
              </w:rPr>
              <w:t>四、按事业单位分类</w:t>
            </w:r>
          </w:p>
        </w:tc>
        <w:tc>
          <w:tcPr>
            <w:tcW w:w="1034"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仿宋_GB2312" w:hAnsi="仿宋" w:eastAsia="仿宋_GB2312" w:cs="Times New Roman"/>
                <w:color w:val="auto"/>
                <w:sz w:val="24"/>
                <w:szCs w:val="28"/>
              </w:rPr>
            </w:pPr>
          </w:p>
        </w:tc>
        <w:tc>
          <w:tcPr>
            <w:tcW w:w="1106" w:type="dxa"/>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仿宋_GB2312" w:hAnsi="仿宋" w:eastAsia="仿宋_GB2312" w:cs="Times New Roman"/>
                <w:color w:val="auto"/>
                <w:sz w:val="24"/>
                <w:szCs w:val="28"/>
              </w:rPr>
            </w:pPr>
            <w:r>
              <w:rPr>
                <w:rFonts w:hint="eastAsia" w:ascii="仿宋_GB2312" w:hAnsi="仿宋" w:eastAsia="仿宋_GB2312" w:cs="Times New Roman"/>
                <w:color w:val="auto"/>
                <w:sz w:val="24"/>
                <w:szCs w:val="28"/>
              </w:rPr>
              <w:t>—</w:t>
            </w:r>
          </w:p>
        </w:tc>
        <w:tc>
          <w:tcPr>
            <w:tcW w:w="3460"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仿宋_GB2312" w:hAnsi="仿宋" w:eastAsia="仿宋_GB2312" w:cs="Times New Roman"/>
                <w:color w:val="auto"/>
                <w:sz w:val="24"/>
                <w:szCs w:val="28"/>
              </w:rPr>
            </w:pPr>
          </w:p>
        </w:tc>
      </w:tr>
      <w:tr>
        <w:tblPrEx>
          <w:tblLayout w:type="fixed"/>
          <w:tblCellMar>
            <w:top w:w="0" w:type="dxa"/>
            <w:left w:w="0" w:type="dxa"/>
            <w:bottom w:w="0" w:type="dxa"/>
            <w:right w:w="0" w:type="dxa"/>
          </w:tblCellMar>
        </w:tblPrEx>
        <w:trPr>
          <w:trHeight w:val="285" w:hRule="atLeast"/>
        </w:trPr>
        <w:tc>
          <w:tcPr>
            <w:tcW w:w="292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rPr>
                <w:rFonts w:ascii="仿宋_GB2312" w:hAnsi="仿宋" w:eastAsia="仿宋_GB2312" w:cs="Times New Roman"/>
                <w:color w:val="auto"/>
                <w:sz w:val="24"/>
                <w:szCs w:val="28"/>
              </w:rPr>
            </w:pPr>
            <w:r>
              <w:rPr>
                <w:rFonts w:hint="eastAsia" w:ascii="仿宋_GB2312" w:hAnsi="Times New Roman" w:eastAsia="仿宋_GB2312" w:cs="Times New Roman"/>
                <w:color w:val="auto"/>
                <w:sz w:val="24"/>
                <w:szCs w:val="28"/>
              </w:rPr>
              <w:t>    </w:t>
            </w:r>
            <w:r>
              <w:rPr>
                <w:rFonts w:hint="eastAsia" w:ascii="仿宋_GB2312" w:hAnsi="仿宋" w:eastAsia="仿宋_GB2312" w:cs="仿宋_GB2312"/>
                <w:color w:val="auto"/>
                <w:sz w:val="24"/>
                <w:szCs w:val="28"/>
              </w:rPr>
              <w:t>行政类</w:t>
            </w:r>
          </w:p>
        </w:tc>
        <w:tc>
          <w:tcPr>
            <w:tcW w:w="1034" w:type="dxa"/>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hint="eastAsia" w:ascii="仿宋_GB2312" w:hAnsi="仿宋" w:eastAsia="仿宋_GB2312" w:cs="Times New Roman"/>
                <w:color w:val="auto"/>
                <w:sz w:val="24"/>
                <w:szCs w:val="28"/>
                <w:lang w:val="en-US" w:eastAsia="zh-CN"/>
              </w:rPr>
            </w:pPr>
            <w:r>
              <w:rPr>
                <w:rFonts w:hint="eastAsia" w:ascii="仿宋_GB2312" w:hAnsi="仿宋" w:eastAsia="仿宋_GB2312" w:cs="Times New Roman"/>
                <w:color w:val="auto"/>
                <w:sz w:val="24"/>
                <w:szCs w:val="28"/>
                <w:lang w:val="en-US" w:eastAsia="zh-CN"/>
              </w:rPr>
              <w:t>1</w:t>
            </w:r>
          </w:p>
        </w:tc>
        <w:tc>
          <w:tcPr>
            <w:tcW w:w="1106" w:type="dxa"/>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仿宋_GB2312" w:hAnsi="仿宋" w:eastAsia="仿宋_GB2312" w:cs="Times New Roman"/>
                <w:color w:val="auto"/>
                <w:sz w:val="24"/>
                <w:szCs w:val="28"/>
              </w:rPr>
            </w:pPr>
            <w:r>
              <w:rPr>
                <w:rFonts w:hint="eastAsia" w:ascii="仿宋_GB2312" w:hAnsi="仿宋" w:eastAsia="仿宋_GB2312" w:cs="Times New Roman"/>
                <w:color w:val="auto"/>
                <w:sz w:val="24"/>
                <w:szCs w:val="28"/>
              </w:rPr>
              <w:t>—</w:t>
            </w:r>
          </w:p>
        </w:tc>
        <w:tc>
          <w:tcPr>
            <w:tcW w:w="3460"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仿宋_GB2312" w:hAnsi="仿宋" w:eastAsia="仿宋_GB2312" w:cs="Times New Roman"/>
                <w:color w:val="auto"/>
                <w:sz w:val="24"/>
                <w:szCs w:val="28"/>
              </w:rPr>
            </w:pPr>
          </w:p>
        </w:tc>
      </w:tr>
      <w:tr>
        <w:tblPrEx>
          <w:tblLayout w:type="fixed"/>
          <w:tblCellMar>
            <w:top w:w="0" w:type="dxa"/>
            <w:left w:w="0" w:type="dxa"/>
            <w:bottom w:w="0" w:type="dxa"/>
            <w:right w:w="0" w:type="dxa"/>
          </w:tblCellMar>
        </w:tblPrEx>
        <w:trPr>
          <w:trHeight w:val="285" w:hRule="atLeast"/>
        </w:trPr>
        <w:tc>
          <w:tcPr>
            <w:tcW w:w="292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rPr>
                <w:rFonts w:ascii="仿宋_GB2312" w:hAnsi="Times New Roman" w:eastAsia="仿宋_GB2312" w:cs="Times New Roman"/>
                <w:color w:val="auto"/>
                <w:sz w:val="24"/>
                <w:szCs w:val="28"/>
              </w:rPr>
            </w:pPr>
            <w:r>
              <w:rPr>
                <w:rFonts w:hint="eastAsia" w:ascii="仿宋_GB2312" w:hAnsi="Times New Roman" w:eastAsia="仿宋_GB2312" w:cs="Times New Roman"/>
                <w:color w:val="auto"/>
                <w:sz w:val="24"/>
                <w:szCs w:val="28"/>
              </w:rPr>
              <w:t xml:space="preserve">  公益一类</w:t>
            </w:r>
          </w:p>
        </w:tc>
        <w:tc>
          <w:tcPr>
            <w:tcW w:w="1034"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仿宋_GB2312" w:hAnsi="仿宋" w:eastAsia="仿宋_GB2312" w:cs="仿宋_GB2312"/>
                <w:color w:val="auto"/>
                <w:sz w:val="24"/>
                <w:szCs w:val="28"/>
              </w:rPr>
            </w:pPr>
          </w:p>
        </w:tc>
        <w:tc>
          <w:tcPr>
            <w:tcW w:w="1106" w:type="dxa"/>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仿宋_GB2312" w:hAnsi="仿宋" w:eastAsia="仿宋_GB2312" w:cs="仿宋_GB2312"/>
                <w:color w:val="auto"/>
                <w:sz w:val="24"/>
                <w:szCs w:val="28"/>
              </w:rPr>
            </w:pPr>
            <w:r>
              <w:rPr>
                <w:rFonts w:hint="eastAsia" w:ascii="仿宋_GB2312" w:hAnsi="仿宋" w:eastAsia="仿宋_GB2312" w:cs="Times New Roman"/>
                <w:color w:val="auto"/>
                <w:sz w:val="24"/>
                <w:szCs w:val="28"/>
              </w:rPr>
              <w:t>—</w:t>
            </w:r>
          </w:p>
        </w:tc>
        <w:tc>
          <w:tcPr>
            <w:tcW w:w="3460"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仿宋_GB2312" w:hAnsi="仿宋" w:eastAsia="仿宋_GB2312" w:cs="仿宋_GB2312"/>
                <w:color w:val="auto"/>
                <w:sz w:val="24"/>
                <w:szCs w:val="28"/>
              </w:rPr>
            </w:pPr>
          </w:p>
        </w:tc>
      </w:tr>
      <w:tr>
        <w:tblPrEx>
          <w:tblLayout w:type="fixed"/>
          <w:tblCellMar>
            <w:top w:w="0" w:type="dxa"/>
            <w:left w:w="0" w:type="dxa"/>
            <w:bottom w:w="0" w:type="dxa"/>
            <w:right w:w="0" w:type="dxa"/>
          </w:tblCellMar>
        </w:tblPrEx>
        <w:trPr>
          <w:trHeight w:val="285" w:hRule="atLeast"/>
        </w:trPr>
        <w:tc>
          <w:tcPr>
            <w:tcW w:w="292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rPr>
                <w:rFonts w:ascii="仿宋_GB2312" w:hAnsi="Times New Roman" w:eastAsia="仿宋_GB2312" w:cs="Times New Roman"/>
                <w:color w:val="auto"/>
                <w:sz w:val="24"/>
                <w:szCs w:val="28"/>
              </w:rPr>
            </w:pPr>
            <w:r>
              <w:rPr>
                <w:rFonts w:hint="eastAsia" w:ascii="仿宋_GB2312" w:hAnsi="Times New Roman" w:eastAsia="仿宋_GB2312" w:cs="Times New Roman"/>
                <w:color w:val="auto"/>
                <w:sz w:val="24"/>
                <w:szCs w:val="28"/>
              </w:rPr>
              <w:t xml:space="preserve">  公益二类</w:t>
            </w:r>
          </w:p>
        </w:tc>
        <w:tc>
          <w:tcPr>
            <w:tcW w:w="1034"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仿宋_GB2312" w:hAnsi="仿宋" w:eastAsia="仿宋_GB2312" w:cs="仿宋_GB2312"/>
                <w:color w:val="auto"/>
                <w:sz w:val="24"/>
                <w:szCs w:val="28"/>
              </w:rPr>
            </w:pPr>
          </w:p>
        </w:tc>
        <w:tc>
          <w:tcPr>
            <w:tcW w:w="1106" w:type="dxa"/>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仿宋_GB2312" w:hAnsi="仿宋" w:eastAsia="仿宋_GB2312" w:cs="仿宋_GB2312"/>
                <w:color w:val="auto"/>
                <w:sz w:val="24"/>
                <w:szCs w:val="28"/>
              </w:rPr>
            </w:pPr>
            <w:r>
              <w:rPr>
                <w:rFonts w:hint="eastAsia" w:ascii="仿宋_GB2312" w:hAnsi="仿宋" w:eastAsia="仿宋_GB2312" w:cs="Times New Roman"/>
                <w:color w:val="auto"/>
                <w:sz w:val="24"/>
                <w:szCs w:val="28"/>
              </w:rPr>
              <w:t>—</w:t>
            </w:r>
          </w:p>
        </w:tc>
        <w:tc>
          <w:tcPr>
            <w:tcW w:w="3460"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仿宋_GB2312" w:hAnsi="仿宋" w:eastAsia="仿宋_GB2312" w:cs="仿宋_GB2312"/>
                <w:color w:val="auto"/>
                <w:sz w:val="24"/>
                <w:szCs w:val="28"/>
              </w:rPr>
            </w:pPr>
          </w:p>
        </w:tc>
      </w:tr>
      <w:tr>
        <w:tblPrEx>
          <w:tblLayout w:type="fixed"/>
          <w:tblCellMar>
            <w:top w:w="0" w:type="dxa"/>
            <w:left w:w="0" w:type="dxa"/>
            <w:bottom w:w="0" w:type="dxa"/>
            <w:right w:w="0" w:type="dxa"/>
          </w:tblCellMar>
        </w:tblPrEx>
        <w:trPr>
          <w:trHeight w:val="285" w:hRule="atLeast"/>
        </w:trPr>
        <w:tc>
          <w:tcPr>
            <w:tcW w:w="292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rPr>
                <w:rFonts w:ascii="仿宋_GB2312" w:hAnsi="Times New Roman" w:eastAsia="仿宋_GB2312" w:cs="Times New Roman"/>
                <w:color w:val="auto"/>
                <w:sz w:val="24"/>
                <w:szCs w:val="28"/>
              </w:rPr>
            </w:pPr>
            <w:r>
              <w:rPr>
                <w:rFonts w:hint="eastAsia" w:ascii="仿宋_GB2312" w:hAnsi="Times New Roman" w:eastAsia="仿宋_GB2312" w:cs="Times New Roman"/>
                <w:color w:val="auto"/>
                <w:sz w:val="24"/>
                <w:szCs w:val="28"/>
              </w:rPr>
              <w:t xml:space="preserve">  生产经营类</w:t>
            </w:r>
          </w:p>
        </w:tc>
        <w:tc>
          <w:tcPr>
            <w:tcW w:w="1034"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仿宋_GB2312" w:hAnsi="仿宋" w:eastAsia="仿宋_GB2312" w:cs="仿宋_GB2312"/>
                <w:color w:val="auto"/>
                <w:sz w:val="24"/>
                <w:szCs w:val="28"/>
              </w:rPr>
            </w:pPr>
          </w:p>
        </w:tc>
        <w:tc>
          <w:tcPr>
            <w:tcW w:w="1106" w:type="dxa"/>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仿宋_GB2312" w:hAnsi="仿宋" w:eastAsia="仿宋_GB2312" w:cs="仿宋_GB2312"/>
                <w:color w:val="auto"/>
                <w:sz w:val="24"/>
                <w:szCs w:val="28"/>
              </w:rPr>
            </w:pPr>
            <w:r>
              <w:rPr>
                <w:rFonts w:hint="eastAsia" w:ascii="仿宋_GB2312" w:hAnsi="仿宋" w:eastAsia="仿宋_GB2312" w:cs="Times New Roman"/>
                <w:color w:val="auto"/>
                <w:sz w:val="24"/>
                <w:szCs w:val="28"/>
              </w:rPr>
              <w:t>—</w:t>
            </w:r>
          </w:p>
        </w:tc>
        <w:tc>
          <w:tcPr>
            <w:tcW w:w="3460"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仿宋_GB2312" w:hAnsi="仿宋" w:eastAsia="仿宋_GB2312" w:cs="仿宋_GB2312"/>
                <w:color w:val="auto"/>
                <w:sz w:val="24"/>
                <w:szCs w:val="28"/>
              </w:rPr>
            </w:pPr>
          </w:p>
        </w:tc>
      </w:tr>
      <w:tr>
        <w:tblPrEx>
          <w:tblLayout w:type="fixed"/>
          <w:tblCellMar>
            <w:top w:w="0" w:type="dxa"/>
            <w:left w:w="0" w:type="dxa"/>
            <w:bottom w:w="0" w:type="dxa"/>
            <w:right w:w="0" w:type="dxa"/>
          </w:tblCellMar>
        </w:tblPrEx>
        <w:trPr>
          <w:trHeight w:val="285" w:hRule="atLeast"/>
        </w:trPr>
        <w:tc>
          <w:tcPr>
            <w:tcW w:w="292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rPr>
                <w:rFonts w:ascii="仿宋_GB2312" w:hAnsi="仿宋" w:eastAsia="仿宋_GB2312" w:cs="Times New Roman"/>
                <w:color w:val="auto"/>
                <w:sz w:val="24"/>
                <w:szCs w:val="28"/>
              </w:rPr>
            </w:pPr>
            <w:r>
              <w:rPr>
                <w:rFonts w:hint="eastAsia" w:ascii="仿宋_GB2312" w:hAnsi="Times New Roman" w:eastAsia="仿宋_GB2312" w:cs="Times New Roman"/>
                <w:color w:val="auto"/>
                <w:sz w:val="24"/>
                <w:szCs w:val="28"/>
              </w:rPr>
              <w:t xml:space="preserve">  暂未明确类别</w:t>
            </w:r>
          </w:p>
        </w:tc>
        <w:tc>
          <w:tcPr>
            <w:tcW w:w="1034"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仿宋_GB2312" w:hAnsi="仿宋" w:eastAsia="仿宋_GB2312" w:cs="Times New Roman"/>
                <w:color w:val="auto"/>
                <w:sz w:val="24"/>
                <w:szCs w:val="28"/>
              </w:rPr>
            </w:pPr>
          </w:p>
        </w:tc>
        <w:tc>
          <w:tcPr>
            <w:tcW w:w="1106" w:type="dxa"/>
            <w:tcBorders>
              <w:top w:val="nil"/>
              <w:left w:val="nil"/>
              <w:bottom w:val="single" w:color="auto" w:sz="8" w:space="0"/>
              <w:right w:val="single" w:color="auto" w:sz="8" w:space="0"/>
            </w:tcBorders>
            <w:tcMar>
              <w:top w:w="0" w:type="dxa"/>
              <w:left w:w="108" w:type="dxa"/>
              <w:bottom w:w="0" w:type="dxa"/>
              <w:right w:w="108" w:type="dxa"/>
            </w:tcMar>
            <w:vAlign w:val="center"/>
          </w:tcPr>
          <w:p>
            <w:pPr>
              <w:jc w:val="center"/>
              <w:rPr>
                <w:rFonts w:ascii="仿宋_GB2312" w:hAnsi="仿宋" w:eastAsia="仿宋_GB2312" w:cs="Times New Roman"/>
                <w:color w:val="auto"/>
                <w:sz w:val="24"/>
                <w:szCs w:val="28"/>
              </w:rPr>
            </w:pPr>
            <w:r>
              <w:rPr>
                <w:rFonts w:hint="eastAsia" w:ascii="仿宋_GB2312" w:hAnsi="仿宋" w:eastAsia="仿宋_GB2312" w:cs="Times New Roman"/>
                <w:color w:val="auto"/>
                <w:sz w:val="24"/>
                <w:szCs w:val="28"/>
              </w:rPr>
              <w:t>—</w:t>
            </w:r>
          </w:p>
        </w:tc>
        <w:tc>
          <w:tcPr>
            <w:tcW w:w="3460" w:type="dxa"/>
            <w:tcBorders>
              <w:top w:val="nil"/>
              <w:left w:val="nil"/>
              <w:bottom w:val="single" w:color="auto" w:sz="8" w:space="0"/>
              <w:right w:val="single" w:color="auto" w:sz="8" w:space="0"/>
            </w:tcBorders>
            <w:tcMar>
              <w:top w:w="0" w:type="dxa"/>
              <w:left w:w="108" w:type="dxa"/>
              <w:bottom w:w="0" w:type="dxa"/>
              <w:right w:w="108" w:type="dxa"/>
            </w:tcMar>
            <w:vAlign w:val="center"/>
          </w:tcPr>
          <w:p>
            <w:pPr>
              <w:rPr>
                <w:rFonts w:ascii="仿宋_GB2312" w:hAnsi="仿宋" w:eastAsia="仿宋_GB2312" w:cs="Times New Roman"/>
                <w:color w:val="auto"/>
                <w:sz w:val="24"/>
                <w:szCs w:val="28"/>
              </w:rPr>
            </w:pPr>
          </w:p>
        </w:tc>
      </w:tr>
    </w:tbl>
    <w:p>
      <w:pPr>
        <w:ind w:firstLine="567"/>
        <w:rPr>
          <w:rFonts w:ascii="仿宋_GB2312" w:hAnsi="仿宋" w:eastAsia="仿宋_GB2312" w:cs="仿宋"/>
          <w:b/>
          <w:color w:val="auto"/>
          <w:sz w:val="32"/>
          <w:szCs w:val="32"/>
        </w:rPr>
      </w:pPr>
      <w:r>
        <w:rPr>
          <w:rFonts w:hint="eastAsia" w:ascii="楷体_GB2312" w:hAnsi="仿宋" w:eastAsia="楷体_GB2312" w:cs="仿宋"/>
          <w:b/>
          <w:color w:val="auto"/>
          <w:sz w:val="32"/>
          <w:szCs w:val="32"/>
        </w:rPr>
        <w:t>（二）部门录入户数说明</w:t>
      </w:r>
      <w:r>
        <w:rPr>
          <w:rFonts w:hint="eastAsia" w:ascii="仿宋_GB2312" w:hAnsi="仿宋" w:eastAsia="仿宋_GB2312" w:cs="仿宋"/>
          <w:b/>
          <w:color w:val="auto"/>
          <w:sz w:val="32"/>
          <w:szCs w:val="32"/>
        </w:rPr>
        <w:t>。</w:t>
      </w:r>
    </w:p>
    <w:p>
      <w:pPr>
        <w:ind w:firstLine="567"/>
        <w:rPr>
          <w:rFonts w:ascii="仿宋_GB2312" w:hAnsi="仿宋" w:eastAsia="仿宋_GB2312" w:cs="仿宋"/>
          <w:b/>
          <w:color w:val="auto"/>
          <w:sz w:val="32"/>
          <w:szCs w:val="32"/>
        </w:rPr>
      </w:pPr>
      <w:r>
        <w:rPr>
          <w:rFonts w:hint="eastAsia" w:ascii="仿宋_GB2312" w:eastAsia="仿宋_GB2312" w:cs="Times New Roman"/>
          <w:color w:val="auto"/>
          <w:sz w:val="32"/>
          <w:szCs w:val="32"/>
          <w:u w:val="single"/>
        </w:rPr>
        <w:t> </w:t>
      </w:r>
      <w:r>
        <w:rPr>
          <w:rFonts w:hint="eastAsia" w:ascii="仿宋_GB2312" w:eastAsia="仿宋_GB2312" w:cs="Times New Roman"/>
          <w:color w:val="auto"/>
          <w:sz w:val="32"/>
          <w:szCs w:val="32"/>
          <w:u w:val="single"/>
          <w:lang w:val="en-US" w:eastAsia="zh-CN"/>
        </w:rPr>
        <w:t>2019</w:t>
      </w:r>
      <w:r>
        <w:rPr>
          <w:rFonts w:hint="eastAsia" w:ascii="仿宋_GB2312" w:eastAsia="仿宋_GB2312" w:cs="Times New Roman"/>
          <w:color w:val="auto"/>
          <w:sz w:val="32"/>
          <w:szCs w:val="32"/>
          <w:u w:val="single"/>
        </w:rPr>
        <w:t> </w:t>
      </w:r>
      <w:r>
        <w:rPr>
          <w:rFonts w:hint="eastAsia" w:ascii="仿宋_GB2312" w:hAnsi="仿宋" w:eastAsia="仿宋_GB2312" w:cs="仿宋"/>
          <w:color w:val="auto"/>
          <w:sz w:val="32"/>
          <w:szCs w:val="32"/>
        </w:rPr>
        <w:t>年度，本部门决算汇编户数共</w:t>
      </w:r>
      <w:r>
        <w:rPr>
          <w:rFonts w:hint="eastAsia" w:ascii="仿宋_GB2312" w:eastAsia="仿宋_GB2312" w:cs="Times New Roman"/>
          <w:color w:val="auto"/>
          <w:sz w:val="32"/>
          <w:szCs w:val="32"/>
          <w:u w:val="single"/>
        </w:rPr>
        <w:t>  </w:t>
      </w:r>
      <w:r>
        <w:rPr>
          <w:rFonts w:hint="eastAsia" w:ascii="仿宋_GB2312" w:eastAsia="仿宋_GB2312" w:cs="Times New Roman"/>
          <w:color w:val="auto"/>
          <w:sz w:val="32"/>
          <w:szCs w:val="32"/>
          <w:u w:val="single"/>
          <w:lang w:val="en-US" w:eastAsia="zh-CN"/>
        </w:rPr>
        <w:t>1</w:t>
      </w:r>
      <w:r>
        <w:rPr>
          <w:rFonts w:hint="eastAsia" w:ascii="仿宋_GB2312" w:eastAsia="仿宋_GB2312" w:cs="Times New Roman"/>
          <w:color w:val="auto"/>
          <w:sz w:val="32"/>
          <w:szCs w:val="32"/>
          <w:u w:val="single"/>
        </w:rPr>
        <w:t>  </w:t>
      </w:r>
      <w:r>
        <w:rPr>
          <w:rFonts w:hint="eastAsia" w:ascii="仿宋_GB2312" w:hAnsi="仿宋" w:eastAsia="仿宋_GB2312" w:cs="仿宋"/>
          <w:color w:val="auto"/>
          <w:sz w:val="32"/>
          <w:szCs w:val="32"/>
        </w:rPr>
        <w:t>个，比上年增减</w:t>
      </w:r>
      <w:r>
        <w:rPr>
          <w:rFonts w:hint="eastAsia" w:ascii="仿宋_GB2312" w:eastAsia="仿宋_GB2312" w:cs="Times New Roman"/>
          <w:color w:val="auto"/>
          <w:sz w:val="32"/>
          <w:szCs w:val="32"/>
          <w:u w:val="single"/>
        </w:rPr>
        <w:t> </w:t>
      </w:r>
      <w:r>
        <w:rPr>
          <w:rFonts w:hint="eastAsia" w:ascii="仿宋_GB2312" w:eastAsia="仿宋_GB2312" w:cs="Times New Roman"/>
          <w:color w:val="auto"/>
          <w:sz w:val="32"/>
          <w:szCs w:val="32"/>
          <w:u w:val="single"/>
          <w:lang w:val="en-US" w:eastAsia="zh-CN"/>
        </w:rPr>
        <w:t>0</w:t>
      </w:r>
      <w:r>
        <w:rPr>
          <w:rFonts w:hint="eastAsia" w:ascii="仿宋_GB2312" w:eastAsia="仿宋_GB2312" w:cs="Times New Roman"/>
          <w:color w:val="auto"/>
          <w:sz w:val="32"/>
          <w:szCs w:val="32"/>
          <w:u w:val="single"/>
        </w:rPr>
        <w:t> </w:t>
      </w:r>
      <w:r>
        <w:rPr>
          <w:rFonts w:hint="eastAsia" w:ascii="仿宋_GB2312" w:hAnsi="仿宋" w:eastAsia="仿宋_GB2312" w:cs="仿宋"/>
          <w:color w:val="auto"/>
          <w:sz w:val="32"/>
          <w:szCs w:val="32"/>
        </w:rPr>
        <w:t>个，分类说明如下：</w:t>
      </w:r>
    </w:p>
    <w:tbl>
      <w:tblPr>
        <w:tblStyle w:val="5"/>
        <w:tblW w:w="8646" w:type="dxa"/>
        <w:tblInd w:w="2" w:type="dxa"/>
        <w:tblLayout w:type="fixed"/>
        <w:tblCellMar>
          <w:top w:w="0" w:type="dxa"/>
          <w:left w:w="0" w:type="dxa"/>
          <w:bottom w:w="0" w:type="dxa"/>
          <w:right w:w="0" w:type="dxa"/>
        </w:tblCellMar>
      </w:tblPr>
      <w:tblGrid>
        <w:gridCol w:w="3602"/>
        <w:gridCol w:w="1082"/>
        <w:gridCol w:w="1092"/>
        <w:gridCol w:w="2870"/>
      </w:tblGrid>
      <w:tr>
        <w:tblPrEx>
          <w:tblLayout w:type="fixed"/>
          <w:tblCellMar>
            <w:top w:w="0" w:type="dxa"/>
            <w:left w:w="0" w:type="dxa"/>
            <w:bottom w:w="0" w:type="dxa"/>
            <w:right w:w="0" w:type="dxa"/>
          </w:tblCellMar>
        </w:tblPrEx>
        <w:trPr>
          <w:trHeight w:val="60" w:hRule="atLeast"/>
          <w:tblHeader/>
        </w:trPr>
        <w:tc>
          <w:tcPr>
            <w:tcW w:w="3602"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spacing w:line="60" w:lineRule="atLeast"/>
              <w:jc w:val="center"/>
              <w:rPr>
                <w:rFonts w:ascii="仿宋_GB2312" w:hAnsi="仿宋" w:eastAsia="仿宋_GB2312" w:cs="Times New Roman"/>
                <w:color w:val="auto"/>
                <w:sz w:val="24"/>
                <w:szCs w:val="28"/>
              </w:rPr>
            </w:pPr>
            <w:r>
              <w:rPr>
                <w:rFonts w:hint="eastAsia" w:ascii="仿宋_GB2312" w:hAnsi="仿宋" w:eastAsia="仿宋_GB2312" w:cs="仿宋_GB2312"/>
                <w:color w:val="auto"/>
                <w:sz w:val="24"/>
                <w:szCs w:val="28"/>
              </w:rPr>
              <w:t>项目</w:t>
            </w:r>
          </w:p>
        </w:tc>
        <w:tc>
          <w:tcPr>
            <w:tcW w:w="1082"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spacing w:line="60" w:lineRule="atLeast"/>
              <w:jc w:val="center"/>
              <w:rPr>
                <w:rFonts w:ascii="仿宋_GB2312" w:hAnsi="仿宋" w:eastAsia="仿宋_GB2312" w:cs="Times New Roman"/>
                <w:color w:val="auto"/>
                <w:sz w:val="24"/>
                <w:szCs w:val="28"/>
              </w:rPr>
            </w:pPr>
            <w:r>
              <w:rPr>
                <w:rFonts w:hint="eastAsia" w:ascii="仿宋_GB2312" w:hAnsi="仿宋" w:eastAsia="仿宋_GB2312" w:cs="仿宋_GB2312"/>
                <w:color w:val="auto"/>
                <w:sz w:val="24"/>
                <w:szCs w:val="28"/>
              </w:rPr>
              <w:t>数量</w:t>
            </w:r>
          </w:p>
        </w:tc>
        <w:tc>
          <w:tcPr>
            <w:tcW w:w="1092"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spacing w:line="60" w:lineRule="atLeast"/>
              <w:jc w:val="center"/>
              <w:rPr>
                <w:rFonts w:ascii="仿宋_GB2312" w:hAnsi="仿宋" w:eastAsia="仿宋_GB2312" w:cs="Times New Roman"/>
                <w:color w:val="auto"/>
                <w:sz w:val="24"/>
                <w:szCs w:val="28"/>
              </w:rPr>
            </w:pPr>
            <w:r>
              <w:rPr>
                <w:rFonts w:hint="eastAsia" w:ascii="仿宋_GB2312" w:hAnsi="仿宋" w:eastAsia="仿宋_GB2312" w:cs="仿宋_GB2312"/>
                <w:color w:val="auto"/>
                <w:sz w:val="24"/>
                <w:szCs w:val="28"/>
              </w:rPr>
              <w:t>比上年增减</w:t>
            </w:r>
          </w:p>
        </w:tc>
        <w:tc>
          <w:tcPr>
            <w:tcW w:w="2870"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spacing w:line="60" w:lineRule="atLeast"/>
              <w:jc w:val="center"/>
              <w:rPr>
                <w:rFonts w:ascii="仿宋_GB2312" w:hAnsi="仿宋" w:eastAsia="仿宋_GB2312" w:cs="Times New Roman"/>
                <w:color w:val="auto"/>
                <w:sz w:val="24"/>
                <w:szCs w:val="28"/>
              </w:rPr>
            </w:pPr>
            <w:r>
              <w:rPr>
                <w:rFonts w:hint="eastAsia" w:ascii="仿宋_GB2312" w:hAnsi="仿宋" w:eastAsia="仿宋_GB2312" w:cs="仿宋_GB2312"/>
                <w:color w:val="auto"/>
                <w:sz w:val="24"/>
                <w:szCs w:val="28"/>
              </w:rPr>
              <w:t>变动原因说明</w:t>
            </w:r>
          </w:p>
        </w:tc>
      </w:tr>
      <w:tr>
        <w:tblPrEx>
          <w:tblLayout w:type="fixed"/>
          <w:tblCellMar>
            <w:top w:w="0" w:type="dxa"/>
            <w:left w:w="0" w:type="dxa"/>
            <w:bottom w:w="0" w:type="dxa"/>
            <w:right w:w="0" w:type="dxa"/>
          </w:tblCellMar>
        </w:tblPrEx>
        <w:trPr>
          <w:trHeight w:val="300" w:hRule="atLeast"/>
        </w:trPr>
        <w:tc>
          <w:tcPr>
            <w:tcW w:w="3602"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jc w:val="center"/>
              <w:rPr>
                <w:rFonts w:ascii="仿宋_GB2312" w:hAnsi="仿宋" w:eastAsia="仿宋_GB2312" w:cs="Times New Roman"/>
                <w:color w:val="auto"/>
                <w:sz w:val="24"/>
                <w:szCs w:val="28"/>
              </w:rPr>
            </w:pPr>
            <w:r>
              <w:rPr>
                <w:rFonts w:hint="eastAsia" w:ascii="仿宋_GB2312" w:hAnsi="仿宋" w:eastAsia="仿宋_GB2312" w:cs="仿宋_GB2312"/>
                <w:color w:val="auto"/>
                <w:sz w:val="24"/>
                <w:szCs w:val="28"/>
              </w:rPr>
              <w:t>合</w:t>
            </w:r>
            <w:r>
              <w:rPr>
                <w:rFonts w:hint="eastAsia" w:ascii="仿宋_GB2312" w:hAnsi="Times New Roman" w:eastAsia="仿宋_GB2312" w:cs="Times New Roman"/>
                <w:color w:val="auto"/>
                <w:sz w:val="24"/>
                <w:szCs w:val="28"/>
              </w:rPr>
              <w:t>    </w:t>
            </w:r>
            <w:r>
              <w:rPr>
                <w:rFonts w:hint="eastAsia" w:ascii="仿宋_GB2312" w:hAnsi="仿宋" w:eastAsia="仿宋_GB2312" w:cs="仿宋_GB2312"/>
                <w:color w:val="auto"/>
                <w:sz w:val="24"/>
                <w:szCs w:val="28"/>
              </w:rPr>
              <w:t>计</w:t>
            </w:r>
          </w:p>
        </w:tc>
        <w:tc>
          <w:tcPr>
            <w:tcW w:w="1082" w:type="dxa"/>
            <w:tcBorders>
              <w:top w:val="nil"/>
              <w:left w:val="nil"/>
              <w:bottom w:val="single" w:color="000000" w:sz="8" w:space="0"/>
              <w:right w:val="single" w:color="000000" w:sz="8" w:space="0"/>
            </w:tcBorders>
            <w:tcMar>
              <w:top w:w="0" w:type="dxa"/>
              <w:left w:w="108" w:type="dxa"/>
              <w:bottom w:w="0" w:type="dxa"/>
              <w:right w:w="108" w:type="dxa"/>
            </w:tcMar>
            <w:vAlign w:val="center"/>
          </w:tcPr>
          <w:p>
            <w:pPr>
              <w:rPr>
                <w:rFonts w:ascii="仿宋_GB2312" w:hAnsi="Times New Roman" w:eastAsia="仿宋_GB2312" w:cs="Times New Roman"/>
                <w:color w:val="auto"/>
                <w:sz w:val="24"/>
                <w:szCs w:val="28"/>
              </w:rPr>
            </w:pPr>
            <w:r>
              <w:rPr>
                <w:rFonts w:hint="eastAsia" w:ascii="仿宋_GB2312" w:hAnsi="Times New Roman" w:eastAsia="仿宋_GB2312" w:cs="仿宋_GB2312"/>
                <w:color w:val="auto"/>
                <w:sz w:val="24"/>
                <w:szCs w:val="28"/>
              </w:rPr>
              <w:t>　</w:t>
            </w:r>
          </w:p>
        </w:tc>
        <w:tc>
          <w:tcPr>
            <w:tcW w:w="1092" w:type="dxa"/>
            <w:tcBorders>
              <w:top w:val="nil"/>
              <w:left w:val="nil"/>
              <w:bottom w:val="single" w:color="000000" w:sz="8" w:space="0"/>
              <w:right w:val="single" w:color="000000" w:sz="8" w:space="0"/>
            </w:tcBorders>
            <w:tcMar>
              <w:top w:w="0" w:type="dxa"/>
              <w:left w:w="108" w:type="dxa"/>
              <w:bottom w:w="0" w:type="dxa"/>
              <w:right w:w="108" w:type="dxa"/>
            </w:tcMar>
            <w:vAlign w:val="center"/>
          </w:tcPr>
          <w:p>
            <w:pPr>
              <w:rPr>
                <w:rFonts w:ascii="仿宋_GB2312" w:hAnsi="Times New Roman" w:eastAsia="仿宋_GB2312" w:cs="Times New Roman"/>
                <w:color w:val="auto"/>
                <w:sz w:val="24"/>
                <w:szCs w:val="28"/>
              </w:rPr>
            </w:pPr>
            <w:r>
              <w:rPr>
                <w:rFonts w:hint="eastAsia" w:ascii="仿宋_GB2312" w:hAnsi="Times New Roman" w:eastAsia="仿宋_GB2312" w:cs="仿宋_GB2312"/>
                <w:color w:val="auto"/>
                <w:sz w:val="24"/>
                <w:szCs w:val="28"/>
              </w:rPr>
              <w:t>　</w:t>
            </w:r>
          </w:p>
        </w:tc>
        <w:tc>
          <w:tcPr>
            <w:tcW w:w="2870" w:type="dxa"/>
            <w:tcBorders>
              <w:top w:val="nil"/>
              <w:left w:val="nil"/>
              <w:bottom w:val="single" w:color="000000" w:sz="8" w:space="0"/>
              <w:right w:val="single" w:color="000000" w:sz="8" w:space="0"/>
            </w:tcBorders>
            <w:tcMar>
              <w:top w:w="0" w:type="dxa"/>
              <w:left w:w="108" w:type="dxa"/>
              <w:bottom w:w="0" w:type="dxa"/>
              <w:right w:w="108" w:type="dxa"/>
            </w:tcMar>
            <w:vAlign w:val="center"/>
          </w:tcPr>
          <w:p>
            <w:pPr>
              <w:rPr>
                <w:rFonts w:ascii="仿宋_GB2312" w:hAnsi="Times New Roman" w:eastAsia="仿宋_GB2312" w:cs="Times New Roman"/>
                <w:color w:val="auto"/>
                <w:sz w:val="24"/>
                <w:szCs w:val="28"/>
              </w:rPr>
            </w:pPr>
            <w:r>
              <w:rPr>
                <w:rFonts w:hint="eastAsia" w:ascii="仿宋_GB2312" w:hAnsi="Times New Roman" w:eastAsia="仿宋_GB2312" w:cs="仿宋_GB2312"/>
                <w:color w:val="auto"/>
                <w:sz w:val="24"/>
                <w:szCs w:val="28"/>
              </w:rPr>
              <w:t>　</w:t>
            </w:r>
          </w:p>
        </w:tc>
      </w:tr>
      <w:tr>
        <w:tblPrEx>
          <w:tblLayout w:type="fixed"/>
          <w:tblCellMar>
            <w:top w:w="0" w:type="dxa"/>
            <w:left w:w="0" w:type="dxa"/>
            <w:bottom w:w="0" w:type="dxa"/>
            <w:right w:w="0" w:type="dxa"/>
          </w:tblCellMar>
        </w:tblPrEx>
        <w:trPr>
          <w:trHeight w:val="300" w:hRule="atLeast"/>
        </w:trPr>
        <w:tc>
          <w:tcPr>
            <w:tcW w:w="3602"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rPr>
                <w:rFonts w:ascii="仿宋_GB2312" w:hAnsi="仿宋" w:eastAsia="仿宋_GB2312" w:cs="Times New Roman"/>
                <w:color w:val="auto"/>
                <w:sz w:val="24"/>
                <w:szCs w:val="28"/>
              </w:rPr>
            </w:pPr>
            <w:r>
              <w:rPr>
                <w:rFonts w:hint="eastAsia" w:ascii="仿宋_GB2312" w:hAnsi="仿宋" w:eastAsia="仿宋_GB2312" w:cs="仿宋_GB2312"/>
                <w:color w:val="auto"/>
                <w:sz w:val="24"/>
                <w:szCs w:val="28"/>
              </w:rPr>
              <w:t>一、单户表</w:t>
            </w:r>
          </w:p>
        </w:tc>
        <w:tc>
          <w:tcPr>
            <w:tcW w:w="1082" w:type="dxa"/>
            <w:tcBorders>
              <w:top w:val="nil"/>
              <w:left w:val="nil"/>
              <w:bottom w:val="single" w:color="000000" w:sz="8" w:space="0"/>
              <w:right w:val="single" w:color="000000" w:sz="8" w:space="0"/>
            </w:tcBorders>
            <w:tcMar>
              <w:top w:w="0" w:type="dxa"/>
              <w:left w:w="108" w:type="dxa"/>
              <w:bottom w:w="0" w:type="dxa"/>
              <w:right w:w="108" w:type="dxa"/>
            </w:tcMar>
            <w:vAlign w:val="center"/>
          </w:tcPr>
          <w:p>
            <w:pPr>
              <w:rPr>
                <w:rFonts w:ascii="仿宋_GB2312" w:hAnsi="Times New Roman" w:eastAsia="仿宋_GB2312" w:cs="Times New Roman"/>
                <w:color w:val="auto"/>
                <w:sz w:val="24"/>
                <w:szCs w:val="28"/>
              </w:rPr>
            </w:pPr>
            <w:r>
              <w:rPr>
                <w:rFonts w:hint="eastAsia" w:ascii="仿宋_GB2312" w:hAnsi="Times New Roman" w:eastAsia="仿宋_GB2312" w:cs="仿宋_GB2312"/>
                <w:color w:val="auto"/>
                <w:sz w:val="24"/>
                <w:szCs w:val="28"/>
              </w:rPr>
              <w:t>　</w:t>
            </w:r>
          </w:p>
        </w:tc>
        <w:tc>
          <w:tcPr>
            <w:tcW w:w="1092" w:type="dxa"/>
            <w:tcBorders>
              <w:top w:val="nil"/>
              <w:left w:val="nil"/>
              <w:bottom w:val="single" w:color="000000" w:sz="8" w:space="0"/>
              <w:right w:val="single" w:color="000000" w:sz="8" w:space="0"/>
            </w:tcBorders>
            <w:tcMar>
              <w:top w:w="0" w:type="dxa"/>
              <w:left w:w="108" w:type="dxa"/>
              <w:bottom w:w="0" w:type="dxa"/>
              <w:right w:w="108" w:type="dxa"/>
            </w:tcMar>
            <w:vAlign w:val="center"/>
          </w:tcPr>
          <w:p>
            <w:pPr>
              <w:rPr>
                <w:rFonts w:ascii="仿宋_GB2312" w:hAnsi="Times New Roman" w:eastAsia="仿宋_GB2312" w:cs="Times New Roman"/>
                <w:color w:val="auto"/>
                <w:sz w:val="24"/>
                <w:szCs w:val="28"/>
              </w:rPr>
            </w:pPr>
            <w:r>
              <w:rPr>
                <w:rFonts w:hint="eastAsia" w:ascii="仿宋_GB2312" w:hAnsi="Times New Roman" w:eastAsia="仿宋_GB2312" w:cs="仿宋_GB2312"/>
                <w:color w:val="auto"/>
                <w:sz w:val="24"/>
                <w:szCs w:val="28"/>
              </w:rPr>
              <w:t>　</w:t>
            </w:r>
          </w:p>
        </w:tc>
        <w:tc>
          <w:tcPr>
            <w:tcW w:w="2870" w:type="dxa"/>
            <w:tcBorders>
              <w:top w:val="nil"/>
              <w:left w:val="nil"/>
              <w:bottom w:val="single" w:color="000000" w:sz="8" w:space="0"/>
              <w:right w:val="single" w:color="000000" w:sz="8" w:space="0"/>
            </w:tcBorders>
            <w:tcMar>
              <w:top w:w="0" w:type="dxa"/>
              <w:left w:w="108" w:type="dxa"/>
              <w:bottom w:w="0" w:type="dxa"/>
              <w:right w:w="108" w:type="dxa"/>
            </w:tcMar>
            <w:vAlign w:val="center"/>
          </w:tcPr>
          <w:p>
            <w:pPr>
              <w:rPr>
                <w:rFonts w:ascii="仿宋_GB2312" w:hAnsi="Times New Roman" w:eastAsia="仿宋_GB2312" w:cs="Times New Roman"/>
                <w:color w:val="auto"/>
                <w:sz w:val="24"/>
                <w:szCs w:val="28"/>
              </w:rPr>
            </w:pPr>
            <w:r>
              <w:rPr>
                <w:rFonts w:hint="eastAsia" w:ascii="仿宋_GB2312" w:hAnsi="Times New Roman" w:eastAsia="仿宋_GB2312" w:cs="仿宋_GB2312"/>
                <w:color w:val="auto"/>
                <w:sz w:val="24"/>
                <w:szCs w:val="28"/>
              </w:rPr>
              <w:t>　</w:t>
            </w:r>
          </w:p>
        </w:tc>
      </w:tr>
      <w:tr>
        <w:tblPrEx>
          <w:tblLayout w:type="fixed"/>
          <w:tblCellMar>
            <w:top w:w="0" w:type="dxa"/>
            <w:left w:w="0" w:type="dxa"/>
            <w:bottom w:w="0" w:type="dxa"/>
            <w:right w:w="0" w:type="dxa"/>
          </w:tblCellMar>
        </w:tblPrEx>
        <w:trPr>
          <w:trHeight w:val="300" w:hRule="atLeast"/>
        </w:trPr>
        <w:tc>
          <w:tcPr>
            <w:tcW w:w="3602"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rPr>
                <w:rFonts w:ascii="仿宋_GB2312" w:hAnsi="仿宋" w:eastAsia="仿宋_GB2312" w:cs="Times New Roman"/>
                <w:color w:val="auto"/>
                <w:sz w:val="24"/>
                <w:szCs w:val="28"/>
              </w:rPr>
            </w:pPr>
            <w:r>
              <w:rPr>
                <w:rFonts w:hint="eastAsia" w:ascii="仿宋_GB2312" w:hAnsi="仿宋" w:eastAsia="仿宋_GB2312" w:cs="仿宋_GB2312"/>
                <w:color w:val="auto"/>
                <w:sz w:val="24"/>
                <w:szCs w:val="28"/>
              </w:rPr>
              <w:t>二、行政单位汇总录入表</w:t>
            </w:r>
          </w:p>
        </w:tc>
        <w:tc>
          <w:tcPr>
            <w:tcW w:w="1082" w:type="dxa"/>
            <w:tcBorders>
              <w:top w:val="nil"/>
              <w:left w:val="nil"/>
              <w:bottom w:val="single" w:color="000000" w:sz="8" w:space="0"/>
              <w:right w:val="single" w:color="000000" w:sz="8" w:space="0"/>
            </w:tcBorders>
            <w:tcMar>
              <w:top w:w="0" w:type="dxa"/>
              <w:left w:w="108" w:type="dxa"/>
              <w:bottom w:w="0" w:type="dxa"/>
              <w:right w:w="108" w:type="dxa"/>
            </w:tcMar>
            <w:vAlign w:val="center"/>
          </w:tcPr>
          <w:p>
            <w:pPr>
              <w:rPr>
                <w:rFonts w:hint="eastAsia" w:ascii="仿宋_GB2312" w:hAnsi="仿宋" w:eastAsia="仿宋_GB2312" w:cs="Times New Roman"/>
                <w:color w:val="auto"/>
                <w:kern w:val="2"/>
                <w:sz w:val="24"/>
                <w:szCs w:val="28"/>
                <w:lang w:val="en-US" w:eastAsia="zh-CN" w:bidi="ar-SA"/>
              </w:rPr>
            </w:pPr>
          </w:p>
        </w:tc>
        <w:tc>
          <w:tcPr>
            <w:tcW w:w="1092" w:type="dxa"/>
            <w:tcBorders>
              <w:top w:val="nil"/>
              <w:left w:val="nil"/>
              <w:bottom w:val="single" w:color="000000" w:sz="8" w:space="0"/>
              <w:right w:val="single" w:color="000000" w:sz="8" w:space="0"/>
            </w:tcBorders>
            <w:tcMar>
              <w:top w:w="0" w:type="dxa"/>
              <w:left w:w="108" w:type="dxa"/>
              <w:bottom w:w="0" w:type="dxa"/>
              <w:right w:w="108" w:type="dxa"/>
            </w:tcMar>
            <w:vAlign w:val="center"/>
          </w:tcPr>
          <w:p>
            <w:pPr>
              <w:rPr>
                <w:rFonts w:hint="eastAsia" w:ascii="仿宋_GB2312" w:hAnsi="仿宋" w:eastAsia="仿宋_GB2312" w:cs="Times New Roman"/>
                <w:color w:val="auto"/>
                <w:kern w:val="2"/>
                <w:sz w:val="24"/>
                <w:szCs w:val="28"/>
                <w:lang w:val="en-US" w:eastAsia="zh-CN" w:bidi="ar-SA"/>
              </w:rPr>
            </w:pPr>
          </w:p>
        </w:tc>
        <w:tc>
          <w:tcPr>
            <w:tcW w:w="2870" w:type="dxa"/>
            <w:tcBorders>
              <w:top w:val="nil"/>
              <w:left w:val="nil"/>
              <w:bottom w:val="single" w:color="000000" w:sz="8" w:space="0"/>
              <w:right w:val="single" w:color="000000" w:sz="8" w:space="0"/>
            </w:tcBorders>
            <w:tcMar>
              <w:top w:w="0" w:type="dxa"/>
              <w:left w:w="108" w:type="dxa"/>
              <w:bottom w:w="0" w:type="dxa"/>
              <w:right w:w="108" w:type="dxa"/>
            </w:tcMar>
            <w:vAlign w:val="center"/>
          </w:tcPr>
          <w:p>
            <w:pPr>
              <w:rPr>
                <w:rFonts w:hint="eastAsia" w:ascii="仿宋_GB2312" w:hAnsi="仿宋" w:eastAsia="仿宋_GB2312" w:cs="Times New Roman"/>
                <w:color w:val="auto"/>
                <w:kern w:val="2"/>
                <w:sz w:val="24"/>
                <w:szCs w:val="28"/>
                <w:lang w:val="en-US" w:eastAsia="zh-CN" w:bidi="ar-SA"/>
              </w:rPr>
            </w:pPr>
          </w:p>
        </w:tc>
      </w:tr>
      <w:tr>
        <w:tblPrEx>
          <w:tblLayout w:type="fixed"/>
          <w:tblCellMar>
            <w:top w:w="0" w:type="dxa"/>
            <w:left w:w="0" w:type="dxa"/>
            <w:bottom w:w="0" w:type="dxa"/>
            <w:right w:w="0" w:type="dxa"/>
          </w:tblCellMar>
        </w:tblPrEx>
        <w:trPr>
          <w:trHeight w:val="300" w:hRule="atLeast"/>
        </w:trPr>
        <w:tc>
          <w:tcPr>
            <w:tcW w:w="3602"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rPr>
                <w:rFonts w:ascii="仿宋_GB2312" w:hAnsi="仿宋" w:eastAsia="仿宋_GB2312" w:cs="Times New Roman"/>
                <w:color w:val="auto"/>
                <w:sz w:val="24"/>
                <w:szCs w:val="28"/>
              </w:rPr>
            </w:pPr>
            <w:r>
              <w:rPr>
                <w:rFonts w:hint="eastAsia" w:ascii="仿宋_GB2312" w:hAnsi="仿宋" w:eastAsia="仿宋_GB2312" w:cs="仿宋_GB2312"/>
                <w:color w:val="auto"/>
                <w:sz w:val="24"/>
                <w:szCs w:val="28"/>
              </w:rPr>
              <w:t>三、事业单位汇总录入表</w:t>
            </w:r>
          </w:p>
        </w:tc>
        <w:tc>
          <w:tcPr>
            <w:tcW w:w="1082" w:type="dxa"/>
            <w:tcBorders>
              <w:top w:val="nil"/>
              <w:left w:val="nil"/>
              <w:bottom w:val="single" w:color="000000" w:sz="8" w:space="0"/>
              <w:right w:val="single" w:color="000000" w:sz="8" w:space="0"/>
            </w:tcBorders>
            <w:tcMar>
              <w:top w:w="0" w:type="dxa"/>
              <w:left w:w="108" w:type="dxa"/>
              <w:bottom w:w="0" w:type="dxa"/>
              <w:right w:w="108" w:type="dxa"/>
            </w:tcMar>
            <w:vAlign w:val="center"/>
          </w:tcPr>
          <w:p>
            <w:pPr>
              <w:rPr>
                <w:rFonts w:ascii="仿宋_GB2312" w:hAnsi="仿宋" w:eastAsia="仿宋_GB2312" w:cs="Times New Roman"/>
                <w:color w:val="auto"/>
                <w:sz w:val="24"/>
                <w:szCs w:val="28"/>
              </w:rPr>
            </w:pPr>
            <w:r>
              <w:rPr>
                <w:rFonts w:hint="eastAsia" w:ascii="仿宋_GB2312" w:hAnsi="仿宋" w:eastAsia="仿宋_GB2312" w:cs="仿宋_GB2312"/>
                <w:color w:val="auto"/>
                <w:sz w:val="24"/>
                <w:szCs w:val="28"/>
              </w:rPr>
              <w:t>　</w:t>
            </w:r>
          </w:p>
        </w:tc>
        <w:tc>
          <w:tcPr>
            <w:tcW w:w="1092" w:type="dxa"/>
            <w:tcBorders>
              <w:top w:val="nil"/>
              <w:left w:val="nil"/>
              <w:bottom w:val="single" w:color="000000" w:sz="8" w:space="0"/>
              <w:right w:val="single" w:color="000000" w:sz="8" w:space="0"/>
            </w:tcBorders>
            <w:tcMar>
              <w:top w:w="0" w:type="dxa"/>
              <w:left w:w="108" w:type="dxa"/>
              <w:bottom w:w="0" w:type="dxa"/>
              <w:right w:w="108" w:type="dxa"/>
            </w:tcMar>
            <w:vAlign w:val="center"/>
          </w:tcPr>
          <w:p>
            <w:pPr>
              <w:rPr>
                <w:rFonts w:ascii="仿宋_GB2312" w:hAnsi="仿宋" w:eastAsia="仿宋_GB2312" w:cs="Times New Roman"/>
                <w:color w:val="auto"/>
                <w:sz w:val="24"/>
                <w:szCs w:val="28"/>
              </w:rPr>
            </w:pPr>
            <w:r>
              <w:rPr>
                <w:rFonts w:hint="eastAsia" w:ascii="仿宋_GB2312" w:hAnsi="仿宋" w:eastAsia="仿宋_GB2312" w:cs="仿宋_GB2312"/>
                <w:color w:val="auto"/>
                <w:sz w:val="24"/>
                <w:szCs w:val="28"/>
              </w:rPr>
              <w:t>　</w:t>
            </w:r>
          </w:p>
        </w:tc>
        <w:tc>
          <w:tcPr>
            <w:tcW w:w="2870" w:type="dxa"/>
            <w:tcBorders>
              <w:top w:val="nil"/>
              <w:left w:val="nil"/>
              <w:bottom w:val="single" w:color="000000" w:sz="8" w:space="0"/>
              <w:right w:val="single" w:color="000000" w:sz="8" w:space="0"/>
            </w:tcBorders>
            <w:tcMar>
              <w:top w:w="0" w:type="dxa"/>
              <w:left w:w="108" w:type="dxa"/>
              <w:bottom w:w="0" w:type="dxa"/>
              <w:right w:w="108" w:type="dxa"/>
            </w:tcMar>
            <w:vAlign w:val="center"/>
          </w:tcPr>
          <w:p>
            <w:pPr>
              <w:rPr>
                <w:rFonts w:ascii="仿宋_GB2312" w:hAnsi="仿宋" w:eastAsia="仿宋_GB2312" w:cs="Times New Roman"/>
                <w:color w:val="auto"/>
                <w:sz w:val="24"/>
                <w:szCs w:val="28"/>
              </w:rPr>
            </w:pPr>
            <w:r>
              <w:rPr>
                <w:rFonts w:hint="eastAsia" w:ascii="仿宋_GB2312" w:hAnsi="仿宋" w:eastAsia="仿宋_GB2312" w:cs="仿宋_GB2312"/>
                <w:color w:val="auto"/>
                <w:sz w:val="24"/>
                <w:szCs w:val="28"/>
              </w:rPr>
              <w:t>　</w:t>
            </w:r>
          </w:p>
        </w:tc>
      </w:tr>
      <w:tr>
        <w:tblPrEx>
          <w:tblLayout w:type="fixed"/>
          <w:tblCellMar>
            <w:top w:w="0" w:type="dxa"/>
            <w:left w:w="0" w:type="dxa"/>
            <w:bottom w:w="0" w:type="dxa"/>
            <w:right w:w="0" w:type="dxa"/>
          </w:tblCellMar>
        </w:tblPrEx>
        <w:trPr>
          <w:trHeight w:val="300" w:hRule="atLeast"/>
        </w:trPr>
        <w:tc>
          <w:tcPr>
            <w:tcW w:w="3602"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rPr>
                <w:rFonts w:ascii="仿宋_GB2312" w:hAnsi="仿宋" w:eastAsia="仿宋_GB2312" w:cs="Times New Roman"/>
                <w:color w:val="auto"/>
                <w:sz w:val="24"/>
                <w:szCs w:val="28"/>
              </w:rPr>
            </w:pPr>
            <w:r>
              <w:rPr>
                <w:rFonts w:hint="eastAsia" w:ascii="仿宋_GB2312" w:hAnsi="仿宋" w:eastAsia="仿宋_GB2312" w:cs="仿宋_GB2312"/>
                <w:color w:val="auto"/>
                <w:sz w:val="24"/>
                <w:szCs w:val="28"/>
              </w:rPr>
              <w:t>四、经费自理事业单位汇总录入表</w:t>
            </w:r>
          </w:p>
        </w:tc>
        <w:tc>
          <w:tcPr>
            <w:tcW w:w="1082" w:type="dxa"/>
            <w:tcBorders>
              <w:top w:val="nil"/>
              <w:left w:val="nil"/>
              <w:bottom w:val="single" w:color="000000" w:sz="8" w:space="0"/>
              <w:right w:val="single" w:color="000000" w:sz="8" w:space="0"/>
            </w:tcBorders>
            <w:tcMar>
              <w:top w:w="0" w:type="dxa"/>
              <w:left w:w="108" w:type="dxa"/>
              <w:bottom w:w="0" w:type="dxa"/>
              <w:right w:w="108" w:type="dxa"/>
            </w:tcMar>
            <w:vAlign w:val="center"/>
          </w:tcPr>
          <w:p>
            <w:pPr>
              <w:rPr>
                <w:rFonts w:ascii="仿宋_GB2312" w:hAnsi="仿宋" w:eastAsia="仿宋_GB2312" w:cs="Times New Roman"/>
                <w:color w:val="auto"/>
                <w:sz w:val="24"/>
                <w:szCs w:val="28"/>
              </w:rPr>
            </w:pPr>
            <w:r>
              <w:rPr>
                <w:rFonts w:hint="eastAsia" w:ascii="仿宋_GB2312" w:hAnsi="仿宋" w:eastAsia="仿宋_GB2312" w:cs="仿宋_GB2312"/>
                <w:color w:val="auto"/>
                <w:sz w:val="24"/>
                <w:szCs w:val="28"/>
              </w:rPr>
              <w:t>　</w:t>
            </w:r>
          </w:p>
        </w:tc>
        <w:tc>
          <w:tcPr>
            <w:tcW w:w="1092" w:type="dxa"/>
            <w:tcBorders>
              <w:top w:val="nil"/>
              <w:left w:val="nil"/>
              <w:bottom w:val="single" w:color="000000" w:sz="8" w:space="0"/>
              <w:right w:val="single" w:color="000000" w:sz="8" w:space="0"/>
            </w:tcBorders>
            <w:tcMar>
              <w:top w:w="0" w:type="dxa"/>
              <w:left w:w="108" w:type="dxa"/>
              <w:bottom w:w="0" w:type="dxa"/>
              <w:right w:w="108" w:type="dxa"/>
            </w:tcMar>
            <w:vAlign w:val="center"/>
          </w:tcPr>
          <w:p>
            <w:pPr>
              <w:rPr>
                <w:rFonts w:ascii="仿宋_GB2312" w:hAnsi="仿宋" w:eastAsia="仿宋_GB2312" w:cs="Times New Roman"/>
                <w:color w:val="auto"/>
                <w:sz w:val="24"/>
                <w:szCs w:val="28"/>
              </w:rPr>
            </w:pPr>
            <w:r>
              <w:rPr>
                <w:rFonts w:hint="eastAsia" w:ascii="仿宋_GB2312" w:hAnsi="仿宋" w:eastAsia="仿宋_GB2312" w:cs="仿宋_GB2312"/>
                <w:color w:val="auto"/>
                <w:sz w:val="24"/>
                <w:szCs w:val="28"/>
              </w:rPr>
              <w:t>　</w:t>
            </w:r>
          </w:p>
        </w:tc>
        <w:tc>
          <w:tcPr>
            <w:tcW w:w="2870" w:type="dxa"/>
            <w:tcBorders>
              <w:top w:val="nil"/>
              <w:left w:val="nil"/>
              <w:bottom w:val="single" w:color="000000" w:sz="8" w:space="0"/>
              <w:right w:val="single" w:color="000000" w:sz="8" w:space="0"/>
            </w:tcBorders>
            <w:tcMar>
              <w:top w:w="0" w:type="dxa"/>
              <w:left w:w="108" w:type="dxa"/>
              <w:bottom w:w="0" w:type="dxa"/>
              <w:right w:w="108" w:type="dxa"/>
            </w:tcMar>
            <w:vAlign w:val="center"/>
          </w:tcPr>
          <w:p>
            <w:pPr>
              <w:rPr>
                <w:rFonts w:ascii="仿宋_GB2312" w:hAnsi="仿宋" w:eastAsia="仿宋_GB2312" w:cs="Times New Roman"/>
                <w:color w:val="auto"/>
                <w:sz w:val="24"/>
                <w:szCs w:val="28"/>
              </w:rPr>
            </w:pPr>
            <w:r>
              <w:rPr>
                <w:rFonts w:hint="eastAsia" w:ascii="仿宋_GB2312" w:hAnsi="仿宋" w:eastAsia="仿宋_GB2312" w:cs="仿宋_GB2312"/>
                <w:color w:val="auto"/>
                <w:sz w:val="24"/>
                <w:szCs w:val="28"/>
              </w:rPr>
              <w:t>　</w:t>
            </w:r>
          </w:p>
        </w:tc>
      </w:tr>
      <w:tr>
        <w:tblPrEx>
          <w:tblLayout w:type="fixed"/>
          <w:tblCellMar>
            <w:top w:w="0" w:type="dxa"/>
            <w:left w:w="0" w:type="dxa"/>
            <w:bottom w:w="0" w:type="dxa"/>
            <w:right w:w="0" w:type="dxa"/>
          </w:tblCellMar>
        </w:tblPrEx>
        <w:trPr>
          <w:trHeight w:val="300" w:hRule="atLeast"/>
        </w:trPr>
        <w:tc>
          <w:tcPr>
            <w:tcW w:w="3602"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rPr>
                <w:rFonts w:ascii="仿宋_GB2312" w:hAnsi="仿宋" w:eastAsia="仿宋_GB2312" w:cs="Times New Roman"/>
                <w:color w:val="auto"/>
                <w:sz w:val="24"/>
                <w:szCs w:val="28"/>
              </w:rPr>
            </w:pPr>
            <w:r>
              <w:rPr>
                <w:rFonts w:hint="eastAsia" w:ascii="仿宋_GB2312" w:hAnsi="仿宋" w:eastAsia="仿宋_GB2312" w:cs="仿宋_GB2312"/>
                <w:color w:val="auto"/>
                <w:sz w:val="24"/>
                <w:szCs w:val="28"/>
              </w:rPr>
              <w:t>五、乡镇汇总录入表</w:t>
            </w:r>
          </w:p>
        </w:tc>
        <w:tc>
          <w:tcPr>
            <w:tcW w:w="1082" w:type="dxa"/>
            <w:tcBorders>
              <w:top w:val="nil"/>
              <w:left w:val="nil"/>
              <w:bottom w:val="single" w:color="000000" w:sz="8" w:space="0"/>
              <w:right w:val="single" w:color="000000" w:sz="8" w:space="0"/>
            </w:tcBorders>
            <w:tcMar>
              <w:top w:w="0" w:type="dxa"/>
              <w:left w:w="108" w:type="dxa"/>
              <w:bottom w:w="0" w:type="dxa"/>
              <w:right w:w="108" w:type="dxa"/>
            </w:tcMar>
            <w:vAlign w:val="center"/>
          </w:tcPr>
          <w:p>
            <w:pPr>
              <w:rPr>
                <w:rFonts w:hint="eastAsia" w:ascii="仿宋_GB2312" w:hAnsi="仿宋" w:eastAsia="仿宋_GB2312" w:cs="Times New Roman"/>
                <w:color w:val="auto"/>
                <w:kern w:val="2"/>
                <w:sz w:val="24"/>
                <w:szCs w:val="28"/>
                <w:lang w:val="en-US" w:eastAsia="zh-CN" w:bidi="ar-SA"/>
              </w:rPr>
            </w:pPr>
            <w:r>
              <w:rPr>
                <w:rFonts w:hint="eastAsia" w:ascii="仿宋_GB2312" w:hAnsi="仿宋" w:eastAsia="仿宋_GB2312" w:cs="仿宋_GB2312"/>
                <w:color w:val="auto"/>
                <w:sz w:val="24"/>
                <w:szCs w:val="28"/>
              </w:rPr>
              <w:t>　1</w:t>
            </w:r>
          </w:p>
        </w:tc>
        <w:tc>
          <w:tcPr>
            <w:tcW w:w="1092" w:type="dxa"/>
            <w:tcBorders>
              <w:top w:val="nil"/>
              <w:left w:val="nil"/>
              <w:bottom w:val="single" w:color="000000" w:sz="8" w:space="0"/>
              <w:right w:val="single" w:color="000000" w:sz="8" w:space="0"/>
            </w:tcBorders>
            <w:tcMar>
              <w:top w:w="0" w:type="dxa"/>
              <w:left w:w="108" w:type="dxa"/>
              <w:bottom w:w="0" w:type="dxa"/>
              <w:right w:w="108" w:type="dxa"/>
            </w:tcMar>
            <w:vAlign w:val="center"/>
          </w:tcPr>
          <w:p>
            <w:pPr>
              <w:rPr>
                <w:rFonts w:hint="eastAsia" w:ascii="仿宋_GB2312" w:hAnsi="仿宋" w:eastAsia="仿宋_GB2312" w:cs="Times New Roman"/>
                <w:color w:val="auto"/>
                <w:kern w:val="2"/>
                <w:sz w:val="24"/>
                <w:szCs w:val="28"/>
                <w:lang w:val="en-US" w:eastAsia="zh-CN" w:bidi="ar-SA"/>
              </w:rPr>
            </w:pPr>
            <w:r>
              <w:rPr>
                <w:rFonts w:hint="eastAsia" w:ascii="仿宋_GB2312" w:hAnsi="仿宋" w:eastAsia="仿宋_GB2312" w:cs="仿宋_GB2312"/>
                <w:color w:val="auto"/>
                <w:sz w:val="24"/>
                <w:szCs w:val="28"/>
              </w:rPr>
              <w:t>　0</w:t>
            </w:r>
          </w:p>
        </w:tc>
        <w:tc>
          <w:tcPr>
            <w:tcW w:w="2870" w:type="dxa"/>
            <w:tcBorders>
              <w:top w:val="nil"/>
              <w:left w:val="nil"/>
              <w:bottom w:val="single" w:color="000000" w:sz="8" w:space="0"/>
              <w:right w:val="single" w:color="000000" w:sz="8" w:space="0"/>
            </w:tcBorders>
            <w:tcMar>
              <w:top w:w="0" w:type="dxa"/>
              <w:left w:w="108" w:type="dxa"/>
              <w:bottom w:w="0" w:type="dxa"/>
              <w:right w:w="108" w:type="dxa"/>
            </w:tcMar>
            <w:vAlign w:val="center"/>
          </w:tcPr>
          <w:p>
            <w:pPr>
              <w:rPr>
                <w:rFonts w:hint="eastAsia" w:ascii="仿宋_GB2312" w:hAnsi="仿宋" w:eastAsia="仿宋_GB2312" w:cs="Times New Roman"/>
                <w:color w:val="auto"/>
                <w:kern w:val="2"/>
                <w:sz w:val="24"/>
                <w:szCs w:val="28"/>
                <w:lang w:val="en-US" w:eastAsia="zh-CN" w:bidi="ar-SA"/>
              </w:rPr>
            </w:pPr>
            <w:r>
              <w:rPr>
                <w:rFonts w:hint="eastAsia" w:ascii="仿宋_GB2312" w:hAnsi="仿宋" w:eastAsia="仿宋_GB2312" w:cs="仿宋_GB2312"/>
                <w:color w:val="auto"/>
                <w:sz w:val="24"/>
                <w:szCs w:val="28"/>
              </w:rPr>
              <w:t>　</w:t>
            </w:r>
            <w:r>
              <w:rPr>
                <w:rFonts w:hint="eastAsia" w:ascii="仿宋_GB2312" w:hAnsi="仿宋" w:eastAsia="仿宋_GB2312" w:cs="仿宋_GB2312"/>
                <w:color w:val="auto"/>
                <w:sz w:val="24"/>
                <w:szCs w:val="28"/>
                <w:lang w:eastAsia="zh-CN"/>
              </w:rPr>
              <w:t>无变动</w:t>
            </w:r>
          </w:p>
        </w:tc>
      </w:tr>
      <w:tr>
        <w:tblPrEx>
          <w:tblLayout w:type="fixed"/>
          <w:tblCellMar>
            <w:top w:w="0" w:type="dxa"/>
            <w:left w:w="0" w:type="dxa"/>
            <w:bottom w:w="0" w:type="dxa"/>
            <w:right w:w="0" w:type="dxa"/>
          </w:tblCellMar>
        </w:tblPrEx>
        <w:trPr>
          <w:trHeight w:val="300" w:hRule="atLeast"/>
        </w:trPr>
        <w:tc>
          <w:tcPr>
            <w:tcW w:w="3602"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rPr>
                <w:rFonts w:ascii="仿宋_GB2312" w:hAnsi="仿宋" w:eastAsia="仿宋_GB2312" w:cs="Times New Roman"/>
                <w:color w:val="auto"/>
                <w:sz w:val="24"/>
                <w:szCs w:val="28"/>
              </w:rPr>
            </w:pPr>
            <w:r>
              <w:rPr>
                <w:rFonts w:hint="eastAsia" w:ascii="仿宋_GB2312" w:hAnsi="仿宋" w:eastAsia="仿宋_GB2312" w:cs="仿宋_GB2312"/>
                <w:color w:val="auto"/>
                <w:sz w:val="24"/>
                <w:szCs w:val="28"/>
              </w:rPr>
              <w:t>六、其他单位汇总录入表</w:t>
            </w:r>
          </w:p>
        </w:tc>
        <w:tc>
          <w:tcPr>
            <w:tcW w:w="1082" w:type="dxa"/>
            <w:tcBorders>
              <w:top w:val="nil"/>
              <w:left w:val="nil"/>
              <w:bottom w:val="single" w:color="000000" w:sz="8" w:space="0"/>
              <w:right w:val="single" w:color="000000" w:sz="8" w:space="0"/>
            </w:tcBorders>
            <w:tcMar>
              <w:top w:w="0" w:type="dxa"/>
              <w:left w:w="108" w:type="dxa"/>
              <w:bottom w:w="0" w:type="dxa"/>
              <w:right w:w="108" w:type="dxa"/>
            </w:tcMar>
            <w:vAlign w:val="center"/>
          </w:tcPr>
          <w:p>
            <w:pPr>
              <w:rPr>
                <w:rFonts w:ascii="仿宋_GB2312" w:hAnsi="仿宋" w:eastAsia="仿宋_GB2312" w:cs="Times New Roman"/>
                <w:color w:val="auto"/>
                <w:sz w:val="24"/>
                <w:szCs w:val="28"/>
              </w:rPr>
            </w:pPr>
            <w:r>
              <w:rPr>
                <w:rFonts w:hint="eastAsia" w:ascii="仿宋_GB2312" w:hAnsi="仿宋" w:eastAsia="仿宋_GB2312" w:cs="仿宋_GB2312"/>
                <w:color w:val="auto"/>
                <w:sz w:val="24"/>
                <w:szCs w:val="28"/>
              </w:rPr>
              <w:t>　</w:t>
            </w:r>
          </w:p>
        </w:tc>
        <w:tc>
          <w:tcPr>
            <w:tcW w:w="1092" w:type="dxa"/>
            <w:tcBorders>
              <w:top w:val="nil"/>
              <w:left w:val="nil"/>
              <w:bottom w:val="single" w:color="000000" w:sz="8" w:space="0"/>
              <w:right w:val="single" w:color="000000" w:sz="8" w:space="0"/>
            </w:tcBorders>
            <w:tcMar>
              <w:top w:w="0" w:type="dxa"/>
              <w:left w:w="108" w:type="dxa"/>
              <w:bottom w:w="0" w:type="dxa"/>
              <w:right w:w="108" w:type="dxa"/>
            </w:tcMar>
            <w:vAlign w:val="center"/>
          </w:tcPr>
          <w:p>
            <w:pPr>
              <w:rPr>
                <w:rFonts w:ascii="仿宋_GB2312" w:hAnsi="仿宋" w:eastAsia="仿宋_GB2312" w:cs="Times New Roman"/>
                <w:color w:val="auto"/>
                <w:sz w:val="24"/>
                <w:szCs w:val="28"/>
              </w:rPr>
            </w:pPr>
            <w:r>
              <w:rPr>
                <w:rFonts w:hint="eastAsia" w:ascii="仿宋_GB2312" w:hAnsi="仿宋" w:eastAsia="仿宋_GB2312" w:cs="仿宋_GB2312"/>
                <w:color w:val="auto"/>
                <w:sz w:val="24"/>
                <w:szCs w:val="28"/>
              </w:rPr>
              <w:t>　</w:t>
            </w:r>
          </w:p>
        </w:tc>
        <w:tc>
          <w:tcPr>
            <w:tcW w:w="2870" w:type="dxa"/>
            <w:tcBorders>
              <w:top w:val="nil"/>
              <w:left w:val="nil"/>
              <w:bottom w:val="single" w:color="000000" w:sz="8" w:space="0"/>
              <w:right w:val="single" w:color="000000" w:sz="8" w:space="0"/>
            </w:tcBorders>
            <w:tcMar>
              <w:top w:w="0" w:type="dxa"/>
              <w:left w:w="108" w:type="dxa"/>
              <w:bottom w:w="0" w:type="dxa"/>
              <w:right w:w="108" w:type="dxa"/>
            </w:tcMar>
            <w:vAlign w:val="center"/>
          </w:tcPr>
          <w:p>
            <w:pPr>
              <w:rPr>
                <w:rFonts w:ascii="仿宋_GB2312" w:hAnsi="仿宋" w:eastAsia="仿宋_GB2312" w:cs="Times New Roman"/>
                <w:color w:val="auto"/>
                <w:sz w:val="24"/>
                <w:szCs w:val="28"/>
              </w:rPr>
            </w:pPr>
            <w:r>
              <w:rPr>
                <w:rFonts w:hint="eastAsia" w:ascii="仿宋_GB2312" w:hAnsi="仿宋" w:eastAsia="仿宋_GB2312" w:cs="仿宋_GB2312"/>
                <w:color w:val="auto"/>
                <w:sz w:val="24"/>
                <w:szCs w:val="28"/>
              </w:rPr>
              <w:t>　</w:t>
            </w:r>
          </w:p>
        </w:tc>
      </w:tr>
      <w:tr>
        <w:tblPrEx>
          <w:tblLayout w:type="fixed"/>
          <w:tblCellMar>
            <w:top w:w="0" w:type="dxa"/>
            <w:left w:w="0" w:type="dxa"/>
            <w:bottom w:w="0" w:type="dxa"/>
            <w:right w:w="0" w:type="dxa"/>
          </w:tblCellMar>
        </w:tblPrEx>
        <w:trPr>
          <w:trHeight w:val="300" w:hRule="atLeast"/>
        </w:trPr>
        <w:tc>
          <w:tcPr>
            <w:tcW w:w="3602"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rPr>
                <w:rFonts w:ascii="仿宋_GB2312" w:hAnsi="仿宋" w:eastAsia="仿宋_GB2312" w:cs="Times New Roman"/>
                <w:color w:val="auto"/>
                <w:sz w:val="24"/>
                <w:szCs w:val="28"/>
              </w:rPr>
            </w:pPr>
            <w:r>
              <w:rPr>
                <w:rFonts w:hint="eastAsia" w:ascii="仿宋_GB2312" w:hAnsi="仿宋" w:eastAsia="仿宋_GB2312" w:cs="仿宋_GB2312"/>
                <w:color w:val="auto"/>
                <w:sz w:val="24"/>
                <w:szCs w:val="28"/>
              </w:rPr>
              <w:t>七、经费差额表</w:t>
            </w:r>
          </w:p>
        </w:tc>
        <w:tc>
          <w:tcPr>
            <w:tcW w:w="1082" w:type="dxa"/>
            <w:tcBorders>
              <w:top w:val="nil"/>
              <w:left w:val="nil"/>
              <w:bottom w:val="single" w:color="000000" w:sz="8" w:space="0"/>
              <w:right w:val="single" w:color="000000" w:sz="8" w:space="0"/>
            </w:tcBorders>
            <w:tcMar>
              <w:top w:w="0" w:type="dxa"/>
              <w:left w:w="108" w:type="dxa"/>
              <w:bottom w:w="0" w:type="dxa"/>
              <w:right w:w="108" w:type="dxa"/>
            </w:tcMar>
            <w:vAlign w:val="center"/>
          </w:tcPr>
          <w:p>
            <w:pPr>
              <w:rPr>
                <w:rFonts w:ascii="仿宋_GB2312" w:hAnsi="仿宋" w:eastAsia="仿宋_GB2312" w:cs="Times New Roman"/>
                <w:color w:val="auto"/>
                <w:sz w:val="24"/>
                <w:szCs w:val="28"/>
              </w:rPr>
            </w:pPr>
            <w:r>
              <w:rPr>
                <w:rFonts w:hint="eastAsia" w:ascii="仿宋_GB2312" w:hAnsi="仿宋" w:eastAsia="仿宋_GB2312" w:cs="仿宋_GB2312"/>
                <w:color w:val="auto"/>
                <w:sz w:val="24"/>
                <w:szCs w:val="28"/>
              </w:rPr>
              <w:t>　</w:t>
            </w:r>
          </w:p>
        </w:tc>
        <w:tc>
          <w:tcPr>
            <w:tcW w:w="1092" w:type="dxa"/>
            <w:tcBorders>
              <w:top w:val="nil"/>
              <w:left w:val="nil"/>
              <w:bottom w:val="single" w:color="000000" w:sz="8" w:space="0"/>
              <w:right w:val="single" w:color="000000" w:sz="8" w:space="0"/>
            </w:tcBorders>
            <w:tcMar>
              <w:top w:w="0" w:type="dxa"/>
              <w:left w:w="108" w:type="dxa"/>
              <w:bottom w:w="0" w:type="dxa"/>
              <w:right w:w="108" w:type="dxa"/>
            </w:tcMar>
            <w:vAlign w:val="center"/>
          </w:tcPr>
          <w:p>
            <w:pPr>
              <w:rPr>
                <w:rFonts w:ascii="仿宋_GB2312" w:hAnsi="仿宋" w:eastAsia="仿宋_GB2312" w:cs="Times New Roman"/>
                <w:color w:val="auto"/>
                <w:sz w:val="24"/>
                <w:szCs w:val="28"/>
              </w:rPr>
            </w:pPr>
            <w:r>
              <w:rPr>
                <w:rFonts w:hint="eastAsia" w:ascii="仿宋_GB2312" w:hAnsi="仿宋" w:eastAsia="仿宋_GB2312" w:cs="仿宋_GB2312"/>
                <w:color w:val="auto"/>
                <w:sz w:val="24"/>
                <w:szCs w:val="28"/>
              </w:rPr>
              <w:t>　</w:t>
            </w:r>
          </w:p>
        </w:tc>
        <w:tc>
          <w:tcPr>
            <w:tcW w:w="2870" w:type="dxa"/>
            <w:tcBorders>
              <w:top w:val="nil"/>
              <w:left w:val="nil"/>
              <w:bottom w:val="single" w:color="000000" w:sz="8" w:space="0"/>
              <w:right w:val="single" w:color="000000" w:sz="8" w:space="0"/>
            </w:tcBorders>
            <w:tcMar>
              <w:top w:w="0" w:type="dxa"/>
              <w:left w:w="108" w:type="dxa"/>
              <w:bottom w:w="0" w:type="dxa"/>
              <w:right w:w="108" w:type="dxa"/>
            </w:tcMar>
            <w:vAlign w:val="center"/>
          </w:tcPr>
          <w:p>
            <w:pPr>
              <w:rPr>
                <w:rFonts w:ascii="仿宋_GB2312" w:hAnsi="仿宋" w:eastAsia="仿宋_GB2312" w:cs="Times New Roman"/>
                <w:color w:val="auto"/>
                <w:sz w:val="24"/>
                <w:szCs w:val="28"/>
              </w:rPr>
            </w:pPr>
            <w:r>
              <w:rPr>
                <w:rFonts w:hint="eastAsia" w:ascii="仿宋_GB2312" w:hAnsi="仿宋" w:eastAsia="仿宋_GB2312" w:cs="仿宋_GB2312"/>
                <w:color w:val="auto"/>
                <w:sz w:val="24"/>
                <w:szCs w:val="28"/>
              </w:rPr>
              <w:t>　</w:t>
            </w:r>
          </w:p>
        </w:tc>
      </w:tr>
      <w:tr>
        <w:tblPrEx>
          <w:tblLayout w:type="fixed"/>
          <w:tblCellMar>
            <w:top w:w="0" w:type="dxa"/>
            <w:left w:w="0" w:type="dxa"/>
            <w:bottom w:w="0" w:type="dxa"/>
            <w:right w:w="0" w:type="dxa"/>
          </w:tblCellMar>
        </w:tblPrEx>
        <w:trPr>
          <w:trHeight w:val="300" w:hRule="atLeast"/>
        </w:trPr>
        <w:tc>
          <w:tcPr>
            <w:tcW w:w="3602"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rPr>
                <w:rFonts w:ascii="仿宋_GB2312" w:hAnsi="仿宋" w:eastAsia="仿宋_GB2312" w:cs="Times New Roman"/>
                <w:color w:val="auto"/>
                <w:sz w:val="24"/>
                <w:szCs w:val="28"/>
              </w:rPr>
            </w:pPr>
            <w:r>
              <w:rPr>
                <w:rFonts w:hint="eastAsia" w:ascii="仿宋_GB2312" w:hAnsi="仿宋" w:eastAsia="仿宋_GB2312" w:cs="仿宋_GB2312"/>
                <w:color w:val="auto"/>
                <w:sz w:val="24"/>
                <w:szCs w:val="28"/>
              </w:rPr>
              <w:t>八、调整表</w:t>
            </w:r>
          </w:p>
        </w:tc>
        <w:tc>
          <w:tcPr>
            <w:tcW w:w="1082" w:type="dxa"/>
            <w:tcBorders>
              <w:top w:val="nil"/>
              <w:left w:val="nil"/>
              <w:bottom w:val="single" w:color="000000" w:sz="8" w:space="0"/>
              <w:right w:val="single" w:color="000000" w:sz="8" w:space="0"/>
            </w:tcBorders>
            <w:tcMar>
              <w:top w:w="0" w:type="dxa"/>
              <w:left w:w="108" w:type="dxa"/>
              <w:bottom w:w="0" w:type="dxa"/>
              <w:right w:w="108" w:type="dxa"/>
            </w:tcMar>
            <w:vAlign w:val="center"/>
          </w:tcPr>
          <w:p>
            <w:pPr>
              <w:rPr>
                <w:rFonts w:ascii="仿宋_GB2312" w:hAnsi="仿宋" w:eastAsia="仿宋_GB2312" w:cs="Times New Roman"/>
                <w:color w:val="auto"/>
                <w:sz w:val="24"/>
                <w:szCs w:val="28"/>
              </w:rPr>
            </w:pPr>
            <w:r>
              <w:rPr>
                <w:rFonts w:hint="eastAsia" w:ascii="仿宋_GB2312" w:hAnsi="仿宋" w:eastAsia="仿宋_GB2312" w:cs="仿宋_GB2312"/>
                <w:color w:val="auto"/>
                <w:sz w:val="24"/>
                <w:szCs w:val="28"/>
              </w:rPr>
              <w:t>　</w:t>
            </w:r>
          </w:p>
        </w:tc>
        <w:tc>
          <w:tcPr>
            <w:tcW w:w="1092" w:type="dxa"/>
            <w:tcBorders>
              <w:top w:val="nil"/>
              <w:left w:val="nil"/>
              <w:bottom w:val="single" w:color="000000" w:sz="8" w:space="0"/>
              <w:right w:val="single" w:color="000000" w:sz="8" w:space="0"/>
            </w:tcBorders>
            <w:tcMar>
              <w:top w:w="0" w:type="dxa"/>
              <w:left w:w="108" w:type="dxa"/>
              <w:bottom w:w="0" w:type="dxa"/>
              <w:right w:w="108" w:type="dxa"/>
            </w:tcMar>
            <w:vAlign w:val="center"/>
          </w:tcPr>
          <w:p>
            <w:pPr>
              <w:rPr>
                <w:rFonts w:ascii="仿宋_GB2312" w:hAnsi="仿宋" w:eastAsia="仿宋_GB2312" w:cs="Times New Roman"/>
                <w:color w:val="auto"/>
                <w:sz w:val="24"/>
                <w:szCs w:val="28"/>
              </w:rPr>
            </w:pPr>
            <w:r>
              <w:rPr>
                <w:rFonts w:hint="eastAsia" w:ascii="仿宋_GB2312" w:hAnsi="仿宋" w:eastAsia="仿宋_GB2312" w:cs="仿宋_GB2312"/>
                <w:color w:val="auto"/>
                <w:sz w:val="24"/>
                <w:szCs w:val="28"/>
              </w:rPr>
              <w:t>　</w:t>
            </w:r>
          </w:p>
        </w:tc>
        <w:tc>
          <w:tcPr>
            <w:tcW w:w="2870" w:type="dxa"/>
            <w:tcBorders>
              <w:top w:val="nil"/>
              <w:left w:val="nil"/>
              <w:bottom w:val="single" w:color="000000" w:sz="8" w:space="0"/>
              <w:right w:val="single" w:color="000000" w:sz="8" w:space="0"/>
            </w:tcBorders>
            <w:tcMar>
              <w:top w:w="0" w:type="dxa"/>
              <w:left w:w="108" w:type="dxa"/>
              <w:bottom w:w="0" w:type="dxa"/>
              <w:right w:w="108" w:type="dxa"/>
            </w:tcMar>
            <w:vAlign w:val="center"/>
          </w:tcPr>
          <w:p>
            <w:pPr>
              <w:rPr>
                <w:rFonts w:ascii="仿宋_GB2312" w:hAnsi="仿宋" w:eastAsia="仿宋_GB2312" w:cs="Times New Roman"/>
                <w:color w:val="auto"/>
                <w:sz w:val="24"/>
                <w:szCs w:val="28"/>
              </w:rPr>
            </w:pPr>
            <w:r>
              <w:rPr>
                <w:rFonts w:hint="eastAsia" w:ascii="仿宋_GB2312" w:hAnsi="仿宋" w:eastAsia="仿宋_GB2312" w:cs="仿宋_GB2312"/>
                <w:color w:val="auto"/>
                <w:sz w:val="24"/>
                <w:szCs w:val="28"/>
              </w:rPr>
              <w:t>　</w:t>
            </w:r>
          </w:p>
        </w:tc>
      </w:tr>
      <w:tr>
        <w:tblPrEx>
          <w:tblLayout w:type="fixed"/>
          <w:tblCellMar>
            <w:top w:w="0" w:type="dxa"/>
            <w:left w:w="0" w:type="dxa"/>
            <w:bottom w:w="0" w:type="dxa"/>
            <w:right w:w="0" w:type="dxa"/>
          </w:tblCellMar>
        </w:tblPrEx>
        <w:trPr>
          <w:trHeight w:val="300" w:hRule="atLeast"/>
        </w:trPr>
        <w:tc>
          <w:tcPr>
            <w:tcW w:w="3602"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rPr>
                <w:rFonts w:ascii="仿宋_GB2312" w:hAnsi="仿宋" w:eastAsia="仿宋_GB2312" w:cs="Times New Roman"/>
                <w:color w:val="auto"/>
                <w:sz w:val="24"/>
                <w:szCs w:val="28"/>
              </w:rPr>
            </w:pPr>
            <w:r>
              <w:rPr>
                <w:rFonts w:hint="eastAsia" w:ascii="仿宋_GB2312" w:hAnsi="仿宋" w:eastAsia="仿宋_GB2312" w:cs="仿宋_GB2312"/>
                <w:color w:val="auto"/>
                <w:sz w:val="24"/>
                <w:szCs w:val="28"/>
              </w:rPr>
              <w:t>九、叠加汇总表</w:t>
            </w:r>
          </w:p>
        </w:tc>
        <w:tc>
          <w:tcPr>
            <w:tcW w:w="1082" w:type="dxa"/>
            <w:tcBorders>
              <w:top w:val="nil"/>
              <w:left w:val="nil"/>
              <w:bottom w:val="single" w:color="000000" w:sz="8" w:space="0"/>
              <w:right w:val="single" w:color="000000" w:sz="8" w:space="0"/>
            </w:tcBorders>
            <w:tcMar>
              <w:top w:w="0" w:type="dxa"/>
              <w:left w:w="108" w:type="dxa"/>
              <w:bottom w:w="0" w:type="dxa"/>
              <w:right w:w="108" w:type="dxa"/>
            </w:tcMar>
            <w:vAlign w:val="center"/>
          </w:tcPr>
          <w:p>
            <w:pPr>
              <w:rPr>
                <w:rFonts w:ascii="仿宋_GB2312" w:hAnsi="仿宋" w:eastAsia="仿宋_GB2312" w:cs="Times New Roman"/>
                <w:color w:val="auto"/>
                <w:sz w:val="24"/>
                <w:szCs w:val="28"/>
              </w:rPr>
            </w:pPr>
            <w:r>
              <w:rPr>
                <w:rFonts w:hint="eastAsia" w:ascii="仿宋_GB2312" w:hAnsi="仿宋" w:eastAsia="仿宋_GB2312" w:cs="仿宋_GB2312"/>
                <w:color w:val="auto"/>
                <w:sz w:val="24"/>
                <w:szCs w:val="28"/>
              </w:rPr>
              <w:t>　</w:t>
            </w:r>
          </w:p>
        </w:tc>
        <w:tc>
          <w:tcPr>
            <w:tcW w:w="1092" w:type="dxa"/>
            <w:tcBorders>
              <w:top w:val="nil"/>
              <w:left w:val="nil"/>
              <w:bottom w:val="single" w:color="000000" w:sz="8" w:space="0"/>
              <w:right w:val="single" w:color="000000" w:sz="8" w:space="0"/>
            </w:tcBorders>
            <w:tcMar>
              <w:top w:w="0" w:type="dxa"/>
              <w:left w:w="108" w:type="dxa"/>
              <w:bottom w:w="0" w:type="dxa"/>
              <w:right w:w="108" w:type="dxa"/>
            </w:tcMar>
            <w:vAlign w:val="center"/>
          </w:tcPr>
          <w:p>
            <w:pPr>
              <w:rPr>
                <w:rFonts w:ascii="仿宋_GB2312" w:hAnsi="仿宋" w:eastAsia="仿宋_GB2312" w:cs="Times New Roman"/>
                <w:color w:val="auto"/>
                <w:sz w:val="24"/>
                <w:szCs w:val="28"/>
              </w:rPr>
            </w:pPr>
            <w:r>
              <w:rPr>
                <w:rFonts w:hint="eastAsia" w:ascii="仿宋_GB2312" w:hAnsi="仿宋" w:eastAsia="仿宋_GB2312" w:cs="仿宋_GB2312"/>
                <w:color w:val="auto"/>
                <w:sz w:val="24"/>
                <w:szCs w:val="28"/>
              </w:rPr>
              <w:t>　</w:t>
            </w:r>
          </w:p>
        </w:tc>
        <w:tc>
          <w:tcPr>
            <w:tcW w:w="2870" w:type="dxa"/>
            <w:tcBorders>
              <w:top w:val="nil"/>
              <w:left w:val="nil"/>
              <w:bottom w:val="single" w:color="000000" w:sz="8" w:space="0"/>
              <w:right w:val="single" w:color="000000" w:sz="8" w:space="0"/>
            </w:tcBorders>
            <w:tcMar>
              <w:top w:w="0" w:type="dxa"/>
              <w:left w:w="108" w:type="dxa"/>
              <w:bottom w:w="0" w:type="dxa"/>
              <w:right w:w="108" w:type="dxa"/>
            </w:tcMar>
            <w:vAlign w:val="center"/>
          </w:tcPr>
          <w:p>
            <w:pPr>
              <w:rPr>
                <w:rFonts w:ascii="仿宋_GB2312" w:hAnsi="仿宋" w:eastAsia="仿宋_GB2312" w:cs="Times New Roman"/>
                <w:color w:val="auto"/>
                <w:sz w:val="24"/>
                <w:szCs w:val="28"/>
              </w:rPr>
            </w:pPr>
            <w:r>
              <w:rPr>
                <w:rFonts w:hint="eastAsia" w:ascii="仿宋_GB2312" w:hAnsi="仿宋" w:eastAsia="仿宋_GB2312" w:cs="仿宋_GB2312"/>
                <w:color w:val="auto"/>
                <w:sz w:val="24"/>
                <w:szCs w:val="28"/>
              </w:rPr>
              <w:t>　</w:t>
            </w:r>
          </w:p>
        </w:tc>
      </w:tr>
    </w:tbl>
    <w:p>
      <w:pPr>
        <w:keepNext w:val="0"/>
        <w:keepLines w:val="0"/>
        <w:pageBreakBefore w:val="0"/>
        <w:widowControl w:val="0"/>
        <w:kinsoku/>
        <w:wordWrap/>
        <w:overflowPunct/>
        <w:topLinePunct w:val="0"/>
        <w:autoSpaceDE/>
        <w:autoSpaceDN/>
        <w:bidi w:val="0"/>
        <w:adjustRightInd/>
        <w:snapToGrid/>
        <w:spacing w:line="594" w:lineRule="exact"/>
        <w:ind w:firstLine="707" w:firstLineChars="221"/>
        <w:textAlignment w:val="auto"/>
        <w:rPr>
          <w:rFonts w:hint="eastAsia" w:ascii="黑体" w:hAnsi="黑体" w:eastAsia="黑体" w:cs="Times New Roman"/>
          <w:color w:val="auto"/>
          <w:sz w:val="32"/>
          <w:szCs w:val="32"/>
        </w:rPr>
      </w:pPr>
      <w:r>
        <w:rPr>
          <w:rFonts w:hint="eastAsia" w:ascii="黑体" w:hAnsi="黑体" w:eastAsia="黑体" w:cs="黑体"/>
          <w:color w:val="auto"/>
          <w:sz w:val="32"/>
          <w:szCs w:val="32"/>
        </w:rPr>
        <w:t>三、基础数据核对情况</w:t>
      </w:r>
    </w:p>
    <w:p>
      <w:pPr>
        <w:keepNext w:val="0"/>
        <w:keepLines w:val="0"/>
        <w:pageBreakBefore w:val="0"/>
        <w:widowControl w:val="0"/>
        <w:kinsoku/>
        <w:wordWrap/>
        <w:overflowPunct/>
        <w:topLinePunct w:val="0"/>
        <w:autoSpaceDE/>
        <w:autoSpaceDN/>
        <w:bidi w:val="0"/>
        <w:adjustRightInd/>
        <w:snapToGrid/>
        <w:spacing w:line="594" w:lineRule="exact"/>
        <w:ind w:firstLine="709"/>
        <w:textAlignment w:val="auto"/>
        <w:rPr>
          <w:rFonts w:ascii="楷体_GB2312" w:hAnsi="仿宋" w:eastAsia="楷体_GB2312" w:cs="仿宋"/>
          <w:b/>
          <w:color w:val="auto"/>
          <w:sz w:val="32"/>
          <w:szCs w:val="32"/>
        </w:rPr>
      </w:pPr>
      <w:r>
        <w:rPr>
          <w:rFonts w:hint="eastAsia" w:ascii="楷体_GB2312" w:hAnsi="仿宋" w:eastAsia="楷体_GB2312" w:cs="仿宋"/>
          <w:b/>
          <w:color w:val="auto"/>
          <w:sz w:val="32"/>
          <w:szCs w:val="32"/>
        </w:rPr>
        <w:t>（一）财政资金对账情况。</w:t>
      </w:r>
    </w:p>
    <w:p>
      <w:pPr>
        <w:keepNext w:val="0"/>
        <w:keepLines w:val="0"/>
        <w:pageBreakBefore w:val="0"/>
        <w:widowControl w:val="0"/>
        <w:kinsoku/>
        <w:wordWrap/>
        <w:overflowPunct/>
        <w:topLinePunct w:val="0"/>
        <w:autoSpaceDE/>
        <w:autoSpaceDN/>
        <w:bidi w:val="0"/>
        <w:adjustRightInd/>
        <w:snapToGrid/>
        <w:spacing w:line="594" w:lineRule="exact"/>
        <w:ind w:firstLine="709"/>
        <w:textAlignment w:val="auto"/>
        <w:rPr>
          <w:rFonts w:ascii="仿宋_GB2312" w:hAnsi="仿宋" w:eastAsia="仿宋_GB2312" w:cs="Times New Roman"/>
          <w:b/>
          <w:color w:val="auto"/>
          <w:sz w:val="32"/>
          <w:szCs w:val="32"/>
        </w:rPr>
      </w:pPr>
      <w:r>
        <w:rPr>
          <w:rFonts w:hint="eastAsia" w:ascii="仿宋_GB2312" w:hAnsi="仿宋" w:eastAsia="仿宋_GB2312" w:cs="仿宋"/>
          <w:b/>
          <w:color w:val="auto"/>
          <w:sz w:val="32"/>
          <w:szCs w:val="32"/>
        </w:rPr>
        <w:t>1．财政拨款核对情况。</w:t>
      </w:r>
    </w:p>
    <w:p>
      <w:pPr>
        <w:keepNext w:val="0"/>
        <w:keepLines w:val="0"/>
        <w:pageBreakBefore w:val="0"/>
        <w:widowControl w:val="0"/>
        <w:kinsoku/>
        <w:wordWrap/>
        <w:overflowPunct/>
        <w:topLinePunct w:val="0"/>
        <w:autoSpaceDE/>
        <w:autoSpaceDN/>
        <w:bidi w:val="0"/>
        <w:adjustRightInd/>
        <w:snapToGrid/>
        <w:spacing w:line="594" w:lineRule="exact"/>
        <w:ind w:firstLine="709"/>
        <w:textAlignment w:val="auto"/>
        <w:rPr>
          <w:rFonts w:ascii="仿宋_GB2312" w:hAnsi="仿宋" w:eastAsia="仿宋_GB2312" w:cs="Times New Roman"/>
          <w:color w:val="auto"/>
          <w:sz w:val="32"/>
          <w:szCs w:val="32"/>
        </w:rPr>
      </w:pPr>
      <w:r>
        <w:rPr>
          <w:rFonts w:hint="eastAsia" w:ascii="仿宋_GB2312" w:hAnsi="仿宋" w:eastAsia="仿宋_GB2312" w:cs="仿宋"/>
          <w:color w:val="auto"/>
          <w:sz w:val="32"/>
          <w:szCs w:val="32"/>
        </w:rPr>
        <w:t>（1）</w:t>
      </w:r>
      <w:r>
        <w:rPr>
          <w:rFonts w:hint="eastAsia" w:ascii="仿宋_GB2312" w:hAnsi="仿宋" w:eastAsia="仿宋_GB2312" w:cs="仿宋"/>
          <w:b/>
          <w:bCs/>
          <w:color w:val="auto"/>
          <w:sz w:val="32"/>
          <w:szCs w:val="32"/>
        </w:rPr>
        <w:t>本部门</w:t>
      </w:r>
      <w:r>
        <w:rPr>
          <w:rFonts w:hint="eastAsia" w:ascii="仿宋_GB2312" w:hAnsi="仿宋" w:eastAsia="仿宋_GB2312" w:cs="仿宋"/>
          <w:color w:val="auto"/>
          <w:sz w:val="32"/>
          <w:szCs w:val="32"/>
        </w:rPr>
        <w:t>本年度实际收到的</w:t>
      </w:r>
      <w:r>
        <w:rPr>
          <w:rFonts w:hint="eastAsia" w:ascii="仿宋_GB2312" w:hAnsi="仿宋" w:eastAsia="仿宋_GB2312" w:cs="仿宋"/>
          <w:bCs/>
          <w:color w:val="auto"/>
          <w:sz w:val="32"/>
          <w:szCs w:val="32"/>
        </w:rPr>
        <w:t>一般</w:t>
      </w:r>
      <w:r>
        <w:rPr>
          <w:rFonts w:hint="eastAsia" w:ascii="仿宋_GB2312" w:hAnsi="仿宋" w:eastAsia="仿宋_GB2312" w:cs="仿宋"/>
          <w:color w:val="auto"/>
          <w:sz w:val="32"/>
          <w:szCs w:val="32"/>
        </w:rPr>
        <w:t>公共预算财政拨款收入</w:t>
      </w:r>
      <w:r>
        <w:rPr>
          <w:rFonts w:hint="eastAsia" w:ascii="仿宋_GB2312" w:hAnsi="仿宋" w:eastAsia="仿宋_GB2312" w:cs="Times New Roman"/>
          <w:color w:val="auto"/>
          <w:sz w:val="32"/>
          <w:szCs w:val="32"/>
          <w:u w:val="single"/>
          <w:lang w:val="en-US" w:eastAsia="zh-CN"/>
        </w:rPr>
        <w:t>3909.39</w:t>
      </w:r>
      <w:r>
        <w:rPr>
          <w:rFonts w:hint="eastAsia" w:ascii="仿宋_GB2312" w:hAnsi="仿宋" w:eastAsia="仿宋_GB2312" w:cs="仿宋"/>
          <w:color w:val="auto"/>
          <w:sz w:val="32"/>
          <w:szCs w:val="32"/>
        </w:rPr>
        <w:t>万元，财政部门拨款对账单</w:t>
      </w:r>
      <w:r>
        <w:rPr>
          <w:rFonts w:hint="eastAsia" w:ascii="仿宋_GB2312" w:hAnsi="仿宋" w:eastAsia="仿宋_GB2312" w:cs="Times New Roman"/>
          <w:color w:val="auto"/>
          <w:sz w:val="32"/>
          <w:szCs w:val="32"/>
          <w:u w:val="single"/>
          <w:lang w:val="en-US" w:eastAsia="zh-CN"/>
        </w:rPr>
        <w:t>3909.39</w:t>
      </w:r>
      <w:r>
        <w:rPr>
          <w:rFonts w:hint="eastAsia" w:ascii="仿宋_GB2312" w:hAnsi="仿宋" w:eastAsia="仿宋_GB2312" w:cs="仿宋"/>
          <w:color w:val="auto"/>
          <w:sz w:val="32"/>
          <w:szCs w:val="32"/>
        </w:rPr>
        <w:t>万元，</w:t>
      </w:r>
      <w:r>
        <w:rPr>
          <w:rFonts w:hint="eastAsia" w:ascii="仿宋_GB2312" w:hAnsi="仿宋" w:eastAsia="仿宋_GB2312" w:cs="仿宋"/>
          <w:color w:val="auto"/>
          <w:sz w:val="32"/>
          <w:szCs w:val="32"/>
          <w:lang w:eastAsia="zh-CN"/>
        </w:rPr>
        <w:t>无</w:t>
      </w:r>
      <w:r>
        <w:rPr>
          <w:rFonts w:hint="eastAsia" w:ascii="仿宋_GB2312" w:hAnsi="仿宋" w:eastAsia="仿宋_GB2312" w:cs="仿宋"/>
          <w:color w:val="auto"/>
          <w:sz w:val="32"/>
          <w:szCs w:val="32"/>
        </w:rPr>
        <w:t>差额。</w:t>
      </w:r>
    </w:p>
    <w:p>
      <w:pPr>
        <w:keepNext w:val="0"/>
        <w:keepLines w:val="0"/>
        <w:pageBreakBefore w:val="0"/>
        <w:widowControl w:val="0"/>
        <w:kinsoku/>
        <w:wordWrap/>
        <w:overflowPunct/>
        <w:topLinePunct w:val="0"/>
        <w:autoSpaceDE/>
        <w:autoSpaceDN/>
        <w:bidi w:val="0"/>
        <w:adjustRightInd/>
        <w:snapToGrid/>
        <w:spacing w:line="594" w:lineRule="exact"/>
        <w:ind w:firstLine="709"/>
        <w:textAlignment w:val="auto"/>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（2）</w:t>
      </w:r>
      <w:r>
        <w:rPr>
          <w:rFonts w:hint="eastAsia" w:ascii="仿宋_GB2312" w:hAnsi="仿宋" w:eastAsia="仿宋_GB2312" w:cs="仿宋"/>
          <w:b/>
          <w:bCs/>
          <w:color w:val="auto"/>
          <w:sz w:val="32"/>
          <w:szCs w:val="32"/>
        </w:rPr>
        <w:t>本部门</w:t>
      </w:r>
      <w:r>
        <w:rPr>
          <w:rFonts w:hint="eastAsia" w:ascii="仿宋_GB2312" w:hAnsi="仿宋" w:eastAsia="仿宋_GB2312" w:cs="仿宋"/>
          <w:color w:val="auto"/>
          <w:sz w:val="32"/>
          <w:szCs w:val="32"/>
        </w:rPr>
        <w:t>本年度政府性基金预算财政拨款收入</w:t>
      </w:r>
      <w:r>
        <w:rPr>
          <w:rFonts w:hint="eastAsia" w:ascii="仿宋_GB2312" w:hAnsi="仿宋" w:eastAsia="仿宋_GB2312" w:cs="Times New Roman"/>
          <w:color w:val="auto"/>
          <w:sz w:val="32"/>
          <w:szCs w:val="32"/>
          <w:u w:val="single"/>
          <w:lang w:val="en-US" w:eastAsia="zh-CN"/>
        </w:rPr>
        <w:t>404.47</w:t>
      </w:r>
      <w:r>
        <w:rPr>
          <w:rFonts w:hint="eastAsia" w:ascii="仿宋_GB2312" w:hAnsi="仿宋" w:eastAsia="仿宋_GB2312" w:cs="Times New Roman"/>
          <w:color w:val="auto"/>
          <w:sz w:val="32"/>
          <w:szCs w:val="32"/>
          <w:u w:val="single"/>
        </w:rPr>
        <w:t xml:space="preserve"> </w:t>
      </w:r>
      <w:r>
        <w:rPr>
          <w:rFonts w:hint="eastAsia" w:ascii="仿宋_GB2312" w:hAnsi="仿宋" w:eastAsia="仿宋_GB2312" w:cs="仿宋"/>
          <w:color w:val="auto"/>
          <w:sz w:val="32"/>
          <w:szCs w:val="32"/>
        </w:rPr>
        <w:t>万元，财政部门拨款对账单</w:t>
      </w:r>
      <w:r>
        <w:rPr>
          <w:rFonts w:hint="eastAsia" w:ascii="仿宋_GB2312" w:hAnsi="仿宋" w:eastAsia="仿宋_GB2312" w:cs="Times New Roman"/>
          <w:color w:val="auto"/>
          <w:sz w:val="32"/>
          <w:szCs w:val="32"/>
          <w:u w:val="single"/>
          <w:lang w:val="en-US" w:eastAsia="zh-CN"/>
        </w:rPr>
        <w:t>404.47</w:t>
      </w:r>
      <w:r>
        <w:rPr>
          <w:rFonts w:hint="eastAsia" w:ascii="仿宋_GB2312" w:hAnsi="仿宋" w:eastAsia="仿宋_GB2312" w:cs="仿宋"/>
          <w:color w:val="auto"/>
          <w:sz w:val="32"/>
          <w:szCs w:val="32"/>
        </w:rPr>
        <w:t>万元，</w:t>
      </w:r>
      <w:r>
        <w:rPr>
          <w:rFonts w:hint="eastAsia" w:ascii="仿宋_GB2312" w:hAnsi="仿宋" w:eastAsia="仿宋_GB2312" w:cs="仿宋"/>
          <w:color w:val="auto"/>
          <w:sz w:val="32"/>
          <w:szCs w:val="32"/>
          <w:lang w:eastAsia="zh-CN"/>
        </w:rPr>
        <w:t>无</w:t>
      </w:r>
      <w:r>
        <w:rPr>
          <w:rFonts w:hint="eastAsia" w:ascii="仿宋_GB2312" w:hAnsi="仿宋" w:eastAsia="仿宋_GB2312" w:cs="仿宋"/>
          <w:color w:val="auto"/>
          <w:sz w:val="32"/>
          <w:szCs w:val="32"/>
        </w:rPr>
        <w:t>差额。</w:t>
      </w:r>
    </w:p>
    <w:p>
      <w:pPr>
        <w:keepNext w:val="0"/>
        <w:keepLines w:val="0"/>
        <w:pageBreakBefore w:val="0"/>
        <w:widowControl w:val="0"/>
        <w:kinsoku/>
        <w:wordWrap/>
        <w:overflowPunct/>
        <w:topLinePunct w:val="0"/>
        <w:autoSpaceDE/>
        <w:autoSpaceDN/>
        <w:bidi w:val="0"/>
        <w:adjustRightInd/>
        <w:snapToGrid/>
        <w:spacing w:line="594" w:lineRule="exact"/>
        <w:ind w:firstLine="709"/>
        <w:textAlignment w:val="auto"/>
        <w:rPr>
          <w:rFonts w:hint="eastAsia" w:ascii="仿宋_GB2312" w:hAnsi="仿宋" w:eastAsia="仿宋_GB2312" w:cs="仿宋"/>
          <w:b/>
          <w:color w:val="auto"/>
          <w:sz w:val="32"/>
          <w:szCs w:val="32"/>
        </w:rPr>
      </w:pPr>
      <w:r>
        <w:rPr>
          <w:rFonts w:hint="eastAsia" w:ascii="仿宋_GB2312" w:hAnsi="仿宋" w:eastAsia="仿宋_GB2312" w:cs="仿宋"/>
          <w:b/>
          <w:color w:val="auto"/>
          <w:sz w:val="32"/>
          <w:szCs w:val="32"/>
        </w:rPr>
        <w:t>2．其他需要说明的情况。</w:t>
      </w:r>
    </w:p>
    <w:p>
      <w:pPr>
        <w:keepNext w:val="0"/>
        <w:keepLines w:val="0"/>
        <w:pageBreakBefore w:val="0"/>
        <w:widowControl w:val="0"/>
        <w:kinsoku/>
        <w:wordWrap/>
        <w:overflowPunct/>
        <w:topLinePunct w:val="0"/>
        <w:autoSpaceDE/>
        <w:autoSpaceDN/>
        <w:bidi w:val="0"/>
        <w:adjustRightInd/>
        <w:snapToGrid/>
        <w:spacing w:line="594" w:lineRule="exact"/>
        <w:ind w:firstLine="709"/>
        <w:textAlignment w:val="auto"/>
        <w:rPr>
          <w:rFonts w:ascii="仿宋_GB2312" w:hAnsi="仿宋" w:eastAsia="仿宋_GB2312" w:cs="Times New Roman"/>
          <w:b/>
          <w:color w:val="auto"/>
          <w:sz w:val="32"/>
          <w:szCs w:val="32"/>
        </w:rPr>
      </w:pPr>
      <w:r>
        <w:rPr>
          <w:rFonts w:hint="eastAsia" w:ascii="仿宋_GB2312" w:hAnsi="仿宋" w:eastAsia="仿宋_GB2312" w:cs="仿宋"/>
          <w:b/>
          <w:bCs/>
          <w:color w:val="auto"/>
          <w:sz w:val="32"/>
          <w:szCs w:val="32"/>
          <w:lang w:eastAsia="zh-CN"/>
        </w:rPr>
        <w:t>本部门</w:t>
      </w:r>
      <w:r>
        <w:rPr>
          <w:rFonts w:hint="eastAsia" w:ascii="仿宋_GB2312" w:hAnsi="仿宋" w:eastAsia="仿宋_GB2312" w:cs="仿宋"/>
          <w:color w:val="auto"/>
          <w:sz w:val="32"/>
          <w:szCs w:val="32"/>
          <w:lang w:eastAsia="zh-CN"/>
        </w:rPr>
        <w:t>本年度年初结转结余</w:t>
      </w:r>
      <w:r>
        <w:rPr>
          <w:rFonts w:hint="eastAsia" w:ascii="仿宋_GB2312" w:hAnsi="仿宋" w:eastAsia="仿宋_GB2312" w:cs="仿宋"/>
          <w:color w:val="auto"/>
          <w:sz w:val="32"/>
          <w:szCs w:val="32"/>
          <w:u w:val="single"/>
          <w:lang w:val="en-US" w:eastAsia="zh-CN"/>
        </w:rPr>
        <w:t>8.46</w:t>
      </w:r>
      <w:r>
        <w:rPr>
          <w:rFonts w:hint="eastAsia" w:ascii="仿宋_GB2312" w:hAnsi="仿宋" w:eastAsia="仿宋_GB2312" w:cs="仿宋"/>
          <w:color w:val="auto"/>
          <w:sz w:val="32"/>
          <w:szCs w:val="32"/>
          <w:lang w:val="en-US" w:eastAsia="zh-CN"/>
        </w:rPr>
        <w:t>万元。</w:t>
      </w:r>
    </w:p>
    <w:p>
      <w:pPr>
        <w:keepNext w:val="0"/>
        <w:keepLines w:val="0"/>
        <w:pageBreakBefore w:val="0"/>
        <w:widowControl w:val="0"/>
        <w:kinsoku/>
        <w:wordWrap/>
        <w:overflowPunct/>
        <w:topLinePunct w:val="0"/>
        <w:autoSpaceDE/>
        <w:autoSpaceDN/>
        <w:bidi w:val="0"/>
        <w:adjustRightInd/>
        <w:snapToGrid/>
        <w:spacing w:line="594" w:lineRule="exact"/>
        <w:ind w:firstLine="709"/>
        <w:textAlignment w:val="auto"/>
        <w:rPr>
          <w:rFonts w:ascii="楷体_GB2312" w:hAnsi="仿宋" w:eastAsia="楷体_GB2312" w:cs="仿宋"/>
          <w:b/>
          <w:color w:val="auto"/>
          <w:sz w:val="32"/>
          <w:szCs w:val="32"/>
        </w:rPr>
      </w:pPr>
      <w:r>
        <w:rPr>
          <w:rFonts w:hint="eastAsia" w:ascii="楷体_GB2312" w:hAnsi="仿宋" w:eastAsia="楷体_GB2312" w:cs="仿宋"/>
          <w:b/>
          <w:color w:val="auto"/>
          <w:sz w:val="32"/>
          <w:szCs w:val="32"/>
        </w:rPr>
        <w:t>（二）与上年指标核对情况。</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仿宋_GB2312" w:hAnsi="仿宋" w:eastAsia="仿宋_GB2312" w:cs="仿宋"/>
          <w:color w:val="auto"/>
          <w:sz w:val="32"/>
          <w:szCs w:val="32"/>
          <w:lang w:val="en-US" w:eastAsia="zh-CN"/>
        </w:rPr>
      </w:pPr>
      <w:r>
        <w:rPr>
          <w:rFonts w:hint="eastAsia" w:ascii="仿宋_GB2312" w:hAnsi="仿宋" w:eastAsia="仿宋_GB2312" w:cs="仿宋"/>
          <w:color w:val="auto"/>
          <w:sz w:val="32"/>
          <w:szCs w:val="32"/>
          <w:lang w:val="en-US" w:eastAsia="zh-CN"/>
        </w:rPr>
        <w:t>1</w:t>
      </w:r>
      <w:r>
        <w:rPr>
          <w:rFonts w:hint="eastAsia" w:ascii="仿宋_GB2312" w:hAnsi="仿宋" w:eastAsia="仿宋_GB2312" w:cs="仿宋"/>
          <w:color w:val="auto"/>
          <w:sz w:val="32"/>
          <w:szCs w:val="32"/>
        </w:rPr>
        <w:t>．</w:t>
      </w:r>
      <w:r>
        <w:rPr>
          <w:rFonts w:hint="eastAsia" w:ascii="仿宋_GB2312" w:hAnsi="仿宋" w:eastAsia="仿宋_GB2312" w:cs="仿宋"/>
          <w:color w:val="auto"/>
          <w:sz w:val="32"/>
          <w:szCs w:val="32"/>
          <w:lang w:eastAsia="zh-CN"/>
        </w:rPr>
        <w:t>与上年指标核对情况。</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仿宋_GB2312" w:hAnsi="仿宋" w:eastAsia="仿宋_GB2312" w:cs="仿宋"/>
          <w:color w:val="auto"/>
          <w:sz w:val="32"/>
          <w:szCs w:val="32"/>
          <w:lang w:eastAsia="zh-CN"/>
        </w:rPr>
      </w:pPr>
      <w:r>
        <w:rPr>
          <w:rFonts w:hint="eastAsia" w:ascii="仿宋_GB2312" w:hAnsi="仿宋" w:eastAsia="仿宋_GB2312" w:cs="仿宋"/>
          <w:color w:val="auto"/>
          <w:sz w:val="32"/>
          <w:szCs w:val="32"/>
          <w:lang w:eastAsia="zh-CN"/>
        </w:rPr>
        <w:t>（</w:t>
      </w:r>
      <w:r>
        <w:rPr>
          <w:rFonts w:hint="eastAsia" w:ascii="仿宋_GB2312" w:hAnsi="仿宋" w:eastAsia="仿宋_GB2312" w:cs="仿宋"/>
          <w:color w:val="auto"/>
          <w:sz w:val="32"/>
          <w:szCs w:val="32"/>
        </w:rPr>
        <w:t>1</w:t>
      </w:r>
      <w:r>
        <w:rPr>
          <w:rFonts w:hint="eastAsia" w:ascii="仿宋_GB2312" w:hAnsi="仿宋" w:eastAsia="仿宋_GB2312" w:cs="仿宋"/>
          <w:color w:val="auto"/>
          <w:sz w:val="32"/>
          <w:szCs w:val="32"/>
          <w:lang w:eastAsia="zh-CN"/>
        </w:rPr>
        <w:t>）</w:t>
      </w:r>
      <w:r>
        <w:rPr>
          <w:rFonts w:hint="eastAsia" w:ascii="仿宋_GB2312" w:hAnsi="仿宋" w:eastAsia="仿宋_GB2312" w:cs="仿宋"/>
          <w:bCs/>
          <w:color w:val="auto"/>
          <w:sz w:val="32"/>
          <w:szCs w:val="32"/>
        </w:rPr>
        <w:t>一般</w:t>
      </w:r>
      <w:r>
        <w:rPr>
          <w:rFonts w:hint="eastAsia" w:ascii="仿宋_GB2312" w:hAnsi="仿宋" w:eastAsia="仿宋_GB2312" w:cs="仿宋"/>
          <w:color w:val="auto"/>
          <w:sz w:val="32"/>
          <w:szCs w:val="32"/>
        </w:rPr>
        <w:t>公共预算财政拨款本年年初数与上年年末数不一致的情况说明</w:t>
      </w:r>
      <w:r>
        <w:rPr>
          <w:rFonts w:hint="eastAsia" w:ascii="仿宋_GB2312" w:hAnsi="仿宋" w:eastAsia="仿宋_GB2312" w:cs="仿宋"/>
          <w:color w:val="auto"/>
          <w:sz w:val="32"/>
          <w:szCs w:val="32"/>
          <w:lang w:eastAsia="zh-CN"/>
        </w:rPr>
        <w:t>：无。</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仿宋_GB2312" w:hAnsi="仿宋" w:eastAsia="仿宋_GB2312" w:cs="仿宋"/>
          <w:color w:val="auto"/>
          <w:sz w:val="32"/>
          <w:szCs w:val="32"/>
          <w:lang w:eastAsia="zh-CN"/>
        </w:rPr>
      </w:pPr>
      <w:r>
        <w:rPr>
          <w:rFonts w:hint="eastAsia" w:ascii="仿宋_GB2312" w:hAnsi="仿宋" w:eastAsia="仿宋_GB2312" w:cs="仿宋"/>
          <w:color w:val="auto"/>
          <w:sz w:val="32"/>
          <w:szCs w:val="32"/>
          <w:lang w:val="en-US" w:eastAsia="zh-CN"/>
        </w:rPr>
        <w:t>（2）</w:t>
      </w:r>
      <w:r>
        <w:rPr>
          <w:rFonts w:hint="eastAsia" w:ascii="仿宋_GB2312" w:hAnsi="仿宋" w:eastAsia="仿宋_GB2312" w:cs="仿宋"/>
          <w:color w:val="auto"/>
          <w:sz w:val="32"/>
          <w:szCs w:val="32"/>
        </w:rPr>
        <w:t>政府性基金预算财政拨款本年年初数与上年年末数不一致的情况说明</w:t>
      </w:r>
      <w:r>
        <w:rPr>
          <w:rFonts w:hint="eastAsia" w:ascii="仿宋_GB2312" w:hAnsi="仿宋" w:eastAsia="仿宋_GB2312" w:cs="仿宋"/>
          <w:color w:val="auto"/>
          <w:sz w:val="32"/>
          <w:szCs w:val="32"/>
          <w:lang w:eastAsia="zh-CN"/>
        </w:rPr>
        <w:t>：无。</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ascii="仿宋_GB2312" w:hAnsi="仿宋" w:eastAsia="仿宋_GB2312" w:cs="Times New Roman"/>
          <w:color w:val="auto"/>
          <w:sz w:val="32"/>
          <w:szCs w:val="32"/>
        </w:rPr>
      </w:pPr>
      <w:r>
        <w:rPr>
          <w:rFonts w:hint="eastAsia" w:ascii="仿宋_GB2312" w:hAnsi="仿宋" w:eastAsia="仿宋_GB2312" w:cs="仿宋"/>
          <w:color w:val="auto"/>
          <w:sz w:val="32"/>
          <w:szCs w:val="32"/>
          <w:lang w:val="en-US" w:eastAsia="zh-CN"/>
        </w:rPr>
        <w:t>（3）</w:t>
      </w:r>
      <w:r>
        <w:rPr>
          <w:rFonts w:hint="eastAsia" w:ascii="仿宋_GB2312" w:hAnsi="仿宋" w:eastAsia="仿宋_GB2312" w:cs="仿宋"/>
          <w:color w:val="auto"/>
          <w:sz w:val="32"/>
          <w:szCs w:val="32"/>
        </w:rPr>
        <w:t>结转和结余资金本年年初数与上年年末数不一致的情况说明</w:t>
      </w:r>
      <w:r>
        <w:rPr>
          <w:rFonts w:hint="eastAsia" w:ascii="仿宋_GB2312" w:hAnsi="仿宋" w:eastAsia="仿宋_GB2312" w:cs="仿宋"/>
          <w:color w:val="auto"/>
          <w:sz w:val="32"/>
          <w:szCs w:val="32"/>
          <w:lang w:eastAsia="zh-CN"/>
        </w:rPr>
        <w:t>：无。</w:t>
      </w:r>
      <w:r>
        <w:rPr>
          <w:rFonts w:hint="eastAsia" w:ascii="仿宋_GB2312" w:hAnsi="仿宋" w:eastAsia="仿宋_GB2312" w:cs="仿宋"/>
          <w:color w:val="auto"/>
          <w:sz w:val="32"/>
          <w:szCs w:val="32"/>
        </w:rPr>
        <w:t>包括会计</w:t>
      </w:r>
      <w:r>
        <w:rPr>
          <w:rFonts w:hint="eastAsia" w:ascii="仿宋_GB2312" w:hAnsi="仿宋" w:eastAsia="仿宋_GB2312" w:cs="仿宋"/>
          <w:bCs/>
          <w:color w:val="auto"/>
          <w:sz w:val="32"/>
          <w:szCs w:val="32"/>
        </w:rPr>
        <w:t>差错更正、收回以前年度支出</w:t>
      </w:r>
      <w:r>
        <w:rPr>
          <w:rFonts w:hint="eastAsia" w:ascii="仿宋_GB2312" w:hAnsi="仿宋" w:eastAsia="仿宋_GB2312" w:cs="仿宋"/>
          <w:color w:val="auto"/>
          <w:sz w:val="32"/>
          <w:szCs w:val="32"/>
        </w:rPr>
        <w:t>、归集调入、归集调出、归集上缴和缴回资金及单位内部调剂等情况。</w:t>
      </w:r>
    </w:p>
    <w:p>
      <w:pPr>
        <w:keepNext w:val="0"/>
        <w:keepLines w:val="0"/>
        <w:pageBreakBefore w:val="0"/>
        <w:widowControl w:val="0"/>
        <w:kinsoku/>
        <w:wordWrap/>
        <w:overflowPunct/>
        <w:topLinePunct w:val="0"/>
        <w:autoSpaceDE/>
        <w:autoSpaceDN/>
        <w:bidi w:val="0"/>
        <w:adjustRightInd/>
        <w:snapToGrid/>
        <w:spacing w:line="594" w:lineRule="exact"/>
        <w:ind w:firstLine="709"/>
        <w:textAlignment w:val="auto"/>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2．主要指标上下年变动</w:t>
      </w:r>
      <w:r>
        <w:rPr>
          <w:rFonts w:hint="eastAsia" w:ascii="仿宋_GB2312" w:hAnsi="仿宋" w:eastAsia="仿宋_GB2312" w:cs="仿宋"/>
          <w:color w:val="auto"/>
          <w:sz w:val="32"/>
          <w:szCs w:val="32"/>
          <w:lang w:eastAsia="zh-CN"/>
        </w:rPr>
        <w:t>情况</w:t>
      </w:r>
      <w:r>
        <w:rPr>
          <w:rFonts w:hint="eastAsia" w:ascii="仿宋_GB2312" w:hAnsi="仿宋" w:eastAsia="仿宋_GB2312" w:cs="仿宋"/>
          <w:color w:val="auto"/>
          <w:sz w:val="32"/>
          <w:szCs w:val="32"/>
        </w:rPr>
        <w:t>说明。</w:t>
      </w:r>
    </w:p>
    <w:tbl>
      <w:tblPr>
        <w:tblStyle w:val="5"/>
        <w:tblW w:w="9251" w:type="dxa"/>
        <w:tblInd w:w="0" w:type="dxa"/>
        <w:shd w:val="clear" w:color="auto" w:fill="auto"/>
        <w:tblLayout w:type="fixed"/>
        <w:tblCellMar>
          <w:top w:w="0" w:type="dxa"/>
          <w:left w:w="0" w:type="dxa"/>
          <w:bottom w:w="0" w:type="dxa"/>
          <w:right w:w="0" w:type="dxa"/>
        </w:tblCellMar>
      </w:tblPr>
      <w:tblGrid>
        <w:gridCol w:w="1858"/>
        <w:gridCol w:w="601"/>
        <w:gridCol w:w="1521"/>
        <w:gridCol w:w="1564"/>
        <w:gridCol w:w="1618"/>
        <w:gridCol w:w="610"/>
        <w:gridCol w:w="1479"/>
      </w:tblGrid>
      <w:tr>
        <w:tblPrEx>
          <w:shd w:val="clear" w:color="auto" w:fill="auto"/>
          <w:tblLayout w:type="fixed"/>
          <w:tblCellMar>
            <w:top w:w="0" w:type="dxa"/>
            <w:left w:w="0" w:type="dxa"/>
            <w:bottom w:w="0" w:type="dxa"/>
            <w:right w:w="0" w:type="dxa"/>
          </w:tblCellMar>
        </w:tblPrEx>
        <w:trPr>
          <w:trHeight w:val="540" w:hRule="atLeast"/>
        </w:trPr>
        <w:tc>
          <w:tcPr>
            <w:tcW w:w="9251" w:type="dxa"/>
            <w:gridSpan w:val="7"/>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36"/>
                <w:szCs w:val="36"/>
                <w:u w:val="none"/>
              </w:rPr>
            </w:pPr>
            <w:r>
              <w:rPr>
                <w:rFonts w:hint="eastAsia" w:ascii="宋体" w:hAnsi="宋体" w:eastAsia="宋体" w:cs="宋体"/>
                <w:i w:val="0"/>
                <w:color w:val="auto"/>
                <w:kern w:val="0"/>
                <w:sz w:val="36"/>
                <w:szCs w:val="36"/>
                <w:u w:val="none"/>
                <w:lang w:val="en-US" w:eastAsia="zh-CN" w:bidi="ar"/>
              </w:rPr>
              <w:t>主要指标变动情况表</w:t>
            </w:r>
          </w:p>
        </w:tc>
      </w:tr>
      <w:tr>
        <w:tblPrEx>
          <w:tblLayout w:type="fixed"/>
        </w:tblPrEx>
        <w:trPr>
          <w:trHeight w:val="420" w:hRule="atLeast"/>
        </w:trPr>
        <w:tc>
          <w:tcPr>
            <w:tcW w:w="9251" w:type="dxa"/>
            <w:gridSpan w:val="7"/>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编制单位：丰都县三元镇人民政府          年度：2019年            单位：元</w:t>
            </w:r>
          </w:p>
        </w:tc>
      </w:tr>
      <w:tr>
        <w:tblPrEx>
          <w:tblLayout w:type="fixed"/>
          <w:tblCellMar>
            <w:top w:w="0" w:type="dxa"/>
            <w:left w:w="0" w:type="dxa"/>
            <w:bottom w:w="0" w:type="dxa"/>
            <w:right w:w="0" w:type="dxa"/>
          </w:tblCellMar>
        </w:tblPrEx>
        <w:trPr>
          <w:trHeight w:val="270" w:hRule="atLeast"/>
        </w:trPr>
        <w:tc>
          <w:tcPr>
            <w:tcW w:w="18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指    标</w:t>
            </w:r>
          </w:p>
        </w:tc>
        <w:tc>
          <w:tcPr>
            <w:tcW w:w="6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行次</w:t>
            </w:r>
          </w:p>
        </w:tc>
        <w:tc>
          <w:tcPr>
            <w:tcW w:w="15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本年度</w:t>
            </w:r>
          </w:p>
        </w:tc>
        <w:tc>
          <w:tcPr>
            <w:tcW w:w="15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上年度</w:t>
            </w:r>
          </w:p>
        </w:tc>
        <w:tc>
          <w:tcPr>
            <w:tcW w:w="16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比上年增减</w:t>
            </w:r>
          </w:p>
        </w:tc>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增减％</w:t>
            </w:r>
          </w:p>
        </w:tc>
        <w:tc>
          <w:tcPr>
            <w:tcW w:w="14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原因</w:t>
            </w:r>
          </w:p>
        </w:tc>
      </w:tr>
      <w:tr>
        <w:tblPrEx>
          <w:tblLayout w:type="fixed"/>
          <w:tblCellMar>
            <w:top w:w="0" w:type="dxa"/>
            <w:left w:w="0" w:type="dxa"/>
            <w:bottom w:w="0" w:type="dxa"/>
            <w:right w:w="0" w:type="dxa"/>
          </w:tblCellMar>
        </w:tblPrEx>
        <w:trPr>
          <w:trHeight w:val="270" w:hRule="atLeast"/>
        </w:trPr>
        <w:tc>
          <w:tcPr>
            <w:tcW w:w="18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auto"/>
                <w:sz w:val="22"/>
                <w:szCs w:val="22"/>
                <w:u w:val="none"/>
              </w:rPr>
            </w:pPr>
          </w:p>
        </w:tc>
        <w:tc>
          <w:tcPr>
            <w:tcW w:w="6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auto"/>
                <w:sz w:val="22"/>
                <w:szCs w:val="22"/>
                <w:u w:val="none"/>
              </w:rPr>
            </w:pPr>
          </w:p>
        </w:tc>
        <w:tc>
          <w:tcPr>
            <w:tcW w:w="15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auto"/>
                <w:sz w:val="22"/>
                <w:szCs w:val="22"/>
                <w:u w:val="none"/>
              </w:rPr>
            </w:pPr>
          </w:p>
        </w:tc>
        <w:tc>
          <w:tcPr>
            <w:tcW w:w="15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auto"/>
                <w:sz w:val="22"/>
                <w:szCs w:val="22"/>
                <w:u w:val="none"/>
              </w:rPr>
            </w:pPr>
          </w:p>
        </w:tc>
        <w:tc>
          <w:tcPr>
            <w:tcW w:w="16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auto"/>
                <w:sz w:val="22"/>
                <w:szCs w:val="22"/>
                <w:u w:val="none"/>
              </w:rPr>
            </w:pPr>
          </w:p>
        </w:tc>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auto"/>
                <w:sz w:val="22"/>
                <w:szCs w:val="22"/>
                <w:u w:val="none"/>
              </w:rPr>
            </w:pPr>
          </w:p>
        </w:tc>
        <w:tc>
          <w:tcPr>
            <w:tcW w:w="14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auto"/>
                <w:sz w:val="22"/>
                <w:szCs w:val="22"/>
                <w:u w:val="none"/>
              </w:rPr>
            </w:pPr>
          </w:p>
        </w:tc>
      </w:tr>
      <w:tr>
        <w:tblPrEx>
          <w:tblLayout w:type="fixed"/>
          <w:tblCellMar>
            <w:top w:w="0" w:type="dxa"/>
            <w:left w:w="0" w:type="dxa"/>
            <w:bottom w:w="0" w:type="dxa"/>
            <w:right w:w="0" w:type="dxa"/>
          </w:tblCellMar>
        </w:tblPrEx>
        <w:trPr>
          <w:trHeight w:val="270" w:hRule="atLeast"/>
        </w:trPr>
        <w:tc>
          <w:tcPr>
            <w:tcW w:w="18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栏    次</w:t>
            </w:r>
          </w:p>
        </w:tc>
        <w:tc>
          <w:tcPr>
            <w:tcW w:w="6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auto"/>
                <w:sz w:val="22"/>
                <w:szCs w:val="22"/>
                <w:u w:val="none"/>
              </w:rPr>
            </w:pPr>
          </w:p>
        </w:tc>
        <w:tc>
          <w:tcPr>
            <w:tcW w:w="15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auto"/>
                <w:sz w:val="22"/>
                <w:szCs w:val="22"/>
                <w:u w:val="none"/>
              </w:rPr>
            </w:pPr>
          </w:p>
        </w:tc>
        <w:tc>
          <w:tcPr>
            <w:tcW w:w="15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auto"/>
                <w:sz w:val="22"/>
                <w:szCs w:val="22"/>
                <w:u w:val="none"/>
              </w:rPr>
            </w:pPr>
          </w:p>
        </w:tc>
        <w:tc>
          <w:tcPr>
            <w:tcW w:w="16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auto"/>
                <w:sz w:val="22"/>
                <w:szCs w:val="22"/>
                <w:u w:val="none"/>
              </w:rPr>
            </w:pPr>
          </w:p>
        </w:tc>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auto"/>
                <w:sz w:val="22"/>
                <w:szCs w:val="22"/>
                <w:u w:val="none"/>
              </w:rPr>
            </w:pPr>
          </w:p>
        </w:tc>
        <w:tc>
          <w:tcPr>
            <w:tcW w:w="14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auto"/>
                <w:sz w:val="22"/>
                <w:szCs w:val="22"/>
                <w:u w:val="none"/>
              </w:rPr>
            </w:pPr>
          </w:p>
        </w:tc>
      </w:tr>
      <w:tr>
        <w:tblPrEx>
          <w:tblLayout w:type="fixed"/>
          <w:tblCellMar>
            <w:top w:w="0" w:type="dxa"/>
            <w:left w:w="0" w:type="dxa"/>
            <w:bottom w:w="0" w:type="dxa"/>
            <w:right w:w="0" w:type="dxa"/>
          </w:tblCellMar>
        </w:tblPrEx>
        <w:trPr>
          <w:trHeight w:val="270" w:hRule="atLeast"/>
        </w:trPr>
        <w:tc>
          <w:tcPr>
            <w:tcW w:w="18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auto"/>
                <w:sz w:val="22"/>
                <w:szCs w:val="22"/>
                <w:u w:val="none"/>
              </w:rPr>
            </w:pPr>
          </w:p>
        </w:tc>
        <w:tc>
          <w:tcPr>
            <w:tcW w:w="6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auto"/>
                <w:sz w:val="22"/>
                <w:szCs w:val="22"/>
                <w:u w:val="none"/>
              </w:rPr>
            </w:pPr>
          </w:p>
        </w:tc>
        <w:tc>
          <w:tcPr>
            <w:tcW w:w="15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w:t>
            </w:r>
          </w:p>
        </w:tc>
        <w:tc>
          <w:tcPr>
            <w:tcW w:w="15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w:t>
            </w:r>
          </w:p>
        </w:tc>
        <w:tc>
          <w:tcPr>
            <w:tcW w:w="16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3</w:t>
            </w:r>
          </w:p>
        </w:tc>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4</w:t>
            </w:r>
          </w:p>
        </w:tc>
        <w:tc>
          <w:tcPr>
            <w:tcW w:w="14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5</w:t>
            </w:r>
          </w:p>
        </w:tc>
      </w:tr>
      <w:tr>
        <w:tblPrEx>
          <w:tblLayout w:type="fixed"/>
          <w:tblCellMar>
            <w:top w:w="0" w:type="dxa"/>
            <w:left w:w="0" w:type="dxa"/>
            <w:bottom w:w="0" w:type="dxa"/>
            <w:right w:w="0" w:type="dxa"/>
          </w:tblCellMar>
        </w:tblPrEx>
        <w:trPr>
          <w:trHeight w:val="270" w:hRule="atLeast"/>
        </w:trPr>
        <w:tc>
          <w:tcPr>
            <w:tcW w:w="18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一、年度收支情况（单位：元）</w:t>
            </w:r>
          </w:p>
        </w:tc>
        <w:tc>
          <w:tcPr>
            <w:tcW w:w="6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w:t>
            </w:r>
          </w:p>
        </w:tc>
        <w:tc>
          <w:tcPr>
            <w:tcW w:w="15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w:t>
            </w:r>
          </w:p>
        </w:tc>
        <w:tc>
          <w:tcPr>
            <w:tcW w:w="15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w:t>
            </w:r>
          </w:p>
        </w:tc>
        <w:tc>
          <w:tcPr>
            <w:tcW w:w="16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w:t>
            </w:r>
          </w:p>
        </w:tc>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w:t>
            </w:r>
          </w:p>
        </w:tc>
        <w:tc>
          <w:tcPr>
            <w:tcW w:w="14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w:t>
            </w:r>
          </w:p>
        </w:tc>
      </w:tr>
      <w:tr>
        <w:tblPrEx>
          <w:tblLayout w:type="fixed"/>
          <w:tblCellMar>
            <w:top w:w="0" w:type="dxa"/>
            <w:left w:w="0" w:type="dxa"/>
            <w:bottom w:w="0" w:type="dxa"/>
            <w:right w:w="0" w:type="dxa"/>
          </w:tblCellMar>
        </w:tblPrEx>
        <w:trPr>
          <w:trHeight w:val="270" w:hRule="atLeast"/>
        </w:trPr>
        <w:tc>
          <w:tcPr>
            <w:tcW w:w="18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  1.本年收入</w:t>
            </w:r>
          </w:p>
        </w:tc>
        <w:tc>
          <w:tcPr>
            <w:tcW w:w="6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w:t>
            </w:r>
          </w:p>
        </w:tc>
        <w:tc>
          <w:tcPr>
            <w:tcW w:w="15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43,138,635.06</w:t>
            </w:r>
          </w:p>
        </w:tc>
        <w:tc>
          <w:tcPr>
            <w:tcW w:w="15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31,511,123.95</w:t>
            </w:r>
          </w:p>
        </w:tc>
        <w:tc>
          <w:tcPr>
            <w:tcW w:w="16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11,627,511.11</w:t>
            </w:r>
          </w:p>
        </w:tc>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36.9</w:t>
            </w:r>
          </w:p>
        </w:tc>
        <w:tc>
          <w:tcPr>
            <w:tcW w:w="14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机改单位合并人员增多</w:t>
            </w:r>
          </w:p>
        </w:tc>
      </w:tr>
      <w:tr>
        <w:tblPrEx>
          <w:tblLayout w:type="fixed"/>
          <w:tblCellMar>
            <w:top w:w="0" w:type="dxa"/>
            <w:left w:w="0" w:type="dxa"/>
            <w:bottom w:w="0" w:type="dxa"/>
            <w:right w:w="0" w:type="dxa"/>
          </w:tblCellMar>
        </w:tblPrEx>
        <w:trPr>
          <w:trHeight w:val="270" w:hRule="atLeast"/>
        </w:trPr>
        <w:tc>
          <w:tcPr>
            <w:tcW w:w="18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    其中：一般公共预算财政拨款</w:t>
            </w:r>
          </w:p>
        </w:tc>
        <w:tc>
          <w:tcPr>
            <w:tcW w:w="6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3</w:t>
            </w:r>
          </w:p>
        </w:tc>
        <w:tc>
          <w:tcPr>
            <w:tcW w:w="15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39,093,919.34</w:t>
            </w:r>
          </w:p>
        </w:tc>
        <w:tc>
          <w:tcPr>
            <w:tcW w:w="15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28,483,323.95</w:t>
            </w:r>
          </w:p>
        </w:tc>
        <w:tc>
          <w:tcPr>
            <w:tcW w:w="16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10,610,595.39</w:t>
            </w:r>
          </w:p>
        </w:tc>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37.25</w:t>
            </w:r>
          </w:p>
        </w:tc>
        <w:tc>
          <w:tcPr>
            <w:tcW w:w="14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机改单位合并人员增多</w:t>
            </w:r>
          </w:p>
        </w:tc>
      </w:tr>
      <w:tr>
        <w:tblPrEx>
          <w:tblLayout w:type="fixed"/>
          <w:tblCellMar>
            <w:top w:w="0" w:type="dxa"/>
            <w:left w:w="0" w:type="dxa"/>
            <w:bottom w:w="0" w:type="dxa"/>
            <w:right w:w="0" w:type="dxa"/>
          </w:tblCellMar>
        </w:tblPrEx>
        <w:trPr>
          <w:trHeight w:val="270" w:hRule="atLeast"/>
        </w:trPr>
        <w:tc>
          <w:tcPr>
            <w:tcW w:w="18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     政府性基金预算财政拨款</w:t>
            </w:r>
          </w:p>
        </w:tc>
        <w:tc>
          <w:tcPr>
            <w:tcW w:w="6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4</w:t>
            </w:r>
          </w:p>
        </w:tc>
        <w:tc>
          <w:tcPr>
            <w:tcW w:w="15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4,044,715.72</w:t>
            </w:r>
          </w:p>
        </w:tc>
        <w:tc>
          <w:tcPr>
            <w:tcW w:w="15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3,027,800.00</w:t>
            </w:r>
          </w:p>
        </w:tc>
        <w:tc>
          <w:tcPr>
            <w:tcW w:w="16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1,016,915.72</w:t>
            </w:r>
          </w:p>
        </w:tc>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33.59</w:t>
            </w:r>
          </w:p>
        </w:tc>
        <w:tc>
          <w:tcPr>
            <w:tcW w:w="14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政府性基金预算增加</w:t>
            </w:r>
          </w:p>
        </w:tc>
      </w:tr>
      <w:tr>
        <w:tblPrEx>
          <w:tblLayout w:type="fixed"/>
          <w:tblCellMar>
            <w:top w:w="0" w:type="dxa"/>
            <w:left w:w="0" w:type="dxa"/>
            <w:bottom w:w="0" w:type="dxa"/>
            <w:right w:w="0" w:type="dxa"/>
          </w:tblCellMar>
        </w:tblPrEx>
        <w:trPr>
          <w:trHeight w:val="270" w:hRule="atLeast"/>
        </w:trPr>
        <w:tc>
          <w:tcPr>
            <w:tcW w:w="18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     *事业收入</w:t>
            </w:r>
          </w:p>
        </w:tc>
        <w:tc>
          <w:tcPr>
            <w:tcW w:w="6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5</w:t>
            </w:r>
          </w:p>
        </w:tc>
        <w:tc>
          <w:tcPr>
            <w:tcW w:w="15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auto"/>
                <w:sz w:val="22"/>
                <w:szCs w:val="22"/>
                <w:u w:val="none"/>
              </w:rPr>
            </w:pPr>
          </w:p>
        </w:tc>
        <w:tc>
          <w:tcPr>
            <w:tcW w:w="15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auto"/>
                <w:sz w:val="22"/>
                <w:szCs w:val="22"/>
                <w:u w:val="none"/>
              </w:rPr>
            </w:pPr>
          </w:p>
        </w:tc>
        <w:tc>
          <w:tcPr>
            <w:tcW w:w="16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auto"/>
                <w:sz w:val="22"/>
                <w:szCs w:val="22"/>
                <w:u w:val="none"/>
              </w:rPr>
            </w:pPr>
          </w:p>
        </w:tc>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auto"/>
                <w:sz w:val="22"/>
                <w:szCs w:val="22"/>
                <w:u w:val="none"/>
              </w:rPr>
            </w:pPr>
          </w:p>
        </w:tc>
        <w:tc>
          <w:tcPr>
            <w:tcW w:w="14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auto"/>
                <w:sz w:val="22"/>
                <w:szCs w:val="22"/>
                <w:u w:val="none"/>
              </w:rPr>
            </w:pPr>
          </w:p>
        </w:tc>
      </w:tr>
      <w:tr>
        <w:tblPrEx>
          <w:tblLayout w:type="fixed"/>
          <w:tblCellMar>
            <w:top w:w="0" w:type="dxa"/>
            <w:left w:w="0" w:type="dxa"/>
            <w:bottom w:w="0" w:type="dxa"/>
            <w:right w:w="0" w:type="dxa"/>
          </w:tblCellMar>
        </w:tblPrEx>
        <w:trPr>
          <w:trHeight w:val="270" w:hRule="atLeast"/>
        </w:trPr>
        <w:tc>
          <w:tcPr>
            <w:tcW w:w="18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事业单位经营收入</w:t>
            </w:r>
          </w:p>
        </w:tc>
        <w:tc>
          <w:tcPr>
            <w:tcW w:w="6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6</w:t>
            </w:r>
          </w:p>
        </w:tc>
        <w:tc>
          <w:tcPr>
            <w:tcW w:w="15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auto"/>
                <w:sz w:val="22"/>
                <w:szCs w:val="22"/>
                <w:u w:val="none"/>
              </w:rPr>
            </w:pPr>
          </w:p>
        </w:tc>
        <w:tc>
          <w:tcPr>
            <w:tcW w:w="15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auto"/>
                <w:sz w:val="22"/>
                <w:szCs w:val="22"/>
                <w:u w:val="none"/>
              </w:rPr>
            </w:pPr>
          </w:p>
        </w:tc>
        <w:tc>
          <w:tcPr>
            <w:tcW w:w="16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auto"/>
                <w:sz w:val="22"/>
                <w:szCs w:val="22"/>
                <w:u w:val="none"/>
              </w:rPr>
            </w:pPr>
          </w:p>
        </w:tc>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auto"/>
                <w:sz w:val="22"/>
                <w:szCs w:val="22"/>
                <w:u w:val="none"/>
              </w:rPr>
            </w:pPr>
          </w:p>
        </w:tc>
        <w:tc>
          <w:tcPr>
            <w:tcW w:w="14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auto"/>
                <w:sz w:val="22"/>
                <w:szCs w:val="22"/>
                <w:u w:val="none"/>
              </w:rPr>
            </w:pPr>
          </w:p>
        </w:tc>
      </w:tr>
      <w:tr>
        <w:tblPrEx>
          <w:tblLayout w:type="fixed"/>
          <w:tblCellMar>
            <w:top w:w="0" w:type="dxa"/>
            <w:left w:w="0" w:type="dxa"/>
            <w:bottom w:w="0" w:type="dxa"/>
            <w:right w:w="0" w:type="dxa"/>
          </w:tblCellMar>
        </w:tblPrEx>
        <w:trPr>
          <w:trHeight w:val="270" w:hRule="atLeast"/>
        </w:trPr>
        <w:tc>
          <w:tcPr>
            <w:tcW w:w="18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firstLine="440" w:firstLineChars="20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*其他收入</w:t>
            </w:r>
          </w:p>
        </w:tc>
        <w:tc>
          <w:tcPr>
            <w:tcW w:w="6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7</w:t>
            </w:r>
          </w:p>
        </w:tc>
        <w:tc>
          <w:tcPr>
            <w:tcW w:w="15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auto"/>
                <w:sz w:val="22"/>
                <w:szCs w:val="22"/>
                <w:u w:val="none"/>
              </w:rPr>
            </w:pPr>
          </w:p>
        </w:tc>
        <w:tc>
          <w:tcPr>
            <w:tcW w:w="15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auto"/>
                <w:sz w:val="22"/>
                <w:szCs w:val="22"/>
                <w:u w:val="none"/>
              </w:rPr>
            </w:pPr>
          </w:p>
        </w:tc>
        <w:tc>
          <w:tcPr>
            <w:tcW w:w="16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auto"/>
                <w:sz w:val="22"/>
                <w:szCs w:val="22"/>
                <w:u w:val="none"/>
              </w:rPr>
            </w:pPr>
          </w:p>
        </w:tc>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auto"/>
                <w:sz w:val="22"/>
                <w:szCs w:val="22"/>
                <w:u w:val="none"/>
              </w:rPr>
            </w:pPr>
          </w:p>
        </w:tc>
        <w:tc>
          <w:tcPr>
            <w:tcW w:w="14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auto"/>
                <w:sz w:val="22"/>
                <w:szCs w:val="22"/>
                <w:u w:val="none"/>
              </w:rPr>
            </w:pPr>
          </w:p>
        </w:tc>
      </w:tr>
      <w:tr>
        <w:tblPrEx>
          <w:tblLayout w:type="fixed"/>
          <w:tblCellMar>
            <w:top w:w="0" w:type="dxa"/>
            <w:left w:w="0" w:type="dxa"/>
            <w:bottom w:w="0" w:type="dxa"/>
            <w:right w:w="0" w:type="dxa"/>
          </w:tblCellMar>
        </w:tblPrEx>
        <w:trPr>
          <w:trHeight w:val="270" w:hRule="atLeast"/>
        </w:trPr>
        <w:tc>
          <w:tcPr>
            <w:tcW w:w="18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  2.本年支出</w:t>
            </w:r>
          </w:p>
        </w:tc>
        <w:tc>
          <w:tcPr>
            <w:tcW w:w="6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8</w:t>
            </w:r>
          </w:p>
        </w:tc>
        <w:tc>
          <w:tcPr>
            <w:tcW w:w="15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43,223,193.06</w:t>
            </w:r>
          </w:p>
        </w:tc>
        <w:tc>
          <w:tcPr>
            <w:tcW w:w="15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31,426,565.95</w:t>
            </w:r>
          </w:p>
        </w:tc>
        <w:tc>
          <w:tcPr>
            <w:tcW w:w="16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11,796,627.11</w:t>
            </w:r>
          </w:p>
        </w:tc>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37.54</w:t>
            </w:r>
          </w:p>
        </w:tc>
        <w:tc>
          <w:tcPr>
            <w:tcW w:w="14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机改单位合并人员增多</w:t>
            </w:r>
          </w:p>
        </w:tc>
      </w:tr>
      <w:tr>
        <w:tblPrEx>
          <w:tblLayout w:type="fixed"/>
          <w:tblCellMar>
            <w:top w:w="0" w:type="dxa"/>
            <w:left w:w="0" w:type="dxa"/>
            <w:bottom w:w="0" w:type="dxa"/>
            <w:right w:w="0" w:type="dxa"/>
          </w:tblCellMar>
        </w:tblPrEx>
        <w:trPr>
          <w:trHeight w:val="270" w:hRule="atLeast"/>
        </w:trPr>
        <w:tc>
          <w:tcPr>
            <w:tcW w:w="18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   其中：基本支出</w:t>
            </w:r>
          </w:p>
        </w:tc>
        <w:tc>
          <w:tcPr>
            <w:tcW w:w="6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9</w:t>
            </w:r>
          </w:p>
        </w:tc>
        <w:tc>
          <w:tcPr>
            <w:tcW w:w="15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15,698,273.00</w:t>
            </w:r>
          </w:p>
        </w:tc>
        <w:tc>
          <w:tcPr>
            <w:tcW w:w="15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14,030,512.57</w:t>
            </w:r>
          </w:p>
        </w:tc>
        <w:tc>
          <w:tcPr>
            <w:tcW w:w="16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1,667,760.43</w:t>
            </w:r>
          </w:p>
        </w:tc>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11.89</w:t>
            </w:r>
          </w:p>
        </w:tc>
        <w:tc>
          <w:tcPr>
            <w:tcW w:w="14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机改单位合并人员增多</w:t>
            </w:r>
          </w:p>
        </w:tc>
      </w:tr>
      <w:tr>
        <w:tblPrEx>
          <w:tblLayout w:type="fixed"/>
          <w:tblCellMar>
            <w:top w:w="0" w:type="dxa"/>
            <w:left w:w="0" w:type="dxa"/>
            <w:bottom w:w="0" w:type="dxa"/>
            <w:right w:w="0" w:type="dxa"/>
          </w:tblCellMar>
        </w:tblPrEx>
        <w:trPr>
          <w:trHeight w:val="270" w:hRule="atLeast"/>
        </w:trPr>
        <w:tc>
          <w:tcPr>
            <w:tcW w:w="18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    （1）人员经费</w:t>
            </w:r>
          </w:p>
        </w:tc>
        <w:tc>
          <w:tcPr>
            <w:tcW w:w="6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10</w:t>
            </w:r>
          </w:p>
        </w:tc>
        <w:tc>
          <w:tcPr>
            <w:tcW w:w="15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11,989,852.25</w:t>
            </w:r>
          </w:p>
        </w:tc>
        <w:tc>
          <w:tcPr>
            <w:tcW w:w="15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10,742,819.65</w:t>
            </w:r>
          </w:p>
        </w:tc>
        <w:tc>
          <w:tcPr>
            <w:tcW w:w="16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1,247,032.60</w:t>
            </w:r>
          </w:p>
        </w:tc>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11.61</w:t>
            </w:r>
          </w:p>
        </w:tc>
        <w:tc>
          <w:tcPr>
            <w:tcW w:w="14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机改单位合并人员增多</w:t>
            </w:r>
          </w:p>
        </w:tc>
      </w:tr>
      <w:tr>
        <w:tblPrEx>
          <w:tblLayout w:type="fixed"/>
          <w:tblCellMar>
            <w:top w:w="0" w:type="dxa"/>
            <w:left w:w="0" w:type="dxa"/>
            <w:bottom w:w="0" w:type="dxa"/>
            <w:right w:w="0" w:type="dxa"/>
          </w:tblCellMar>
        </w:tblPrEx>
        <w:trPr>
          <w:trHeight w:val="270" w:hRule="atLeast"/>
        </w:trPr>
        <w:tc>
          <w:tcPr>
            <w:tcW w:w="18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     （2）日常公用经费</w:t>
            </w:r>
          </w:p>
        </w:tc>
        <w:tc>
          <w:tcPr>
            <w:tcW w:w="6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11</w:t>
            </w:r>
          </w:p>
        </w:tc>
        <w:tc>
          <w:tcPr>
            <w:tcW w:w="15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3,708,420.75</w:t>
            </w:r>
          </w:p>
        </w:tc>
        <w:tc>
          <w:tcPr>
            <w:tcW w:w="15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3,287,692.92</w:t>
            </w:r>
          </w:p>
        </w:tc>
        <w:tc>
          <w:tcPr>
            <w:tcW w:w="16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420,727.83</w:t>
            </w:r>
          </w:p>
        </w:tc>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12.8</w:t>
            </w:r>
          </w:p>
        </w:tc>
        <w:tc>
          <w:tcPr>
            <w:tcW w:w="14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日常公用经费略微增加</w:t>
            </w:r>
          </w:p>
        </w:tc>
      </w:tr>
      <w:tr>
        <w:tblPrEx>
          <w:tblLayout w:type="fixed"/>
          <w:tblCellMar>
            <w:top w:w="0" w:type="dxa"/>
            <w:left w:w="0" w:type="dxa"/>
            <w:bottom w:w="0" w:type="dxa"/>
            <w:right w:w="0" w:type="dxa"/>
          </w:tblCellMar>
        </w:tblPrEx>
        <w:trPr>
          <w:trHeight w:val="270" w:hRule="atLeast"/>
        </w:trPr>
        <w:tc>
          <w:tcPr>
            <w:tcW w:w="18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     项目支出</w:t>
            </w:r>
          </w:p>
        </w:tc>
        <w:tc>
          <w:tcPr>
            <w:tcW w:w="6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12</w:t>
            </w:r>
          </w:p>
        </w:tc>
        <w:tc>
          <w:tcPr>
            <w:tcW w:w="15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27,524,920.06</w:t>
            </w:r>
          </w:p>
        </w:tc>
        <w:tc>
          <w:tcPr>
            <w:tcW w:w="15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17,396,053.38</w:t>
            </w:r>
          </w:p>
        </w:tc>
        <w:tc>
          <w:tcPr>
            <w:tcW w:w="16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10,128,866.68</w:t>
            </w:r>
          </w:p>
        </w:tc>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58.23</w:t>
            </w:r>
          </w:p>
        </w:tc>
        <w:tc>
          <w:tcPr>
            <w:tcW w:w="14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项目建设增加</w:t>
            </w:r>
          </w:p>
        </w:tc>
      </w:tr>
      <w:tr>
        <w:tblPrEx>
          <w:tblLayout w:type="fixed"/>
          <w:tblCellMar>
            <w:top w:w="0" w:type="dxa"/>
            <w:left w:w="0" w:type="dxa"/>
            <w:bottom w:w="0" w:type="dxa"/>
            <w:right w:w="0" w:type="dxa"/>
          </w:tblCellMar>
        </w:tblPrEx>
        <w:trPr>
          <w:trHeight w:val="270" w:hRule="atLeast"/>
        </w:trPr>
        <w:tc>
          <w:tcPr>
            <w:tcW w:w="18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      其中：基本建设类项目</w:t>
            </w:r>
          </w:p>
        </w:tc>
        <w:tc>
          <w:tcPr>
            <w:tcW w:w="6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13</w:t>
            </w:r>
          </w:p>
        </w:tc>
        <w:tc>
          <w:tcPr>
            <w:tcW w:w="15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18,636,559.59</w:t>
            </w:r>
          </w:p>
        </w:tc>
        <w:tc>
          <w:tcPr>
            <w:tcW w:w="15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6,902,200.00</w:t>
            </w:r>
          </w:p>
        </w:tc>
        <w:tc>
          <w:tcPr>
            <w:tcW w:w="16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11,734,359.59</w:t>
            </w:r>
          </w:p>
        </w:tc>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170.01</w:t>
            </w:r>
          </w:p>
        </w:tc>
        <w:tc>
          <w:tcPr>
            <w:tcW w:w="14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项目建设增加</w:t>
            </w:r>
          </w:p>
        </w:tc>
      </w:tr>
      <w:tr>
        <w:tblPrEx>
          <w:tblLayout w:type="fixed"/>
          <w:tblCellMar>
            <w:top w:w="0" w:type="dxa"/>
            <w:left w:w="0" w:type="dxa"/>
            <w:bottom w:w="0" w:type="dxa"/>
            <w:right w:w="0" w:type="dxa"/>
          </w:tblCellMar>
        </w:tblPrEx>
        <w:trPr>
          <w:trHeight w:val="270" w:hRule="atLeast"/>
        </w:trPr>
        <w:tc>
          <w:tcPr>
            <w:tcW w:w="18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     事业单位经营支出</w:t>
            </w:r>
          </w:p>
        </w:tc>
        <w:tc>
          <w:tcPr>
            <w:tcW w:w="6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14</w:t>
            </w:r>
          </w:p>
        </w:tc>
        <w:tc>
          <w:tcPr>
            <w:tcW w:w="15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auto"/>
                <w:sz w:val="22"/>
                <w:szCs w:val="22"/>
                <w:u w:val="none"/>
              </w:rPr>
            </w:pPr>
          </w:p>
        </w:tc>
        <w:tc>
          <w:tcPr>
            <w:tcW w:w="15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auto"/>
                <w:sz w:val="22"/>
                <w:szCs w:val="22"/>
                <w:u w:val="none"/>
              </w:rPr>
            </w:pPr>
          </w:p>
        </w:tc>
        <w:tc>
          <w:tcPr>
            <w:tcW w:w="16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auto"/>
                <w:sz w:val="22"/>
                <w:szCs w:val="22"/>
                <w:u w:val="none"/>
              </w:rPr>
            </w:pPr>
          </w:p>
        </w:tc>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auto"/>
                <w:sz w:val="22"/>
                <w:szCs w:val="22"/>
                <w:u w:val="none"/>
              </w:rPr>
            </w:pPr>
          </w:p>
        </w:tc>
        <w:tc>
          <w:tcPr>
            <w:tcW w:w="14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auto"/>
                <w:sz w:val="22"/>
                <w:szCs w:val="22"/>
                <w:u w:val="none"/>
              </w:rPr>
            </w:pPr>
          </w:p>
        </w:tc>
      </w:tr>
      <w:tr>
        <w:tblPrEx>
          <w:tblLayout w:type="fixed"/>
          <w:tblCellMar>
            <w:top w:w="0" w:type="dxa"/>
            <w:left w:w="0" w:type="dxa"/>
            <w:bottom w:w="0" w:type="dxa"/>
            <w:right w:w="0" w:type="dxa"/>
          </w:tblCellMar>
        </w:tblPrEx>
        <w:trPr>
          <w:trHeight w:val="270" w:hRule="atLeast"/>
        </w:trPr>
        <w:tc>
          <w:tcPr>
            <w:tcW w:w="18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  3.年末结转和结余</w:t>
            </w:r>
          </w:p>
        </w:tc>
        <w:tc>
          <w:tcPr>
            <w:tcW w:w="6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15</w:t>
            </w:r>
          </w:p>
        </w:tc>
        <w:tc>
          <w:tcPr>
            <w:tcW w:w="15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auto"/>
                <w:sz w:val="22"/>
                <w:szCs w:val="22"/>
                <w:u w:val="none"/>
              </w:rPr>
            </w:pPr>
          </w:p>
        </w:tc>
        <w:tc>
          <w:tcPr>
            <w:tcW w:w="15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84,558.00</w:t>
            </w:r>
          </w:p>
        </w:tc>
        <w:tc>
          <w:tcPr>
            <w:tcW w:w="16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-84,558.00</w:t>
            </w:r>
          </w:p>
        </w:tc>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-100</w:t>
            </w:r>
          </w:p>
        </w:tc>
        <w:tc>
          <w:tcPr>
            <w:tcW w:w="14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本年无结转结余</w:t>
            </w:r>
          </w:p>
        </w:tc>
      </w:tr>
      <w:tr>
        <w:tblPrEx>
          <w:tblLayout w:type="fixed"/>
          <w:tblCellMar>
            <w:top w:w="0" w:type="dxa"/>
            <w:left w:w="0" w:type="dxa"/>
            <w:bottom w:w="0" w:type="dxa"/>
            <w:right w:w="0" w:type="dxa"/>
          </w:tblCellMar>
        </w:tblPrEx>
        <w:trPr>
          <w:trHeight w:val="270" w:hRule="atLeast"/>
        </w:trPr>
        <w:tc>
          <w:tcPr>
            <w:tcW w:w="18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   其中：一般公共预算财政拨款</w:t>
            </w:r>
          </w:p>
        </w:tc>
        <w:tc>
          <w:tcPr>
            <w:tcW w:w="6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16</w:t>
            </w:r>
          </w:p>
        </w:tc>
        <w:tc>
          <w:tcPr>
            <w:tcW w:w="15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auto"/>
                <w:sz w:val="22"/>
                <w:szCs w:val="22"/>
                <w:u w:val="none"/>
              </w:rPr>
            </w:pPr>
          </w:p>
        </w:tc>
        <w:tc>
          <w:tcPr>
            <w:tcW w:w="15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84,558.00</w:t>
            </w:r>
          </w:p>
        </w:tc>
        <w:tc>
          <w:tcPr>
            <w:tcW w:w="16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-84,558.00</w:t>
            </w:r>
          </w:p>
        </w:tc>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-100</w:t>
            </w:r>
          </w:p>
        </w:tc>
        <w:tc>
          <w:tcPr>
            <w:tcW w:w="14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本年无结转结余</w:t>
            </w:r>
          </w:p>
        </w:tc>
      </w:tr>
      <w:tr>
        <w:tblPrEx>
          <w:tblLayout w:type="fixed"/>
          <w:tblCellMar>
            <w:top w:w="0" w:type="dxa"/>
            <w:left w:w="0" w:type="dxa"/>
            <w:bottom w:w="0" w:type="dxa"/>
            <w:right w:w="0" w:type="dxa"/>
          </w:tblCellMar>
        </w:tblPrEx>
        <w:trPr>
          <w:trHeight w:val="270" w:hRule="atLeast"/>
        </w:trPr>
        <w:tc>
          <w:tcPr>
            <w:tcW w:w="18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   政府性基金预算财政拨款</w:t>
            </w:r>
          </w:p>
        </w:tc>
        <w:tc>
          <w:tcPr>
            <w:tcW w:w="6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17</w:t>
            </w:r>
          </w:p>
        </w:tc>
        <w:tc>
          <w:tcPr>
            <w:tcW w:w="15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auto"/>
                <w:sz w:val="22"/>
                <w:szCs w:val="22"/>
                <w:u w:val="none"/>
              </w:rPr>
            </w:pPr>
          </w:p>
        </w:tc>
        <w:tc>
          <w:tcPr>
            <w:tcW w:w="15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auto"/>
                <w:sz w:val="22"/>
                <w:szCs w:val="22"/>
                <w:u w:val="none"/>
              </w:rPr>
            </w:pPr>
          </w:p>
        </w:tc>
        <w:tc>
          <w:tcPr>
            <w:tcW w:w="16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auto"/>
                <w:sz w:val="22"/>
                <w:szCs w:val="22"/>
                <w:u w:val="none"/>
              </w:rPr>
            </w:pPr>
          </w:p>
        </w:tc>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auto"/>
                <w:sz w:val="22"/>
                <w:szCs w:val="22"/>
                <w:u w:val="none"/>
              </w:rPr>
            </w:pPr>
          </w:p>
        </w:tc>
        <w:tc>
          <w:tcPr>
            <w:tcW w:w="14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auto"/>
                <w:sz w:val="22"/>
                <w:szCs w:val="22"/>
                <w:u w:val="none"/>
              </w:rPr>
            </w:pPr>
          </w:p>
        </w:tc>
      </w:tr>
      <w:tr>
        <w:tblPrEx>
          <w:tblLayout w:type="fixed"/>
        </w:tblPrEx>
        <w:trPr>
          <w:trHeight w:val="270" w:hRule="atLeast"/>
        </w:trPr>
        <w:tc>
          <w:tcPr>
            <w:tcW w:w="18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二、年末资产负债信息（单位：元）</w:t>
            </w:r>
          </w:p>
        </w:tc>
        <w:tc>
          <w:tcPr>
            <w:tcW w:w="6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18</w:t>
            </w:r>
          </w:p>
        </w:tc>
        <w:tc>
          <w:tcPr>
            <w:tcW w:w="15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w:t>
            </w:r>
          </w:p>
        </w:tc>
        <w:tc>
          <w:tcPr>
            <w:tcW w:w="15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w:t>
            </w:r>
          </w:p>
        </w:tc>
        <w:tc>
          <w:tcPr>
            <w:tcW w:w="16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w:t>
            </w:r>
          </w:p>
        </w:tc>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w:t>
            </w:r>
          </w:p>
        </w:tc>
        <w:tc>
          <w:tcPr>
            <w:tcW w:w="14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w:t>
            </w:r>
          </w:p>
        </w:tc>
      </w:tr>
      <w:tr>
        <w:tblPrEx>
          <w:tblLayout w:type="fixed"/>
          <w:tblCellMar>
            <w:top w:w="0" w:type="dxa"/>
            <w:left w:w="0" w:type="dxa"/>
            <w:bottom w:w="0" w:type="dxa"/>
            <w:right w:w="0" w:type="dxa"/>
          </w:tblCellMar>
        </w:tblPrEx>
        <w:trPr>
          <w:trHeight w:val="415" w:hRule="atLeast"/>
        </w:trPr>
        <w:tc>
          <w:tcPr>
            <w:tcW w:w="18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 </w:t>
            </w:r>
            <w:r>
              <w:rPr>
                <w:rFonts w:hint="eastAsia" w:ascii="宋体" w:hAnsi="宋体" w:cs="宋体"/>
                <w:i w:val="0"/>
                <w:color w:val="auto"/>
                <w:kern w:val="0"/>
                <w:sz w:val="22"/>
                <w:szCs w:val="22"/>
                <w:u w:val="none"/>
                <w:lang w:val="en-US" w:eastAsia="zh-CN" w:bidi="ar"/>
              </w:rPr>
              <w:t xml:space="preserve">  </w:t>
            </w:r>
            <w:r>
              <w:rPr>
                <w:rFonts w:hint="eastAsia" w:ascii="宋体" w:hAnsi="宋体" w:eastAsia="宋体" w:cs="宋体"/>
                <w:i w:val="0"/>
                <w:color w:val="auto"/>
                <w:kern w:val="0"/>
                <w:sz w:val="22"/>
                <w:szCs w:val="22"/>
                <w:u w:val="none"/>
                <w:lang w:val="en-US" w:eastAsia="zh-CN" w:bidi="ar"/>
              </w:rPr>
              <w:t xml:space="preserve"> 1.货币资金</w:t>
            </w:r>
          </w:p>
        </w:tc>
        <w:tc>
          <w:tcPr>
            <w:tcW w:w="6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19</w:t>
            </w:r>
          </w:p>
        </w:tc>
        <w:tc>
          <w:tcPr>
            <w:tcW w:w="15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2,994,019.19</w:t>
            </w:r>
          </w:p>
        </w:tc>
        <w:tc>
          <w:tcPr>
            <w:tcW w:w="15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1,436,750.50</w:t>
            </w:r>
          </w:p>
        </w:tc>
        <w:tc>
          <w:tcPr>
            <w:tcW w:w="16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1,557,268.69</w:t>
            </w:r>
          </w:p>
        </w:tc>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108.39</w:t>
            </w:r>
          </w:p>
        </w:tc>
        <w:tc>
          <w:tcPr>
            <w:tcW w:w="14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机改单位合并</w:t>
            </w:r>
          </w:p>
        </w:tc>
      </w:tr>
      <w:tr>
        <w:tblPrEx>
          <w:tblLayout w:type="fixed"/>
          <w:tblCellMar>
            <w:top w:w="0" w:type="dxa"/>
            <w:left w:w="0" w:type="dxa"/>
            <w:bottom w:w="0" w:type="dxa"/>
            <w:right w:w="0" w:type="dxa"/>
          </w:tblCellMar>
        </w:tblPrEx>
        <w:trPr>
          <w:trHeight w:val="270" w:hRule="atLeast"/>
        </w:trPr>
        <w:tc>
          <w:tcPr>
            <w:tcW w:w="18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  </w:t>
            </w:r>
            <w:r>
              <w:rPr>
                <w:rFonts w:hint="eastAsia" w:ascii="宋体" w:hAnsi="宋体" w:cs="宋体"/>
                <w:i w:val="0"/>
                <w:color w:val="auto"/>
                <w:kern w:val="0"/>
                <w:sz w:val="22"/>
                <w:szCs w:val="22"/>
                <w:u w:val="none"/>
                <w:lang w:val="en-US" w:eastAsia="zh-CN" w:bidi="ar"/>
              </w:rPr>
              <w:t xml:space="preserve">  </w:t>
            </w:r>
            <w:r>
              <w:rPr>
                <w:rFonts w:hint="eastAsia" w:ascii="宋体" w:hAnsi="宋体" w:eastAsia="宋体" w:cs="宋体"/>
                <w:i w:val="0"/>
                <w:color w:val="auto"/>
                <w:kern w:val="0"/>
                <w:sz w:val="22"/>
                <w:szCs w:val="22"/>
                <w:u w:val="none"/>
                <w:lang w:val="en-US" w:eastAsia="zh-CN" w:bidi="ar"/>
              </w:rPr>
              <w:t>2.财政应返还额度</w:t>
            </w:r>
          </w:p>
        </w:tc>
        <w:tc>
          <w:tcPr>
            <w:tcW w:w="6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w:t>
            </w:r>
          </w:p>
        </w:tc>
        <w:tc>
          <w:tcPr>
            <w:tcW w:w="15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auto"/>
                <w:sz w:val="22"/>
                <w:szCs w:val="22"/>
                <w:u w:val="none"/>
              </w:rPr>
            </w:pPr>
          </w:p>
        </w:tc>
        <w:tc>
          <w:tcPr>
            <w:tcW w:w="15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84,558.00</w:t>
            </w:r>
          </w:p>
        </w:tc>
        <w:tc>
          <w:tcPr>
            <w:tcW w:w="16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-84,558.00</w:t>
            </w:r>
          </w:p>
        </w:tc>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-100</w:t>
            </w:r>
          </w:p>
        </w:tc>
        <w:tc>
          <w:tcPr>
            <w:tcW w:w="14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无财政应返还额度</w:t>
            </w:r>
          </w:p>
        </w:tc>
      </w:tr>
      <w:tr>
        <w:tblPrEx>
          <w:tblLayout w:type="fixed"/>
          <w:tblCellMar>
            <w:top w:w="0" w:type="dxa"/>
            <w:left w:w="0" w:type="dxa"/>
            <w:bottom w:w="0" w:type="dxa"/>
            <w:right w:w="0" w:type="dxa"/>
          </w:tblCellMar>
        </w:tblPrEx>
        <w:trPr>
          <w:trHeight w:val="270" w:hRule="atLeast"/>
        </w:trPr>
        <w:tc>
          <w:tcPr>
            <w:tcW w:w="18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    3.房屋</w:t>
            </w:r>
          </w:p>
        </w:tc>
        <w:tc>
          <w:tcPr>
            <w:tcW w:w="6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21</w:t>
            </w:r>
          </w:p>
        </w:tc>
        <w:tc>
          <w:tcPr>
            <w:tcW w:w="15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1,162,675.53</w:t>
            </w:r>
          </w:p>
        </w:tc>
        <w:tc>
          <w:tcPr>
            <w:tcW w:w="15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1,162,675.53</w:t>
            </w:r>
          </w:p>
        </w:tc>
        <w:tc>
          <w:tcPr>
            <w:tcW w:w="16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auto"/>
                <w:sz w:val="22"/>
                <w:szCs w:val="22"/>
                <w:u w:val="none"/>
              </w:rPr>
            </w:pPr>
          </w:p>
        </w:tc>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auto"/>
                <w:sz w:val="22"/>
                <w:szCs w:val="22"/>
                <w:u w:val="none"/>
              </w:rPr>
            </w:pPr>
          </w:p>
        </w:tc>
        <w:tc>
          <w:tcPr>
            <w:tcW w:w="14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auto"/>
                <w:sz w:val="22"/>
                <w:szCs w:val="22"/>
                <w:u w:val="none"/>
              </w:rPr>
            </w:pPr>
          </w:p>
        </w:tc>
      </w:tr>
      <w:tr>
        <w:tblPrEx>
          <w:tblLayout w:type="fixed"/>
          <w:tblCellMar>
            <w:top w:w="0" w:type="dxa"/>
            <w:left w:w="0" w:type="dxa"/>
            <w:bottom w:w="0" w:type="dxa"/>
            <w:right w:w="0" w:type="dxa"/>
          </w:tblCellMar>
        </w:tblPrEx>
        <w:trPr>
          <w:trHeight w:val="270" w:hRule="atLeast"/>
        </w:trPr>
        <w:tc>
          <w:tcPr>
            <w:tcW w:w="18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    4.车辆</w:t>
            </w:r>
          </w:p>
        </w:tc>
        <w:tc>
          <w:tcPr>
            <w:tcW w:w="6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22</w:t>
            </w:r>
          </w:p>
        </w:tc>
        <w:tc>
          <w:tcPr>
            <w:tcW w:w="15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568,550.00</w:t>
            </w:r>
          </w:p>
        </w:tc>
        <w:tc>
          <w:tcPr>
            <w:tcW w:w="15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568,550.00</w:t>
            </w:r>
          </w:p>
        </w:tc>
        <w:tc>
          <w:tcPr>
            <w:tcW w:w="16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auto"/>
                <w:sz w:val="22"/>
                <w:szCs w:val="22"/>
                <w:u w:val="none"/>
              </w:rPr>
            </w:pPr>
          </w:p>
        </w:tc>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auto"/>
                <w:sz w:val="22"/>
                <w:szCs w:val="22"/>
                <w:u w:val="none"/>
              </w:rPr>
            </w:pPr>
          </w:p>
        </w:tc>
        <w:tc>
          <w:tcPr>
            <w:tcW w:w="14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auto"/>
                <w:sz w:val="22"/>
                <w:szCs w:val="22"/>
                <w:u w:val="none"/>
              </w:rPr>
            </w:pPr>
          </w:p>
        </w:tc>
      </w:tr>
      <w:tr>
        <w:tblPrEx>
          <w:tblLayout w:type="fixed"/>
          <w:tblCellMar>
            <w:top w:w="0" w:type="dxa"/>
            <w:left w:w="0" w:type="dxa"/>
            <w:bottom w:w="0" w:type="dxa"/>
            <w:right w:w="0" w:type="dxa"/>
          </w:tblCellMar>
        </w:tblPrEx>
        <w:trPr>
          <w:trHeight w:val="270" w:hRule="atLeast"/>
        </w:trPr>
        <w:tc>
          <w:tcPr>
            <w:tcW w:w="18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    5.在建工程</w:t>
            </w:r>
          </w:p>
        </w:tc>
        <w:tc>
          <w:tcPr>
            <w:tcW w:w="6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23</w:t>
            </w:r>
          </w:p>
        </w:tc>
        <w:tc>
          <w:tcPr>
            <w:tcW w:w="15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auto"/>
                <w:sz w:val="22"/>
                <w:szCs w:val="22"/>
                <w:u w:val="none"/>
              </w:rPr>
            </w:pPr>
          </w:p>
        </w:tc>
        <w:tc>
          <w:tcPr>
            <w:tcW w:w="15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auto"/>
                <w:sz w:val="22"/>
                <w:szCs w:val="22"/>
                <w:u w:val="none"/>
              </w:rPr>
            </w:pPr>
          </w:p>
        </w:tc>
        <w:tc>
          <w:tcPr>
            <w:tcW w:w="16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auto"/>
                <w:sz w:val="22"/>
                <w:szCs w:val="22"/>
                <w:u w:val="none"/>
              </w:rPr>
            </w:pPr>
          </w:p>
        </w:tc>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auto"/>
                <w:sz w:val="22"/>
                <w:szCs w:val="22"/>
                <w:u w:val="none"/>
              </w:rPr>
            </w:pPr>
          </w:p>
        </w:tc>
        <w:tc>
          <w:tcPr>
            <w:tcW w:w="14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auto"/>
                <w:sz w:val="22"/>
                <w:szCs w:val="22"/>
                <w:u w:val="none"/>
              </w:rPr>
            </w:pPr>
          </w:p>
        </w:tc>
      </w:tr>
      <w:tr>
        <w:tblPrEx>
          <w:tblLayout w:type="fixed"/>
          <w:tblCellMar>
            <w:top w:w="0" w:type="dxa"/>
            <w:left w:w="0" w:type="dxa"/>
            <w:bottom w:w="0" w:type="dxa"/>
            <w:right w:w="0" w:type="dxa"/>
          </w:tblCellMar>
        </w:tblPrEx>
        <w:trPr>
          <w:trHeight w:val="270" w:hRule="atLeast"/>
        </w:trPr>
        <w:tc>
          <w:tcPr>
            <w:tcW w:w="18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    6.借款</w:t>
            </w:r>
          </w:p>
        </w:tc>
        <w:tc>
          <w:tcPr>
            <w:tcW w:w="6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24</w:t>
            </w:r>
          </w:p>
        </w:tc>
        <w:tc>
          <w:tcPr>
            <w:tcW w:w="15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auto"/>
                <w:sz w:val="22"/>
                <w:szCs w:val="22"/>
                <w:u w:val="none"/>
              </w:rPr>
            </w:pPr>
          </w:p>
        </w:tc>
        <w:tc>
          <w:tcPr>
            <w:tcW w:w="15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auto"/>
                <w:sz w:val="22"/>
                <w:szCs w:val="22"/>
                <w:u w:val="none"/>
              </w:rPr>
            </w:pPr>
          </w:p>
        </w:tc>
        <w:tc>
          <w:tcPr>
            <w:tcW w:w="16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auto"/>
                <w:sz w:val="22"/>
                <w:szCs w:val="22"/>
                <w:u w:val="none"/>
              </w:rPr>
            </w:pPr>
          </w:p>
        </w:tc>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auto"/>
                <w:sz w:val="22"/>
                <w:szCs w:val="22"/>
                <w:u w:val="none"/>
              </w:rPr>
            </w:pPr>
          </w:p>
        </w:tc>
        <w:tc>
          <w:tcPr>
            <w:tcW w:w="14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auto"/>
                <w:sz w:val="22"/>
                <w:szCs w:val="22"/>
                <w:u w:val="none"/>
              </w:rPr>
            </w:pPr>
          </w:p>
        </w:tc>
      </w:tr>
      <w:tr>
        <w:tblPrEx>
          <w:tblLayout w:type="fixed"/>
          <w:tblCellMar>
            <w:top w:w="0" w:type="dxa"/>
            <w:left w:w="0" w:type="dxa"/>
            <w:bottom w:w="0" w:type="dxa"/>
            <w:right w:w="0" w:type="dxa"/>
          </w:tblCellMar>
        </w:tblPrEx>
        <w:trPr>
          <w:trHeight w:val="270" w:hRule="atLeast"/>
        </w:trPr>
        <w:tc>
          <w:tcPr>
            <w:tcW w:w="18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    7.应缴财政款</w:t>
            </w:r>
          </w:p>
        </w:tc>
        <w:tc>
          <w:tcPr>
            <w:tcW w:w="6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25</w:t>
            </w:r>
          </w:p>
        </w:tc>
        <w:tc>
          <w:tcPr>
            <w:tcW w:w="15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auto"/>
                <w:sz w:val="22"/>
                <w:szCs w:val="22"/>
                <w:u w:val="none"/>
              </w:rPr>
            </w:pPr>
          </w:p>
        </w:tc>
        <w:tc>
          <w:tcPr>
            <w:tcW w:w="15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auto"/>
                <w:sz w:val="22"/>
                <w:szCs w:val="22"/>
                <w:u w:val="none"/>
              </w:rPr>
            </w:pPr>
          </w:p>
        </w:tc>
        <w:tc>
          <w:tcPr>
            <w:tcW w:w="16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auto"/>
                <w:sz w:val="22"/>
                <w:szCs w:val="22"/>
                <w:u w:val="none"/>
              </w:rPr>
            </w:pPr>
          </w:p>
        </w:tc>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auto"/>
                <w:sz w:val="22"/>
                <w:szCs w:val="22"/>
                <w:u w:val="none"/>
              </w:rPr>
            </w:pPr>
          </w:p>
        </w:tc>
        <w:tc>
          <w:tcPr>
            <w:tcW w:w="14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auto"/>
                <w:sz w:val="22"/>
                <w:szCs w:val="22"/>
                <w:u w:val="none"/>
              </w:rPr>
            </w:pPr>
          </w:p>
        </w:tc>
      </w:tr>
      <w:tr>
        <w:tblPrEx>
          <w:tblLayout w:type="fixed"/>
          <w:tblCellMar>
            <w:top w:w="0" w:type="dxa"/>
            <w:left w:w="0" w:type="dxa"/>
            <w:bottom w:w="0" w:type="dxa"/>
            <w:right w:w="0" w:type="dxa"/>
          </w:tblCellMar>
        </w:tblPrEx>
        <w:trPr>
          <w:trHeight w:val="270" w:hRule="atLeast"/>
        </w:trPr>
        <w:tc>
          <w:tcPr>
            <w:tcW w:w="18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  8.应付职工薪酬</w:t>
            </w:r>
          </w:p>
        </w:tc>
        <w:tc>
          <w:tcPr>
            <w:tcW w:w="6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26</w:t>
            </w:r>
          </w:p>
        </w:tc>
        <w:tc>
          <w:tcPr>
            <w:tcW w:w="15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auto"/>
                <w:sz w:val="22"/>
                <w:szCs w:val="22"/>
                <w:u w:val="none"/>
              </w:rPr>
            </w:pPr>
          </w:p>
        </w:tc>
        <w:tc>
          <w:tcPr>
            <w:tcW w:w="15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auto"/>
                <w:sz w:val="22"/>
                <w:szCs w:val="22"/>
                <w:u w:val="none"/>
              </w:rPr>
            </w:pPr>
          </w:p>
        </w:tc>
        <w:tc>
          <w:tcPr>
            <w:tcW w:w="16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auto"/>
                <w:sz w:val="22"/>
                <w:szCs w:val="22"/>
                <w:u w:val="none"/>
              </w:rPr>
            </w:pPr>
          </w:p>
        </w:tc>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auto"/>
                <w:sz w:val="22"/>
                <w:szCs w:val="22"/>
                <w:u w:val="none"/>
              </w:rPr>
            </w:pPr>
          </w:p>
        </w:tc>
        <w:tc>
          <w:tcPr>
            <w:tcW w:w="14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auto"/>
                <w:sz w:val="22"/>
                <w:szCs w:val="22"/>
                <w:u w:val="none"/>
              </w:rPr>
            </w:pPr>
          </w:p>
        </w:tc>
      </w:tr>
      <w:tr>
        <w:tblPrEx>
          <w:tblLayout w:type="fixed"/>
          <w:tblCellMar>
            <w:top w:w="0" w:type="dxa"/>
            <w:left w:w="0" w:type="dxa"/>
            <w:bottom w:w="0" w:type="dxa"/>
            <w:right w:w="0" w:type="dxa"/>
          </w:tblCellMar>
        </w:tblPrEx>
        <w:trPr>
          <w:trHeight w:val="270" w:hRule="atLeast"/>
        </w:trPr>
        <w:tc>
          <w:tcPr>
            <w:tcW w:w="18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三、年末机构人员情况（单位：个、人）</w:t>
            </w:r>
          </w:p>
        </w:tc>
        <w:tc>
          <w:tcPr>
            <w:tcW w:w="6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27</w:t>
            </w:r>
          </w:p>
        </w:tc>
        <w:tc>
          <w:tcPr>
            <w:tcW w:w="15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w:t>
            </w:r>
          </w:p>
        </w:tc>
        <w:tc>
          <w:tcPr>
            <w:tcW w:w="15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w:t>
            </w:r>
          </w:p>
        </w:tc>
        <w:tc>
          <w:tcPr>
            <w:tcW w:w="16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w:t>
            </w:r>
          </w:p>
        </w:tc>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w:t>
            </w:r>
          </w:p>
        </w:tc>
        <w:tc>
          <w:tcPr>
            <w:tcW w:w="14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w:t>
            </w:r>
          </w:p>
        </w:tc>
      </w:tr>
      <w:tr>
        <w:tblPrEx>
          <w:tblLayout w:type="fixed"/>
          <w:tblCellMar>
            <w:top w:w="0" w:type="dxa"/>
            <w:left w:w="0" w:type="dxa"/>
            <w:bottom w:w="0" w:type="dxa"/>
            <w:right w:w="0" w:type="dxa"/>
          </w:tblCellMar>
        </w:tblPrEx>
        <w:trPr>
          <w:trHeight w:val="270" w:hRule="atLeast"/>
        </w:trPr>
        <w:tc>
          <w:tcPr>
            <w:tcW w:w="18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1.独立编制机构数</w:t>
            </w:r>
          </w:p>
        </w:tc>
        <w:tc>
          <w:tcPr>
            <w:tcW w:w="6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28</w:t>
            </w:r>
          </w:p>
        </w:tc>
        <w:tc>
          <w:tcPr>
            <w:tcW w:w="15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6</w:t>
            </w:r>
          </w:p>
        </w:tc>
        <w:tc>
          <w:tcPr>
            <w:tcW w:w="15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6</w:t>
            </w:r>
          </w:p>
        </w:tc>
        <w:tc>
          <w:tcPr>
            <w:tcW w:w="16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auto"/>
                <w:sz w:val="22"/>
                <w:szCs w:val="22"/>
                <w:u w:val="none"/>
              </w:rPr>
            </w:pPr>
          </w:p>
        </w:tc>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auto"/>
                <w:sz w:val="22"/>
                <w:szCs w:val="22"/>
                <w:u w:val="none"/>
              </w:rPr>
            </w:pPr>
          </w:p>
        </w:tc>
        <w:tc>
          <w:tcPr>
            <w:tcW w:w="14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auto"/>
                <w:sz w:val="22"/>
                <w:szCs w:val="22"/>
                <w:u w:val="none"/>
              </w:rPr>
            </w:pPr>
          </w:p>
        </w:tc>
      </w:tr>
      <w:tr>
        <w:tblPrEx>
          <w:tblLayout w:type="fixed"/>
          <w:tblCellMar>
            <w:top w:w="0" w:type="dxa"/>
            <w:left w:w="0" w:type="dxa"/>
            <w:bottom w:w="0" w:type="dxa"/>
            <w:right w:w="0" w:type="dxa"/>
          </w:tblCellMar>
        </w:tblPrEx>
        <w:trPr>
          <w:trHeight w:val="270" w:hRule="atLeast"/>
        </w:trPr>
        <w:tc>
          <w:tcPr>
            <w:tcW w:w="18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2.独立核算机构数</w:t>
            </w:r>
          </w:p>
        </w:tc>
        <w:tc>
          <w:tcPr>
            <w:tcW w:w="6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29</w:t>
            </w:r>
          </w:p>
        </w:tc>
        <w:tc>
          <w:tcPr>
            <w:tcW w:w="15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6</w:t>
            </w:r>
          </w:p>
        </w:tc>
        <w:tc>
          <w:tcPr>
            <w:tcW w:w="15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6</w:t>
            </w:r>
          </w:p>
        </w:tc>
        <w:tc>
          <w:tcPr>
            <w:tcW w:w="16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auto"/>
                <w:sz w:val="22"/>
                <w:szCs w:val="22"/>
                <w:u w:val="none"/>
              </w:rPr>
            </w:pPr>
          </w:p>
        </w:tc>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auto"/>
                <w:sz w:val="22"/>
                <w:szCs w:val="22"/>
                <w:u w:val="none"/>
              </w:rPr>
            </w:pPr>
          </w:p>
        </w:tc>
        <w:tc>
          <w:tcPr>
            <w:tcW w:w="14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auto"/>
                <w:sz w:val="22"/>
                <w:szCs w:val="22"/>
                <w:u w:val="none"/>
              </w:rPr>
            </w:pPr>
          </w:p>
        </w:tc>
      </w:tr>
      <w:tr>
        <w:tblPrEx>
          <w:tblLayout w:type="fixed"/>
          <w:tblCellMar>
            <w:top w:w="0" w:type="dxa"/>
            <w:left w:w="0" w:type="dxa"/>
            <w:bottom w:w="0" w:type="dxa"/>
            <w:right w:w="0" w:type="dxa"/>
          </w:tblCellMar>
        </w:tblPrEx>
        <w:trPr>
          <w:trHeight w:val="270" w:hRule="atLeast"/>
        </w:trPr>
        <w:tc>
          <w:tcPr>
            <w:tcW w:w="18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3.年末实有人数</w:t>
            </w:r>
          </w:p>
        </w:tc>
        <w:tc>
          <w:tcPr>
            <w:tcW w:w="6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30</w:t>
            </w:r>
          </w:p>
        </w:tc>
        <w:tc>
          <w:tcPr>
            <w:tcW w:w="15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53</w:t>
            </w:r>
          </w:p>
        </w:tc>
        <w:tc>
          <w:tcPr>
            <w:tcW w:w="15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47</w:t>
            </w:r>
          </w:p>
        </w:tc>
        <w:tc>
          <w:tcPr>
            <w:tcW w:w="16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6</w:t>
            </w:r>
          </w:p>
        </w:tc>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12.77</w:t>
            </w:r>
          </w:p>
        </w:tc>
        <w:tc>
          <w:tcPr>
            <w:tcW w:w="14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人员调入</w:t>
            </w:r>
          </w:p>
        </w:tc>
      </w:tr>
      <w:tr>
        <w:tblPrEx>
          <w:tblLayout w:type="fixed"/>
          <w:tblCellMar>
            <w:top w:w="0" w:type="dxa"/>
            <w:left w:w="0" w:type="dxa"/>
            <w:bottom w:w="0" w:type="dxa"/>
            <w:right w:w="0" w:type="dxa"/>
          </w:tblCellMar>
        </w:tblPrEx>
        <w:trPr>
          <w:trHeight w:val="270" w:hRule="atLeast"/>
        </w:trPr>
        <w:tc>
          <w:tcPr>
            <w:tcW w:w="18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   在职人员</w:t>
            </w:r>
          </w:p>
        </w:tc>
        <w:tc>
          <w:tcPr>
            <w:tcW w:w="6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31</w:t>
            </w:r>
          </w:p>
        </w:tc>
        <w:tc>
          <w:tcPr>
            <w:tcW w:w="15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53</w:t>
            </w:r>
          </w:p>
        </w:tc>
        <w:tc>
          <w:tcPr>
            <w:tcW w:w="15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47</w:t>
            </w:r>
          </w:p>
        </w:tc>
        <w:tc>
          <w:tcPr>
            <w:tcW w:w="16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6</w:t>
            </w:r>
          </w:p>
        </w:tc>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12.77</w:t>
            </w:r>
          </w:p>
        </w:tc>
        <w:tc>
          <w:tcPr>
            <w:tcW w:w="14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人员调入</w:t>
            </w:r>
          </w:p>
        </w:tc>
      </w:tr>
      <w:tr>
        <w:tblPrEx>
          <w:tblLayout w:type="fixed"/>
          <w:tblCellMar>
            <w:top w:w="0" w:type="dxa"/>
            <w:left w:w="0" w:type="dxa"/>
            <w:bottom w:w="0" w:type="dxa"/>
            <w:right w:w="0" w:type="dxa"/>
          </w:tblCellMar>
        </w:tblPrEx>
        <w:trPr>
          <w:trHeight w:val="270" w:hRule="atLeast"/>
        </w:trPr>
        <w:tc>
          <w:tcPr>
            <w:tcW w:w="18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   其中：行政人员</w:t>
            </w:r>
          </w:p>
        </w:tc>
        <w:tc>
          <w:tcPr>
            <w:tcW w:w="6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32</w:t>
            </w:r>
          </w:p>
        </w:tc>
        <w:tc>
          <w:tcPr>
            <w:tcW w:w="15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24</w:t>
            </w:r>
          </w:p>
        </w:tc>
        <w:tc>
          <w:tcPr>
            <w:tcW w:w="15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25</w:t>
            </w:r>
          </w:p>
        </w:tc>
        <w:tc>
          <w:tcPr>
            <w:tcW w:w="16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w:t>
            </w:r>
          </w:p>
        </w:tc>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-4</w:t>
            </w:r>
          </w:p>
        </w:tc>
        <w:tc>
          <w:tcPr>
            <w:tcW w:w="14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人员调出</w:t>
            </w:r>
          </w:p>
        </w:tc>
      </w:tr>
      <w:tr>
        <w:tblPrEx>
          <w:tblLayout w:type="fixed"/>
          <w:tblCellMar>
            <w:top w:w="0" w:type="dxa"/>
            <w:left w:w="0" w:type="dxa"/>
            <w:bottom w:w="0" w:type="dxa"/>
            <w:right w:w="0" w:type="dxa"/>
          </w:tblCellMar>
        </w:tblPrEx>
        <w:trPr>
          <w:trHeight w:val="270" w:hRule="atLeast"/>
        </w:trPr>
        <w:tc>
          <w:tcPr>
            <w:tcW w:w="18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   参照公务员法管理事业人员</w:t>
            </w:r>
          </w:p>
        </w:tc>
        <w:tc>
          <w:tcPr>
            <w:tcW w:w="6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33</w:t>
            </w:r>
          </w:p>
        </w:tc>
        <w:tc>
          <w:tcPr>
            <w:tcW w:w="15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auto"/>
                <w:sz w:val="22"/>
                <w:szCs w:val="22"/>
                <w:u w:val="none"/>
              </w:rPr>
            </w:pPr>
          </w:p>
        </w:tc>
        <w:tc>
          <w:tcPr>
            <w:tcW w:w="15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auto"/>
                <w:sz w:val="22"/>
                <w:szCs w:val="22"/>
                <w:u w:val="none"/>
              </w:rPr>
            </w:pPr>
          </w:p>
        </w:tc>
        <w:tc>
          <w:tcPr>
            <w:tcW w:w="16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auto"/>
                <w:sz w:val="22"/>
                <w:szCs w:val="22"/>
                <w:u w:val="none"/>
              </w:rPr>
            </w:pPr>
          </w:p>
        </w:tc>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auto"/>
                <w:sz w:val="22"/>
                <w:szCs w:val="22"/>
                <w:u w:val="none"/>
              </w:rPr>
            </w:pPr>
          </w:p>
        </w:tc>
        <w:tc>
          <w:tcPr>
            <w:tcW w:w="14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auto"/>
                <w:sz w:val="22"/>
                <w:szCs w:val="22"/>
                <w:u w:val="none"/>
              </w:rPr>
            </w:pPr>
          </w:p>
        </w:tc>
      </w:tr>
      <w:tr>
        <w:tblPrEx>
          <w:tblLayout w:type="fixed"/>
          <w:tblCellMar>
            <w:top w:w="0" w:type="dxa"/>
            <w:left w:w="0" w:type="dxa"/>
            <w:bottom w:w="0" w:type="dxa"/>
            <w:right w:w="0" w:type="dxa"/>
          </w:tblCellMar>
        </w:tblPrEx>
        <w:trPr>
          <w:trHeight w:val="270" w:hRule="atLeast"/>
        </w:trPr>
        <w:tc>
          <w:tcPr>
            <w:tcW w:w="18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   非参公事业人员</w:t>
            </w:r>
          </w:p>
        </w:tc>
        <w:tc>
          <w:tcPr>
            <w:tcW w:w="6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34</w:t>
            </w:r>
          </w:p>
        </w:tc>
        <w:tc>
          <w:tcPr>
            <w:tcW w:w="15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29</w:t>
            </w:r>
          </w:p>
        </w:tc>
        <w:tc>
          <w:tcPr>
            <w:tcW w:w="15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22</w:t>
            </w:r>
          </w:p>
        </w:tc>
        <w:tc>
          <w:tcPr>
            <w:tcW w:w="16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7</w:t>
            </w:r>
          </w:p>
        </w:tc>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31.82</w:t>
            </w:r>
          </w:p>
        </w:tc>
        <w:tc>
          <w:tcPr>
            <w:tcW w:w="14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人员调入</w:t>
            </w:r>
          </w:p>
        </w:tc>
      </w:tr>
      <w:tr>
        <w:tblPrEx>
          <w:tblLayout w:type="fixed"/>
          <w:tblCellMar>
            <w:top w:w="0" w:type="dxa"/>
            <w:left w:w="0" w:type="dxa"/>
            <w:bottom w:w="0" w:type="dxa"/>
            <w:right w:w="0" w:type="dxa"/>
          </w:tblCellMar>
        </w:tblPrEx>
        <w:trPr>
          <w:trHeight w:val="270" w:hRule="atLeast"/>
        </w:trPr>
        <w:tc>
          <w:tcPr>
            <w:tcW w:w="18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   离休人员</w:t>
            </w:r>
          </w:p>
        </w:tc>
        <w:tc>
          <w:tcPr>
            <w:tcW w:w="6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35</w:t>
            </w:r>
          </w:p>
        </w:tc>
        <w:tc>
          <w:tcPr>
            <w:tcW w:w="15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auto"/>
                <w:sz w:val="22"/>
                <w:szCs w:val="22"/>
                <w:u w:val="none"/>
              </w:rPr>
            </w:pPr>
          </w:p>
        </w:tc>
        <w:tc>
          <w:tcPr>
            <w:tcW w:w="15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auto"/>
                <w:sz w:val="22"/>
                <w:szCs w:val="22"/>
                <w:u w:val="none"/>
              </w:rPr>
            </w:pPr>
          </w:p>
        </w:tc>
        <w:tc>
          <w:tcPr>
            <w:tcW w:w="16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auto"/>
                <w:sz w:val="22"/>
                <w:szCs w:val="22"/>
                <w:u w:val="none"/>
              </w:rPr>
            </w:pPr>
          </w:p>
        </w:tc>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auto"/>
                <w:sz w:val="22"/>
                <w:szCs w:val="22"/>
                <w:u w:val="none"/>
              </w:rPr>
            </w:pPr>
          </w:p>
        </w:tc>
        <w:tc>
          <w:tcPr>
            <w:tcW w:w="14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auto"/>
                <w:sz w:val="22"/>
                <w:szCs w:val="22"/>
                <w:u w:val="none"/>
              </w:rPr>
            </w:pPr>
          </w:p>
        </w:tc>
      </w:tr>
      <w:tr>
        <w:tblPrEx>
          <w:tblLayout w:type="fixed"/>
          <w:tblCellMar>
            <w:top w:w="0" w:type="dxa"/>
            <w:left w:w="0" w:type="dxa"/>
            <w:bottom w:w="0" w:type="dxa"/>
            <w:right w:w="0" w:type="dxa"/>
          </w:tblCellMar>
        </w:tblPrEx>
        <w:trPr>
          <w:trHeight w:val="270" w:hRule="atLeast"/>
        </w:trPr>
        <w:tc>
          <w:tcPr>
            <w:tcW w:w="18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   退休人员</w:t>
            </w:r>
          </w:p>
        </w:tc>
        <w:tc>
          <w:tcPr>
            <w:tcW w:w="6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36</w:t>
            </w:r>
          </w:p>
        </w:tc>
        <w:tc>
          <w:tcPr>
            <w:tcW w:w="15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auto"/>
                <w:sz w:val="22"/>
                <w:szCs w:val="22"/>
                <w:u w:val="none"/>
              </w:rPr>
            </w:pPr>
          </w:p>
        </w:tc>
        <w:tc>
          <w:tcPr>
            <w:tcW w:w="15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auto"/>
                <w:sz w:val="22"/>
                <w:szCs w:val="22"/>
                <w:u w:val="none"/>
              </w:rPr>
            </w:pPr>
          </w:p>
        </w:tc>
        <w:tc>
          <w:tcPr>
            <w:tcW w:w="16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auto"/>
                <w:sz w:val="22"/>
                <w:szCs w:val="22"/>
                <w:u w:val="none"/>
              </w:rPr>
            </w:pPr>
          </w:p>
        </w:tc>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auto"/>
                <w:sz w:val="22"/>
                <w:szCs w:val="22"/>
                <w:u w:val="none"/>
              </w:rPr>
            </w:pPr>
          </w:p>
        </w:tc>
        <w:tc>
          <w:tcPr>
            <w:tcW w:w="14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auto"/>
                <w:sz w:val="22"/>
                <w:szCs w:val="22"/>
                <w:u w:val="none"/>
              </w:rPr>
            </w:pPr>
          </w:p>
        </w:tc>
      </w:tr>
      <w:tr>
        <w:tblPrEx>
          <w:tblLayout w:type="fixed"/>
          <w:tblCellMar>
            <w:top w:w="0" w:type="dxa"/>
            <w:left w:w="0" w:type="dxa"/>
            <w:bottom w:w="0" w:type="dxa"/>
            <w:right w:w="0" w:type="dxa"/>
          </w:tblCellMar>
        </w:tblPrEx>
        <w:trPr>
          <w:trHeight w:val="270" w:hRule="atLeast"/>
        </w:trPr>
        <w:tc>
          <w:tcPr>
            <w:tcW w:w="18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4.年末其他人员数</w:t>
            </w:r>
          </w:p>
        </w:tc>
        <w:tc>
          <w:tcPr>
            <w:tcW w:w="6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37</w:t>
            </w:r>
          </w:p>
        </w:tc>
        <w:tc>
          <w:tcPr>
            <w:tcW w:w="15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17</w:t>
            </w:r>
          </w:p>
        </w:tc>
        <w:tc>
          <w:tcPr>
            <w:tcW w:w="15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13</w:t>
            </w:r>
          </w:p>
        </w:tc>
        <w:tc>
          <w:tcPr>
            <w:tcW w:w="16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4</w:t>
            </w:r>
          </w:p>
        </w:tc>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30.77</w:t>
            </w:r>
          </w:p>
        </w:tc>
        <w:tc>
          <w:tcPr>
            <w:tcW w:w="14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人员调入</w:t>
            </w:r>
          </w:p>
        </w:tc>
      </w:tr>
      <w:tr>
        <w:tblPrEx>
          <w:tblLayout w:type="fixed"/>
          <w:tblCellMar>
            <w:top w:w="0" w:type="dxa"/>
            <w:left w:w="0" w:type="dxa"/>
            <w:bottom w:w="0" w:type="dxa"/>
            <w:right w:w="0" w:type="dxa"/>
          </w:tblCellMar>
        </w:tblPrEx>
        <w:trPr>
          <w:trHeight w:val="270" w:hRule="atLeast"/>
        </w:trPr>
        <w:tc>
          <w:tcPr>
            <w:tcW w:w="18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5.年末学生人数</w:t>
            </w:r>
          </w:p>
        </w:tc>
        <w:tc>
          <w:tcPr>
            <w:tcW w:w="6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38</w:t>
            </w:r>
          </w:p>
        </w:tc>
        <w:tc>
          <w:tcPr>
            <w:tcW w:w="15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auto"/>
                <w:sz w:val="22"/>
                <w:szCs w:val="22"/>
                <w:u w:val="none"/>
              </w:rPr>
            </w:pPr>
          </w:p>
        </w:tc>
        <w:tc>
          <w:tcPr>
            <w:tcW w:w="15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auto"/>
                <w:sz w:val="22"/>
                <w:szCs w:val="22"/>
                <w:u w:val="none"/>
              </w:rPr>
            </w:pPr>
          </w:p>
        </w:tc>
        <w:tc>
          <w:tcPr>
            <w:tcW w:w="16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auto"/>
                <w:sz w:val="22"/>
                <w:szCs w:val="22"/>
                <w:u w:val="none"/>
              </w:rPr>
            </w:pPr>
          </w:p>
        </w:tc>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auto"/>
                <w:sz w:val="22"/>
                <w:szCs w:val="22"/>
                <w:u w:val="none"/>
              </w:rPr>
            </w:pPr>
          </w:p>
        </w:tc>
        <w:tc>
          <w:tcPr>
            <w:tcW w:w="14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auto"/>
                <w:sz w:val="22"/>
                <w:szCs w:val="22"/>
                <w:u w:val="none"/>
              </w:rPr>
            </w:pPr>
          </w:p>
        </w:tc>
      </w:tr>
      <w:tr>
        <w:tblPrEx>
          <w:tblLayout w:type="fixed"/>
          <w:tblCellMar>
            <w:top w:w="0" w:type="dxa"/>
            <w:left w:w="0" w:type="dxa"/>
            <w:bottom w:w="0" w:type="dxa"/>
            <w:right w:w="0" w:type="dxa"/>
          </w:tblCellMar>
        </w:tblPrEx>
        <w:trPr>
          <w:trHeight w:val="270" w:hRule="atLeast"/>
        </w:trPr>
        <w:tc>
          <w:tcPr>
            <w:tcW w:w="18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四、补充资料（单位：元）</w:t>
            </w:r>
          </w:p>
        </w:tc>
        <w:tc>
          <w:tcPr>
            <w:tcW w:w="6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39</w:t>
            </w:r>
          </w:p>
        </w:tc>
        <w:tc>
          <w:tcPr>
            <w:tcW w:w="15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w:t>
            </w:r>
          </w:p>
        </w:tc>
        <w:tc>
          <w:tcPr>
            <w:tcW w:w="15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w:t>
            </w:r>
          </w:p>
        </w:tc>
        <w:tc>
          <w:tcPr>
            <w:tcW w:w="16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w:t>
            </w:r>
          </w:p>
        </w:tc>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w:t>
            </w:r>
          </w:p>
        </w:tc>
        <w:tc>
          <w:tcPr>
            <w:tcW w:w="14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w:t>
            </w:r>
          </w:p>
        </w:tc>
      </w:tr>
      <w:tr>
        <w:tblPrEx>
          <w:tblLayout w:type="fixed"/>
          <w:tblCellMar>
            <w:top w:w="0" w:type="dxa"/>
            <w:left w:w="0" w:type="dxa"/>
            <w:bottom w:w="0" w:type="dxa"/>
            <w:right w:w="0" w:type="dxa"/>
          </w:tblCellMar>
        </w:tblPrEx>
        <w:trPr>
          <w:trHeight w:val="270" w:hRule="atLeast"/>
        </w:trPr>
        <w:tc>
          <w:tcPr>
            <w:tcW w:w="18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 1.固定资产情况</w:t>
            </w:r>
          </w:p>
        </w:tc>
        <w:tc>
          <w:tcPr>
            <w:tcW w:w="6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40</w:t>
            </w:r>
          </w:p>
        </w:tc>
        <w:tc>
          <w:tcPr>
            <w:tcW w:w="15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w:t>
            </w:r>
          </w:p>
        </w:tc>
        <w:tc>
          <w:tcPr>
            <w:tcW w:w="15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w:t>
            </w:r>
          </w:p>
        </w:tc>
        <w:tc>
          <w:tcPr>
            <w:tcW w:w="16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w:t>
            </w:r>
          </w:p>
        </w:tc>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w:t>
            </w:r>
          </w:p>
        </w:tc>
        <w:tc>
          <w:tcPr>
            <w:tcW w:w="14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w:t>
            </w:r>
          </w:p>
        </w:tc>
      </w:tr>
      <w:tr>
        <w:tblPrEx>
          <w:tblLayout w:type="fixed"/>
        </w:tblPrEx>
        <w:trPr>
          <w:trHeight w:val="270" w:hRule="atLeast"/>
        </w:trPr>
        <w:tc>
          <w:tcPr>
            <w:tcW w:w="18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  房屋面积（平方米）</w:t>
            </w:r>
          </w:p>
        </w:tc>
        <w:tc>
          <w:tcPr>
            <w:tcW w:w="6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41</w:t>
            </w:r>
          </w:p>
        </w:tc>
        <w:tc>
          <w:tcPr>
            <w:tcW w:w="15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2,490.00</w:t>
            </w:r>
          </w:p>
        </w:tc>
        <w:tc>
          <w:tcPr>
            <w:tcW w:w="15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2,490.00</w:t>
            </w:r>
          </w:p>
        </w:tc>
        <w:tc>
          <w:tcPr>
            <w:tcW w:w="16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auto"/>
                <w:sz w:val="22"/>
                <w:szCs w:val="22"/>
                <w:u w:val="none"/>
              </w:rPr>
            </w:pPr>
          </w:p>
        </w:tc>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auto"/>
                <w:sz w:val="22"/>
                <w:szCs w:val="22"/>
                <w:u w:val="none"/>
              </w:rPr>
            </w:pPr>
          </w:p>
        </w:tc>
        <w:tc>
          <w:tcPr>
            <w:tcW w:w="14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auto"/>
                <w:sz w:val="22"/>
                <w:szCs w:val="22"/>
                <w:u w:val="none"/>
              </w:rPr>
            </w:pPr>
          </w:p>
        </w:tc>
      </w:tr>
      <w:tr>
        <w:tblPrEx>
          <w:tblLayout w:type="fixed"/>
        </w:tblPrEx>
        <w:trPr>
          <w:trHeight w:val="270" w:hRule="atLeast"/>
        </w:trPr>
        <w:tc>
          <w:tcPr>
            <w:tcW w:w="18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  车辆数量（辆）</w:t>
            </w:r>
          </w:p>
        </w:tc>
        <w:tc>
          <w:tcPr>
            <w:tcW w:w="6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42</w:t>
            </w:r>
          </w:p>
        </w:tc>
        <w:tc>
          <w:tcPr>
            <w:tcW w:w="15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5</w:t>
            </w:r>
          </w:p>
        </w:tc>
        <w:tc>
          <w:tcPr>
            <w:tcW w:w="15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5</w:t>
            </w:r>
          </w:p>
        </w:tc>
        <w:tc>
          <w:tcPr>
            <w:tcW w:w="16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auto"/>
                <w:sz w:val="22"/>
                <w:szCs w:val="22"/>
                <w:u w:val="none"/>
              </w:rPr>
            </w:pPr>
          </w:p>
        </w:tc>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auto"/>
                <w:sz w:val="22"/>
                <w:szCs w:val="22"/>
                <w:u w:val="none"/>
              </w:rPr>
            </w:pPr>
          </w:p>
        </w:tc>
        <w:tc>
          <w:tcPr>
            <w:tcW w:w="14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auto"/>
                <w:sz w:val="22"/>
                <w:szCs w:val="22"/>
                <w:u w:val="none"/>
              </w:rPr>
            </w:pPr>
          </w:p>
        </w:tc>
      </w:tr>
      <w:tr>
        <w:tblPrEx>
          <w:tblLayout w:type="fixed"/>
          <w:tblCellMar>
            <w:top w:w="0" w:type="dxa"/>
            <w:left w:w="0" w:type="dxa"/>
            <w:bottom w:w="0" w:type="dxa"/>
            <w:right w:w="0" w:type="dxa"/>
          </w:tblCellMar>
        </w:tblPrEx>
        <w:trPr>
          <w:trHeight w:val="540" w:hRule="atLeast"/>
        </w:trPr>
        <w:tc>
          <w:tcPr>
            <w:tcW w:w="18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 2.“三公”经费支出</w:t>
            </w:r>
          </w:p>
        </w:tc>
        <w:tc>
          <w:tcPr>
            <w:tcW w:w="6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43</w:t>
            </w:r>
          </w:p>
        </w:tc>
        <w:tc>
          <w:tcPr>
            <w:tcW w:w="15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445,308.92</w:t>
            </w:r>
          </w:p>
        </w:tc>
        <w:tc>
          <w:tcPr>
            <w:tcW w:w="15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430,900.00</w:t>
            </w:r>
          </w:p>
        </w:tc>
        <w:tc>
          <w:tcPr>
            <w:tcW w:w="16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14,408.92</w:t>
            </w:r>
          </w:p>
        </w:tc>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3.34</w:t>
            </w:r>
          </w:p>
        </w:tc>
        <w:tc>
          <w:tcPr>
            <w:tcW w:w="14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机改单位合并人数开支增多</w:t>
            </w:r>
          </w:p>
        </w:tc>
      </w:tr>
      <w:tr>
        <w:tblPrEx>
          <w:tblLayout w:type="fixed"/>
          <w:tblCellMar>
            <w:top w:w="0" w:type="dxa"/>
            <w:left w:w="0" w:type="dxa"/>
            <w:bottom w:w="0" w:type="dxa"/>
            <w:right w:w="0" w:type="dxa"/>
          </w:tblCellMar>
        </w:tblPrEx>
        <w:trPr>
          <w:trHeight w:val="270" w:hRule="atLeast"/>
        </w:trPr>
        <w:tc>
          <w:tcPr>
            <w:tcW w:w="18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  其中：因公出国（境）费</w:t>
            </w:r>
          </w:p>
        </w:tc>
        <w:tc>
          <w:tcPr>
            <w:tcW w:w="6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44</w:t>
            </w:r>
          </w:p>
        </w:tc>
        <w:tc>
          <w:tcPr>
            <w:tcW w:w="15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auto"/>
                <w:sz w:val="22"/>
                <w:szCs w:val="22"/>
                <w:u w:val="none"/>
              </w:rPr>
            </w:pPr>
          </w:p>
        </w:tc>
        <w:tc>
          <w:tcPr>
            <w:tcW w:w="15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auto"/>
                <w:sz w:val="22"/>
                <w:szCs w:val="22"/>
                <w:u w:val="none"/>
              </w:rPr>
            </w:pPr>
          </w:p>
        </w:tc>
        <w:tc>
          <w:tcPr>
            <w:tcW w:w="16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auto"/>
                <w:sz w:val="22"/>
                <w:szCs w:val="22"/>
                <w:u w:val="none"/>
              </w:rPr>
            </w:pPr>
          </w:p>
        </w:tc>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auto"/>
                <w:sz w:val="22"/>
                <w:szCs w:val="22"/>
                <w:u w:val="none"/>
              </w:rPr>
            </w:pPr>
          </w:p>
        </w:tc>
        <w:tc>
          <w:tcPr>
            <w:tcW w:w="14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auto"/>
                <w:sz w:val="22"/>
                <w:szCs w:val="22"/>
                <w:u w:val="none"/>
              </w:rPr>
            </w:pPr>
          </w:p>
        </w:tc>
      </w:tr>
      <w:tr>
        <w:tblPrEx>
          <w:tblLayout w:type="fixed"/>
          <w:tblCellMar>
            <w:top w:w="0" w:type="dxa"/>
            <w:left w:w="0" w:type="dxa"/>
            <w:bottom w:w="0" w:type="dxa"/>
            <w:right w:w="0" w:type="dxa"/>
          </w:tblCellMar>
        </w:tblPrEx>
        <w:trPr>
          <w:trHeight w:val="540" w:hRule="atLeast"/>
        </w:trPr>
        <w:tc>
          <w:tcPr>
            <w:tcW w:w="18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  公务用车购置及运行维护费</w:t>
            </w:r>
          </w:p>
        </w:tc>
        <w:tc>
          <w:tcPr>
            <w:tcW w:w="6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45</w:t>
            </w:r>
          </w:p>
        </w:tc>
        <w:tc>
          <w:tcPr>
            <w:tcW w:w="15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186,000.92</w:t>
            </w:r>
          </w:p>
        </w:tc>
        <w:tc>
          <w:tcPr>
            <w:tcW w:w="15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168,600.00</w:t>
            </w:r>
          </w:p>
        </w:tc>
        <w:tc>
          <w:tcPr>
            <w:tcW w:w="16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17,400.92</w:t>
            </w:r>
          </w:p>
        </w:tc>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10.32</w:t>
            </w:r>
          </w:p>
        </w:tc>
        <w:tc>
          <w:tcPr>
            <w:tcW w:w="14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新增一台洒水车及垃圾清运车</w:t>
            </w:r>
          </w:p>
        </w:tc>
      </w:tr>
      <w:tr>
        <w:tblPrEx>
          <w:tblLayout w:type="fixed"/>
        </w:tblPrEx>
        <w:trPr>
          <w:trHeight w:val="270" w:hRule="atLeast"/>
        </w:trPr>
        <w:tc>
          <w:tcPr>
            <w:tcW w:w="18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  其中：公务用车购置费</w:t>
            </w:r>
          </w:p>
        </w:tc>
        <w:tc>
          <w:tcPr>
            <w:tcW w:w="6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46</w:t>
            </w:r>
          </w:p>
        </w:tc>
        <w:tc>
          <w:tcPr>
            <w:tcW w:w="15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auto"/>
                <w:sz w:val="22"/>
                <w:szCs w:val="22"/>
                <w:u w:val="none"/>
              </w:rPr>
            </w:pPr>
          </w:p>
        </w:tc>
        <w:tc>
          <w:tcPr>
            <w:tcW w:w="15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auto"/>
                <w:sz w:val="22"/>
                <w:szCs w:val="22"/>
                <w:u w:val="none"/>
              </w:rPr>
            </w:pPr>
          </w:p>
        </w:tc>
        <w:tc>
          <w:tcPr>
            <w:tcW w:w="16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auto"/>
                <w:sz w:val="22"/>
                <w:szCs w:val="22"/>
                <w:u w:val="none"/>
              </w:rPr>
            </w:pPr>
          </w:p>
        </w:tc>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auto"/>
                <w:sz w:val="22"/>
                <w:szCs w:val="22"/>
                <w:u w:val="none"/>
              </w:rPr>
            </w:pPr>
          </w:p>
        </w:tc>
        <w:tc>
          <w:tcPr>
            <w:tcW w:w="14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auto"/>
                <w:sz w:val="22"/>
                <w:szCs w:val="22"/>
                <w:u w:val="none"/>
              </w:rPr>
            </w:pPr>
          </w:p>
        </w:tc>
      </w:tr>
      <w:tr>
        <w:tblPrEx>
          <w:tblLayout w:type="fixed"/>
          <w:tblCellMar>
            <w:top w:w="0" w:type="dxa"/>
            <w:left w:w="0" w:type="dxa"/>
            <w:bottom w:w="0" w:type="dxa"/>
            <w:right w:w="0" w:type="dxa"/>
          </w:tblCellMar>
        </w:tblPrEx>
        <w:trPr>
          <w:trHeight w:val="540" w:hRule="atLeast"/>
        </w:trPr>
        <w:tc>
          <w:tcPr>
            <w:tcW w:w="18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                  公务用车运行维护费</w:t>
            </w:r>
          </w:p>
        </w:tc>
        <w:tc>
          <w:tcPr>
            <w:tcW w:w="6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47</w:t>
            </w:r>
          </w:p>
        </w:tc>
        <w:tc>
          <w:tcPr>
            <w:tcW w:w="15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186,000.92</w:t>
            </w:r>
          </w:p>
        </w:tc>
        <w:tc>
          <w:tcPr>
            <w:tcW w:w="15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168,600.00</w:t>
            </w:r>
          </w:p>
        </w:tc>
        <w:tc>
          <w:tcPr>
            <w:tcW w:w="16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17,400.92</w:t>
            </w:r>
          </w:p>
        </w:tc>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10.32</w:t>
            </w:r>
          </w:p>
        </w:tc>
        <w:tc>
          <w:tcPr>
            <w:tcW w:w="14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新增一台洒水车及垃圾清运车</w:t>
            </w:r>
          </w:p>
        </w:tc>
      </w:tr>
      <w:tr>
        <w:tblPrEx>
          <w:tblLayout w:type="fixed"/>
          <w:tblCellMar>
            <w:top w:w="0" w:type="dxa"/>
            <w:left w:w="0" w:type="dxa"/>
            <w:bottom w:w="0" w:type="dxa"/>
            <w:right w:w="0" w:type="dxa"/>
          </w:tblCellMar>
        </w:tblPrEx>
        <w:trPr>
          <w:trHeight w:val="270" w:hRule="atLeast"/>
        </w:trPr>
        <w:tc>
          <w:tcPr>
            <w:tcW w:w="18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  公务接待费</w:t>
            </w:r>
          </w:p>
        </w:tc>
        <w:tc>
          <w:tcPr>
            <w:tcW w:w="6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48</w:t>
            </w:r>
          </w:p>
        </w:tc>
        <w:tc>
          <w:tcPr>
            <w:tcW w:w="15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259,308.00</w:t>
            </w:r>
          </w:p>
        </w:tc>
        <w:tc>
          <w:tcPr>
            <w:tcW w:w="15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262,300.00</w:t>
            </w:r>
          </w:p>
        </w:tc>
        <w:tc>
          <w:tcPr>
            <w:tcW w:w="16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-2,992.00</w:t>
            </w:r>
          </w:p>
        </w:tc>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-1.14</w:t>
            </w:r>
          </w:p>
        </w:tc>
        <w:tc>
          <w:tcPr>
            <w:tcW w:w="14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公务接待费减少</w:t>
            </w:r>
          </w:p>
        </w:tc>
      </w:tr>
      <w:tr>
        <w:tblPrEx>
          <w:tblLayout w:type="fixed"/>
          <w:tblCellMar>
            <w:top w:w="0" w:type="dxa"/>
            <w:left w:w="0" w:type="dxa"/>
            <w:bottom w:w="0" w:type="dxa"/>
            <w:right w:w="0" w:type="dxa"/>
          </w:tblCellMar>
        </w:tblPrEx>
        <w:trPr>
          <w:trHeight w:val="270" w:hRule="atLeast"/>
        </w:trPr>
        <w:tc>
          <w:tcPr>
            <w:tcW w:w="18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firstLine="220" w:firstLineChars="10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3.培训费</w:t>
            </w:r>
          </w:p>
        </w:tc>
        <w:tc>
          <w:tcPr>
            <w:tcW w:w="6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49</w:t>
            </w:r>
          </w:p>
        </w:tc>
        <w:tc>
          <w:tcPr>
            <w:tcW w:w="15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63,803.00</w:t>
            </w:r>
          </w:p>
        </w:tc>
        <w:tc>
          <w:tcPr>
            <w:tcW w:w="15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70,492.00</w:t>
            </w:r>
          </w:p>
        </w:tc>
        <w:tc>
          <w:tcPr>
            <w:tcW w:w="16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-6,689.00</w:t>
            </w:r>
          </w:p>
        </w:tc>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-9.49</w:t>
            </w:r>
          </w:p>
        </w:tc>
        <w:tc>
          <w:tcPr>
            <w:tcW w:w="14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培训费减少</w:t>
            </w:r>
          </w:p>
        </w:tc>
      </w:tr>
      <w:tr>
        <w:tblPrEx>
          <w:tblLayout w:type="fixed"/>
          <w:tblCellMar>
            <w:top w:w="0" w:type="dxa"/>
            <w:left w:w="0" w:type="dxa"/>
            <w:bottom w:w="0" w:type="dxa"/>
            <w:right w:w="0" w:type="dxa"/>
          </w:tblCellMar>
        </w:tblPrEx>
        <w:trPr>
          <w:trHeight w:val="270" w:hRule="atLeast"/>
        </w:trPr>
        <w:tc>
          <w:tcPr>
            <w:tcW w:w="18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firstLine="220" w:firstLineChars="10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4.会议费</w:t>
            </w:r>
          </w:p>
        </w:tc>
        <w:tc>
          <w:tcPr>
            <w:tcW w:w="6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50</w:t>
            </w:r>
          </w:p>
        </w:tc>
        <w:tc>
          <w:tcPr>
            <w:tcW w:w="15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1,850.00</w:t>
            </w:r>
          </w:p>
        </w:tc>
        <w:tc>
          <w:tcPr>
            <w:tcW w:w="15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1,100.00</w:t>
            </w:r>
          </w:p>
        </w:tc>
        <w:tc>
          <w:tcPr>
            <w:tcW w:w="16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750</w:t>
            </w:r>
          </w:p>
        </w:tc>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68.18</w:t>
            </w:r>
          </w:p>
        </w:tc>
        <w:tc>
          <w:tcPr>
            <w:tcW w:w="14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会议费增加</w:t>
            </w:r>
          </w:p>
        </w:tc>
      </w:tr>
      <w:tr>
        <w:tblPrEx>
          <w:tblLayout w:type="fixed"/>
          <w:tblCellMar>
            <w:top w:w="0" w:type="dxa"/>
            <w:left w:w="0" w:type="dxa"/>
            <w:bottom w:w="0" w:type="dxa"/>
            <w:right w:w="0" w:type="dxa"/>
          </w:tblCellMar>
        </w:tblPrEx>
        <w:trPr>
          <w:trHeight w:val="270" w:hRule="atLeast"/>
        </w:trPr>
        <w:tc>
          <w:tcPr>
            <w:tcW w:w="18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  5.机关运行经费</w:t>
            </w:r>
          </w:p>
        </w:tc>
        <w:tc>
          <w:tcPr>
            <w:tcW w:w="6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51</w:t>
            </w:r>
          </w:p>
        </w:tc>
        <w:tc>
          <w:tcPr>
            <w:tcW w:w="15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1,257,430.00</w:t>
            </w:r>
          </w:p>
        </w:tc>
        <w:tc>
          <w:tcPr>
            <w:tcW w:w="15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2,530,413.30</w:t>
            </w:r>
          </w:p>
        </w:tc>
        <w:tc>
          <w:tcPr>
            <w:tcW w:w="16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-1,272,983.30</w:t>
            </w:r>
          </w:p>
        </w:tc>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-50.31</w:t>
            </w:r>
          </w:p>
        </w:tc>
        <w:tc>
          <w:tcPr>
            <w:tcW w:w="14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机关运行经费减少</w:t>
            </w:r>
          </w:p>
        </w:tc>
      </w:tr>
      <w:tr>
        <w:tblPrEx>
          <w:tblLayout w:type="fixed"/>
          <w:tblCellMar>
            <w:top w:w="0" w:type="dxa"/>
            <w:left w:w="0" w:type="dxa"/>
            <w:bottom w:w="0" w:type="dxa"/>
            <w:right w:w="0" w:type="dxa"/>
          </w:tblCellMar>
        </w:tblPrEx>
        <w:trPr>
          <w:trHeight w:val="270" w:hRule="atLeast"/>
        </w:trPr>
        <w:tc>
          <w:tcPr>
            <w:tcW w:w="18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  6.年初预算数</w:t>
            </w:r>
          </w:p>
        </w:tc>
        <w:tc>
          <w:tcPr>
            <w:tcW w:w="6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52</w:t>
            </w:r>
          </w:p>
        </w:tc>
        <w:tc>
          <w:tcPr>
            <w:tcW w:w="15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w:t>
            </w:r>
          </w:p>
        </w:tc>
        <w:tc>
          <w:tcPr>
            <w:tcW w:w="15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w:t>
            </w:r>
          </w:p>
        </w:tc>
        <w:tc>
          <w:tcPr>
            <w:tcW w:w="16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w:t>
            </w:r>
          </w:p>
        </w:tc>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w:t>
            </w:r>
          </w:p>
        </w:tc>
        <w:tc>
          <w:tcPr>
            <w:tcW w:w="14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w:t>
            </w:r>
          </w:p>
        </w:tc>
      </w:tr>
      <w:tr>
        <w:tblPrEx>
          <w:tblLayout w:type="fixed"/>
          <w:tblCellMar>
            <w:top w:w="0" w:type="dxa"/>
            <w:left w:w="0" w:type="dxa"/>
            <w:bottom w:w="0" w:type="dxa"/>
            <w:right w:w="0" w:type="dxa"/>
          </w:tblCellMar>
        </w:tblPrEx>
        <w:trPr>
          <w:trHeight w:val="270" w:hRule="atLeast"/>
        </w:trPr>
        <w:tc>
          <w:tcPr>
            <w:tcW w:w="18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firstLine="440" w:firstLineChars="20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本年收入合计</w:t>
            </w:r>
          </w:p>
        </w:tc>
        <w:tc>
          <w:tcPr>
            <w:tcW w:w="6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53</w:t>
            </w:r>
          </w:p>
        </w:tc>
        <w:tc>
          <w:tcPr>
            <w:tcW w:w="15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14,785,300.00</w:t>
            </w:r>
          </w:p>
        </w:tc>
        <w:tc>
          <w:tcPr>
            <w:tcW w:w="15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12,497,336.73</w:t>
            </w:r>
          </w:p>
        </w:tc>
        <w:tc>
          <w:tcPr>
            <w:tcW w:w="16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2,287,963.27</w:t>
            </w:r>
          </w:p>
        </w:tc>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18.31</w:t>
            </w:r>
          </w:p>
        </w:tc>
        <w:tc>
          <w:tcPr>
            <w:tcW w:w="14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机改单位合并人员增多</w:t>
            </w:r>
          </w:p>
        </w:tc>
      </w:tr>
      <w:tr>
        <w:tblPrEx>
          <w:tblLayout w:type="fixed"/>
          <w:tblCellMar>
            <w:top w:w="0" w:type="dxa"/>
            <w:left w:w="0" w:type="dxa"/>
            <w:bottom w:w="0" w:type="dxa"/>
            <w:right w:w="0" w:type="dxa"/>
          </w:tblCellMar>
        </w:tblPrEx>
        <w:trPr>
          <w:trHeight w:val="270" w:hRule="atLeast"/>
        </w:trPr>
        <w:tc>
          <w:tcPr>
            <w:tcW w:w="18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firstLine="440" w:firstLineChars="20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本年支出合计</w:t>
            </w:r>
          </w:p>
        </w:tc>
        <w:tc>
          <w:tcPr>
            <w:tcW w:w="6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54</w:t>
            </w:r>
          </w:p>
        </w:tc>
        <w:tc>
          <w:tcPr>
            <w:tcW w:w="15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14,785,300.00</w:t>
            </w:r>
          </w:p>
        </w:tc>
        <w:tc>
          <w:tcPr>
            <w:tcW w:w="15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12,497,336.73</w:t>
            </w:r>
          </w:p>
        </w:tc>
        <w:tc>
          <w:tcPr>
            <w:tcW w:w="16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2,287,963.27</w:t>
            </w:r>
          </w:p>
        </w:tc>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18.31</w:t>
            </w:r>
          </w:p>
        </w:tc>
        <w:tc>
          <w:tcPr>
            <w:tcW w:w="14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机改单位合并人员增多</w:t>
            </w:r>
          </w:p>
        </w:tc>
      </w:tr>
      <w:tr>
        <w:tblPrEx>
          <w:tblLayout w:type="fixed"/>
          <w:tblCellMar>
            <w:top w:w="0" w:type="dxa"/>
            <w:left w:w="0" w:type="dxa"/>
            <w:bottom w:w="0" w:type="dxa"/>
            <w:right w:w="0" w:type="dxa"/>
          </w:tblCellMar>
        </w:tblPrEx>
        <w:trPr>
          <w:trHeight w:val="270" w:hRule="atLeast"/>
        </w:trPr>
        <w:tc>
          <w:tcPr>
            <w:tcW w:w="18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年末结转和结余</w:t>
            </w:r>
          </w:p>
        </w:tc>
        <w:tc>
          <w:tcPr>
            <w:tcW w:w="6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55</w:t>
            </w:r>
          </w:p>
        </w:tc>
        <w:tc>
          <w:tcPr>
            <w:tcW w:w="15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auto"/>
                <w:sz w:val="22"/>
                <w:szCs w:val="22"/>
                <w:u w:val="none"/>
              </w:rPr>
            </w:pPr>
          </w:p>
        </w:tc>
        <w:tc>
          <w:tcPr>
            <w:tcW w:w="15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auto"/>
                <w:sz w:val="22"/>
                <w:szCs w:val="22"/>
                <w:u w:val="none"/>
              </w:rPr>
            </w:pPr>
          </w:p>
        </w:tc>
        <w:tc>
          <w:tcPr>
            <w:tcW w:w="16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auto"/>
                <w:sz w:val="22"/>
                <w:szCs w:val="22"/>
                <w:u w:val="none"/>
              </w:rPr>
            </w:pPr>
          </w:p>
        </w:tc>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auto"/>
                <w:sz w:val="22"/>
                <w:szCs w:val="22"/>
                <w:u w:val="none"/>
              </w:rPr>
            </w:pPr>
          </w:p>
        </w:tc>
        <w:tc>
          <w:tcPr>
            <w:tcW w:w="14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auto"/>
                <w:sz w:val="22"/>
                <w:szCs w:val="22"/>
                <w:u w:val="none"/>
              </w:rPr>
            </w:pPr>
          </w:p>
        </w:tc>
      </w:tr>
      <w:tr>
        <w:tblPrEx>
          <w:tblLayout w:type="fixed"/>
          <w:tblCellMar>
            <w:top w:w="0" w:type="dxa"/>
            <w:left w:w="0" w:type="dxa"/>
            <w:bottom w:w="0" w:type="dxa"/>
            <w:right w:w="0" w:type="dxa"/>
          </w:tblCellMar>
        </w:tblPrEx>
        <w:trPr>
          <w:trHeight w:val="270" w:hRule="atLeast"/>
        </w:trPr>
        <w:tc>
          <w:tcPr>
            <w:tcW w:w="18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  7.调整预算数</w:t>
            </w:r>
          </w:p>
        </w:tc>
        <w:tc>
          <w:tcPr>
            <w:tcW w:w="6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56</w:t>
            </w:r>
          </w:p>
        </w:tc>
        <w:tc>
          <w:tcPr>
            <w:tcW w:w="15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w:t>
            </w:r>
          </w:p>
        </w:tc>
        <w:tc>
          <w:tcPr>
            <w:tcW w:w="15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w:t>
            </w:r>
          </w:p>
        </w:tc>
        <w:tc>
          <w:tcPr>
            <w:tcW w:w="16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w:t>
            </w:r>
          </w:p>
        </w:tc>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w:t>
            </w:r>
          </w:p>
        </w:tc>
        <w:tc>
          <w:tcPr>
            <w:tcW w:w="14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w:t>
            </w:r>
          </w:p>
        </w:tc>
      </w:tr>
      <w:tr>
        <w:tblPrEx>
          <w:tblLayout w:type="fixed"/>
          <w:tblCellMar>
            <w:top w:w="0" w:type="dxa"/>
            <w:left w:w="0" w:type="dxa"/>
            <w:bottom w:w="0" w:type="dxa"/>
            <w:right w:w="0" w:type="dxa"/>
          </w:tblCellMar>
        </w:tblPrEx>
        <w:trPr>
          <w:trHeight w:val="270" w:hRule="atLeast"/>
        </w:trPr>
        <w:tc>
          <w:tcPr>
            <w:tcW w:w="18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   本年收入合计</w:t>
            </w:r>
          </w:p>
        </w:tc>
        <w:tc>
          <w:tcPr>
            <w:tcW w:w="6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57</w:t>
            </w:r>
          </w:p>
        </w:tc>
        <w:tc>
          <w:tcPr>
            <w:tcW w:w="15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43,138,635.06</w:t>
            </w:r>
          </w:p>
        </w:tc>
        <w:tc>
          <w:tcPr>
            <w:tcW w:w="15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31,511,123.95</w:t>
            </w:r>
          </w:p>
        </w:tc>
        <w:tc>
          <w:tcPr>
            <w:tcW w:w="16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11,627,511.11</w:t>
            </w:r>
          </w:p>
        </w:tc>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36.9</w:t>
            </w:r>
          </w:p>
        </w:tc>
        <w:tc>
          <w:tcPr>
            <w:tcW w:w="14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机改单位合并人员增多</w:t>
            </w:r>
          </w:p>
        </w:tc>
      </w:tr>
      <w:tr>
        <w:tblPrEx>
          <w:tblLayout w:type="fixed"/>
          <w:tblCellMar>
            <w:top w:w="0" w:type="dxa"/>
            <w:left w:w="0" w:type="dxa"/>
            <w:bottom w:w="0" w:type="dxa"/>
            <w:right w:w="0" w:type="dxa"/>
          </w:tblCellMar>
        </w:tblPrEx>
        <w:trPr>
          <w:trHeight w:val="270" w:hRule="atLeast"/>
        </w:trPr>
        <w:tc>
          <w:tcPr>
            <w:tcW w:w="18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   本年支出合计</w:t>
            </w:r>
          </w:p>
        </w:tc>
        <w:tc>
          <w:tcPr>
            <w:tcW w:w="6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58</w:t>
            </w:r>
          </w:p>
        </w:tc>
        <w:tc>
          <w:tcPr>
            <w:tcW w:w="15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43,223,193.06</w:t>
            </w:r>
          </w:p>
        </w:tc>
        <w:tc>
          <w:tcPr>
            <w:tcW w:w="15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31,511,123.95</w:t>
            </w:r>
          </w:p>
        </w:tc>
        <w:tc>
          <w:tcPr>
            <w:tcW w:w="16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11,712,069.11</w:t>
            </w:r>
          </w:p>
        </w:tc>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37.17</w:t>
            </w:r>
          </w:p>
        </w:tc>
        <w:tc>
          <w:tcPr>
            <w:tcW w:w="14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机改单位合并人员增多</w:t>
            </w:r>
          </w:p>
        </w:tc>
      </w:tr>
      <w:tr>
        <w:tblPrEx>
          <w:tblLayout w:type="fixed"/>
          <w:tblCellMar>
            <w:top w:w="0" w:type="dxa"/>
            <w:left w:w="0" w:type="dxa"/>
            <w:bottom w:w="0" w:type="dxa"/>
            <w:right w:w="0" w:type="dxa"/>
          </w:tblCellMar>
        </w:tblPrEx>
        <w:trPr>
          <w:trHeight w:val="270" w:hRule="atLeast"/>
        </w:trPr>
        <w:tc>
          <w:tcPr>
            <w:tcW w:w="18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  年末结转和结余</w:t>
            </w:r>
          </w:p>
        </w:tc>
        <w:tc>
          <w:tcPr>
            <w:tcW w:w="6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59</w:t>
            </w:r>
          </w:p>
        </w:tc>
        <w:tc>
          <w:tcPr>
            <w:tcW w:w="15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auto"/>
                <w:sz w:val="22"/>
                <w:szCs w:val="22"/>
                <w:u w:val="none"/>
              </w:rPr>
            </w:pPr>
          </w:p>
        </w:tc>
        <w:tc>
          <w:tcPr>
            <w:tcW w:w="15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auto"/>
                <w:sz w:val="22"/>
                <w:szCs w:val="22"/>
                <w:u w:val="none"/>
              </w:rPr>
            </w:pPr>
          </w:p>
        </w:tc>
        <w:tc>
          <w:tcPr>
            <w:tcW w:w="16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auto"/>
                <w:sz w:val="22"/>
                <w:szCs w:val="22"/>
                <w:u w:val="none"/>
              </w:rPr>
            </w:pPr>
          </w:p>
        </w:tc>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auto"/>
                <w:sz w:val="22"/>
                <w:szCs w:val="22"/>
                <w:u w:val="none"/>
              </w:rPr>
            </w:pPr>
          </w:p>
        </w:tc>
        <w:tc>
          <w:tcPr>
            <w:tcW w:w="14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auto"/>
                <w:sz w:val="22"/>
                <w:szCs w:val="22"/>
                <w:u w:val="none"/>
              </w:rPr>
            </w:pPr>
          </w:p>
        </w:tc>
      </w:tr>
      <w:tr>
        <w:tblPrEx>
          <w:tblLayout w:type="fixed"/>
          <w:tblCellMar>
            <w:top w:w="0" w:type="dxa"/>
            <w:left w:w="0" w:type="dxa"/>
            <w:bottom w:w="0" w:type="dxa"/>
            <w:right w:w="0" w:type="dxa"/>
          </w:tblCellMar>
        </w:tblPrEx>
        <w:trPr>
          <w:trHeight w:val="620" w:hRule="atLeast"/>
        </w:trPr>
        <w:tc>
          <w:tcPr>
            <w:tcW w:w="9251" w:type="dxa"/>
            <w:gridSpan w:val="7"/>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注：1.本表反映单位本年收支余、资产负债、机构人员等主要指标与上年数对比变动情况及变动原因，各单位均需填报本表。</w:t>
            </w:r>
          </w:p>
        </w:tc>
      </w:tr>
      <w:tr>
        <w:tblPrEx>
          <w:tblLayout w:type="fixed"/>
          <w:tblCellMar>
            <w:top w:w="0" w:type="dxa"/>
            <w:left w:w="0" w:type="dxa"/>
            <w:bottom w:w="0" w:type="dxa"/>
            <w:right w:w="0" w:type="dxa"/>
          </w:tblCellMar>
        </w:tblPrEx>
        <w:trPr>
          <w:trHeight w:val="270" w:hRule="atLeast"/>
        </w:trPr>
        <w:tc>
          <w:tcPr>
            <w:tcW w:w="9251" w:type="dxa"/>
            <w:gridSpan w:val="7"/>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    2.事业收入中含事业单位财政专户管理资金收入。</w:t>
            </w:r>
          </w:p>
        </w:tc>
      </w:tr>
      <w:tr>
        <w:tblPrEx>
          <w:tblLayout w:type="fixed"/>
          <w:tblCellMar>
            <w:top w:w="0" w:type="dxa"/>
            <w:left w:w="0" w:type="dxa"/>
            <w:bottom w:w="0" w:type="dxa"/>
            <w:right w:w="0" w:type="dxa"/>
          </w:tblCellMar>
        </w:tblPrEx>
        <w:trPr>
          <w:trHeight w:val="270" w:hRule="atLeast"/>
        </w:trPr>
        <w:tc>
          <w:tcPr>
            <w:tcW w:w="9251" w:type="dxa"/>
            <w:gridSpan w:val="7"/>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    3.其他收入指单位取得的除财政拨款、事业收入、经营收入、上级补助收入、附属单位上缴收入以外的收入。</w:t>
            </w:r>
          </w:p>
        </w:tc>
      </w:tr>
      <w:tr>
        <w:tblPrEx>
          <w:tblLayout w:type="fixed"/>
          <w:tblCellMar>
            <w:top w:w="0" w:type="dxa"/>
            <w:left w:w="0" w:type="dxa"/>
            <w:bottom w:w="0" w:type="dxa"/>
            <w:right w:w="0" w:type="dxa"/>
          </w:tblCellMar>
        </w:tblPrEx>
        <w:trPr>
          <w:trHeight w:val="270" w:hRule="atLeast"/>
        </w:trPr>
        <w:tc>
          <w:tcPr>
            <w:tcW w:w="9251" w:type="dxa"/>
            <w:gridSpan w:val="7"/>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    4.结转和结余包括单位财政拨款结转和结余及其他资金结转和结余。</w:t>
            </w:r>
          </w:p>
        </w:tc>
      </w:tr>
      <w:tr>
        <w:tblPrEx>
          <w:tblLayout w:type="fixed"/>
          <w:tblCellMar>
            <w:top w:w="0" w:type="dxa"/>
            <w:left w:w="0" w:type="dxa"/>
            <w:bottom w:w="0" w:type="dxa"/>
            <w:right w:w="0" w:type="dxa"/>
          </w:tblCellMar>
        </w:tblPrEx>
        <w:trPr>
          <w:trHeight w:val="270" w:hRule="atLeast"/>
        </w:trPr>
        <w:tc>
          <w:tcPr>
            <w:tcW w:w="9251" w:type="dxa"/>
            <w:gridSpan w:val="7"/>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    5.本表应作为部门决算填报说明第二部分的附件一并报送。</w:t>
            </w:r>
          </w:p>
        </w:tc>
      </w:tr>
    </w:tbl>
    <w:p>
      <w:pPr>
        <w:keepNext w:val="0"/>
        <w:keepLines w:val="0"/>
        <w:pageBreakBefore w:val="0"/>
        <w:widowControl w:val="0"/>
        <w:kinsoku/>
        <w:wordWrap/>
        <w:overflowPunct/>
        <w:topLinePunct w:val="0"/>
        <w:autoSpaceDE/>
        <w:autoSpaceDN/>
        <w:bidi w:val="0"/>
        <w:adjustRightInd/>
        <w:snapToGrid w:val="0"/>
        <w:spacing w:line="594" w:lineRule="exact"/>
        <w:ind w:firstLine="643" w:firstLineChars="200"/>
        <w:textAlignment w:val="auto"/>
        <w:rPr>
          <w:rFonts w:ascii="楷体_GB2312" w:hAnsi="仿宋" w:eastAsia="楷体_GB2312" w:cs="仿宋"/>
          <w:b/>
          <w:color w:val="auto"/>
          <w:sz w:val="32"/>
          <w:szCs w:val="32"/>
        </w:rPr>
      </w:pPr>
      <w:r>
        <w:rPr>
          <w:rFonts w:hint="eastAsia" w:ascii="楷体_GB2312" w:hAnsi="仿宋" w:eastAsia="楷体_GB2312" w:cs="仿宋"/>
          <w:b/>
          <w:color w:val="auto"/>
          <w:sz w:val="32"/>
          <w:szCs w:val="32"/>
        </w:rPr>
        <w:t>（三）政府采购数据核对情况。</w:t>
      </w:r>
    </w:p>
    <w:p>
      <w:pPr>
        <w:keepNext w:val="0"/>
        <w:keepLines w:val="0"/>
        <w:pageBreakBefore w:val="0"/>
        <w:widowControl w:val="0"/>
        <w:kinsoku/>
        <w:wordWrap/>
        <w:overflowPunct/>
        <w:topLinePunct w:val="0"/>
        <w:autoSpaceDE/>
        <w:autoSpaceDN/>
        <w:bidi w:val="0"/>
        <w:adjustRightInd/>
        <w:spacing w:line="594" w:lineRule="exact"/>
        <w:ind w:firstLine="640" w:firstLineChars="200"/>
        <w:textAlignment w:val="auto"/>
        <w:rPr>
          <w:rFonts w:ascii="仿宋_GB2312" w:hAnsi="仿宋" w:eastAsia="仿宋_GB2312" w:cs="仿宋"/>
          <w:color w:val="auto"/>
          <w:sz w:val="32"/>
          <w:szCs w:val="32"/>
        </w:rPr>
      </w:pPr>
      <w:r>
        <w:rPr>
          <w:rFonts w:hint="eastAsia" w:ascii="仿宋_GB2312" w:hAnsi="仿宋" w:eastAsia="仿宋_GB2312" w:cs="仿宋"/>
          <w:color w:val="auto"/>
          <w:sz w:val="32"/>
          <w:szCs w:val="32"/>
        </w:rPr>
        <w:t xml:space="preserve"> </w:t>
      </w:r>
      <w:r>
        <w:rPr>
          <w:rFonts w:hint="eastAsia" w:ascii="仿宋_GB2312" w:hAnsi="仿宋" w:eastAsia="仿宋_GB2312" w:cs="仿宋"/>
          <w:bCs/>
          <w:color w:val="auto"/>
          <w:sz w:val="32"/>
          <w:szCs w:val="32"/>
        </w:rPr>
        <w:t>“政府采购情况表”数据均来自政府采购信息统计报表，金额无差异。</w:t>
      </w:r>
      <w:r>
        <w:rPr>
          <w:rFonts w:hint="eastAsia" w:ascii="仿宋_GB2312" w:hAnsi="仿宋" w:eastAsia="仿宋_GB2312" w:cs="仿宋"/>
          <w:color w:val="auto"/>
          <w:sz w:val="32"/>
          <w:szCs w:val="32"/>
        </w:rPr>
        <w:tab/>
      </w:r>
    </w:p>
    <w:p>
      <w:pPr>
        <w:keepNext w:val="0"/>
        <w:keepLines w:val="0"/>
        <w:pageBreakBefore w:val="0"/>
        <w:widowControl w:val="0"/>
        <w:kinsoku/>
        <w:wordWrap/>
        <w:overflowPunct/>
        <w:topLinePunct w:val="0"/>
        <w:autoSpaceDE/>
        <w:autoSpaceDN/>
        <w:bidi w:val="0"/>
        <w:adjustRightInd/>
        <w:spacing w:line="594" w:lineRule="exact"/>
        <w:ind w:firstLine="709"/>
        <w:textAlignment w:val="auto"/>
        <w:rPr>
          <w:rFonts w:ascii="黑体" w:hAnsi="黑体" w:eastAsia="黑体" w:cs="Times New Roman"/>
          <w:color w:val="auto"/>
          <w:sz w:val="32"/>
          <w:szCs w:val="32"/>
        </w:rPr>
      </w:pPr>
      <w:r>
        <w:rPr>
          <w:rFonts w:hint="eastAsia" w:ascii="宋体" w:hAnsi="宋体" w:cs="宋体"/>
          <w:color w:val="auto"/>
          <w:sz w:val="32"/>
          <w:szCs w:val="32"/>
        </w:rPr>
        <w:t> </w:t>
      </w:r>
      <w:r>
        <w:rPr>
          <w:rFonts w:hint="eastAsia" w:ascii="黑体" w:hAnsi="黑体" w:eastAsia="黑体" w:cs="黑体"/>
          <w:color w:val="auto"/>
          <w:sz w:val="32"/>
          <w:szCs w:val="32"/>
        </w:rPr>
        <w:t>四、报表审核情况</w:t>
      </w:r>
    </w:p>
    <w:p>
      <w:pPr>
        <w:keepNext w:val="0"/>
        <w:keepLines w:val="0"/>
        <w:pageBreakBefore w:val="0"/>
        <w:widowControl w:val="0"/>
        <w:kinsoku/>
        <w:wordWrap/>
        <w:overflowPunct/>
        <w:topLinePunct w:val="0"/>
        <w:autoSpaceDE/>
        <w:autoSpaceDN/>
        <w:bidi w:val="0"/>
        <w:adjustRightInd/>
        <w:spacing w:line="594" w:lineRule="exact"/>
        <w:ind w:firstLine="709"/>
        <w:textAlignment w:val="auto"/>
        <w:rPr>
          <w:rFonts w:ascii="楷体_GB2312" w:hAnsi="仿宋" w:eastAsia="楷体_GB2312" w:cs="仿宋"/>
          <w:b/>
          <w:color w:val="auto"/>
          <w:sz w:val="32"/>
          <w:szCs w:val="32"/>
        </w:rPr>
      </w:pPr>
      <w:r>
        <w:rPr>
          <w:rFonts w:hint="eastAsia" w:ascii="楷体_GB2312" w:hAnsi="仿宋" w:eastAsia="楷体_GB2312" w:cs="仿宋"/>
          <w:b/>
          <w:color w:val="auto"/>
          <w:sz w:val="32"/>
          <w:szCs w:val="32"/>
        </w:rPr>
        <w:t>（一）审核情况。</w:t>
      </w:r>
    </w:p>
    <w:tbl>
      <w:tblPr>
        <w:tblStyle w:val="5"/>
        <w:tblW w:w="8528" w:type="dxa"/>
        <w:tblInd w:w="2" w:type="dxa"/>
        <w:tblLayout w:type="fixed"/>
        <w:tblCellMar>
          <w:top w:w="0" w:type="dxa"/>
          <w:left w:w="0" w:type="dxa"/>
          <w:bottom w:w="0" w:type="dxa"/>
          <w:right w:w="0" w:type="dxa"/>
        </w:tblCellMar>
      </w:tblPr>
      <w:tblGrid>
        <w:gridCol w:w="1660"/>
        <w:gridCol w:w="868"/>
        <w:gridCol w:w="2453"/>
        <w:gridCol w:w="3547"/>
      </w:tblGrid>
      <w:tr>
        <w:tblPrEx>
          <w:tblLayout w:type="fixed"/>
          <w:tblCellMar>
            <w:top w:w="0" w:type="dxa"/>
            <w:left w:w="0" w:type="dxa"/>
            <w:bottom w:w="0" w:type="dxa"/>
            <w:right w:w="0" w:type="dxa"/>
          </w:tblCellMar>
        </w:tblPrEx>
        <w:trPr>
          <w:trHeight w:val="60" w:hRule="atLeast"/>
        </w:trPr>
        <w:tc>
          <w:tcPr>
            <w:tcW w:w="1660"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spacing w:line="60" w:lineRule="atLeast"/>
              <w:jc w:val="center"/>
              <w:rPr>
                <w:rFonts w:ascii="仿宋_GB2312" w:hAnsi="Times New Roman" w:eastAsia="仿宋_GB2312" w:cs="Times New Roman"/>
                <w:color w:val="auto"/>
                <w:sz w:val="24"/>
                <w:szCs w:val="24"/>
              </w:rPr>
            </w:pPr>
            <w:r>
              <w:rPr>
                <w:rFonts w:hint="eastAsia" w:ascii="仿宋_GB2312" w:hAnsi="仿宋" w:eastAsia="仿宋_GB2312" w:cs="仿宋"/>
                <w:color w:val="auto"/>
                <w:sz w:val="24"/>
                <w:szCs w:val="24"/>
              </w:rPr>
              <w:t>审核项目</w:t>
            </w:r>
          </w:p>
        </w:tc>
        <w:tc>
          <w:tcPr>
            <w:tcW w:w="868"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spacing w:line="60" w:lineRule="atLeast"/>
              <w:jc w:val="center"/>
              <w:rPr>
                <w:rFonts w:ascii="仿宋_GB2312" w:hAnsi="Times New Roman" w:eastAsia="仿宋_GB2312" w:cs="Times New Roman"/>
                <w:color w:val="auto"/>
                <w:sz w:val="24"/>
                <w:szCs w:val="24"/>
              </w:rPr>
            </w:pPr>
            <w:r>
              <w:rPr>
                <w:rFonts w:hint="eastAsia" w:ascii="仿宋_GB2312" w:hAnsi="仿宋" w:eastAsia="仿宋_GB2312" w:cs="仿宋"/>
                <w:color w:val="auto"/>
                <w:sz w:val="24"/>
                <w:szCs w:val="24"/>
              </w:rPr>
              <w:t>数量</w:t>
            </w:r>
          </w:p>
        </w:tc>
        <w:tc>
          <w:tcPr>
            <w:tcW w:w="2453"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spacing w:line="60" w:lineRule="atLeast"/>
              <w:jc w:val="center"/>
              <w:rPr>
                <w:rFonts w:ascii="仿宋_GB2312" w:hAnsi="Times New Roman" w:eastAsia="仿宋_GB2312" w:cs="Times New Roman"/>
                <w:color w:val="auto"/>
                <w:sz w:val="24"/>
                <w:szCs w:val="24"/>
              </w:rPr>
            </w:pPr>
            <w:r>
              <w:rPr>
                <w:rFonts w:hint="eastAsia" w:ascii="仿宋_GB2312" w:hAnsi="仿宋" w:eastAsia="仿宋_GB2312" w:cs="仿宋"/>
                <w:color w:val="auto"/>
                <w:sz w:val="24"/>
                <w:szCs w:val="24"/>
              </w:rPr>
              <w:t>提示内容</w:t>
            </w:r>
          </w:p>
        </w:tc>
        <w:tc>
          <w:tcPr>
            <w:tcW w:w="3547"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spacing w:line="60" w:lineRule="atLeast"/>
              <w:jc w:val="center"/>
              <w:rPr>
                <w:rFonts w:ascii="仿宋_GB2312" w:hAnsi="Times New Roman" w:eastAsia="仿宋_GB2312" w:cs="Times New Roman"/>
                <w:color w:val="auto"/>
                <w:sz w:val="24"/>
                <w:szCs w:val="24"/>
              </w:rPr>
            </w:pPr>
            <w:r>
              <w:rPr>
                <w:rFonts w:hint="eastAsia" w:ascii="仿宋_GB2312" w:hAnsi="仿宋" w:eastAsia="仿宋_GB2312" w:cs="仿宋"/>
                <w:color w:val="auto"/>
                <w:sz w:val="24"/>
                <w:szCs w:val="24"/>
              </w:rPr>
              <w:t>原因说明</w:t>
            </w:r>
          </w:p>
        </w:tc>
      </w:tr>
      <w:tr>
        <w:tblPrEx>
          <w:tblLayout w:type="fixed"/>
          <w:tblCellMar>
            <w:top w:w="0" w:type="dxa"/>
            <w:left w:w="0" w:type="dxa"/>
            <w:bottom w:w="0" w:type="dxa"/>
            <w:right w:w="0" w:type="dxa"/>
          </w:tblCellMar>
        </w:tblPrEx>
        <w:trPr>
          <w:trHeight w:val="60" w:hRule="atLeast"/>
        </w:trPr>
        <w:tc>
          <w:tcPr>
            <w:tcW w:w="1660"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spacing w:line="60" w:lineRule="atLeast"/>
              <w:rPr>
                <w:rFonts w:ascii="仿宋_GB2312" w:hAnsi="Times New Roman" w:eastAsia="仿宋_GB2312" w:cs="Times New Roman"/>
                <w:color w:val="auto"/>
                <w:sz w:val="24"/>
                <w:szCs w:val="24"/>
              </w:rPr>
            </w:pPr>
            <w:r>
              <w:rPr>
                <w:rFonts w:hint="eastAsia" w:ascii="仿宋_GB2312" w:hAnsi="仿宋" w:eastAsia="仿宋_GB2312" w:cs="仿宋"/>
                <w:color w:val="auto"/>
                <w:sz w:val="24"/>
                <w:szCs w:val="24"/>
              </w:rPr>
              <w:t>一、审核公式</w:t>
            </w:r>
          </w:p>
        </w:tc>
        <w:tc>
          <w:tcPr>
            <w:tcW w:w="868" w:type="dxa"/>
            <w:tcBorders>
              <w:top w:val="nil"/>
              <w:left w:val="nil"/>
              <w:bottom w:val="single" w:color="000000" w:sz="8" w:space="0"/>
              <w:right w:val="single" w:color="000000" w:sz="8" w:space="0"/>
            </w:tcBorders>
            <w:tcMar>
              <w:top w:w="0" w:type="dxa"/>
              <w:left w:w="108" w:type="dxa"/>
              <w:bottom w:w="0" w:type="dxa"/>
              <w:right w:w="108" w:type="dxa"/>
            </w:tcMar>
            <w:vAlign w:val="center"/>
          </w:tcPr>
          <w:p>
            <w:pPr>
              <w:spacing w:line="60" w:lineRule="atLeast"/>
              <w:jc w:val="center"/>
              <w:rPr>
                <w:rFonts w:ascii="仿宋_GB2312" w:hAnsi="Times New Roman" w:eastAsia="仿宋_GB2312" w:cs="Times New Roman"/>
                <w:color w:val="auto"/>
                <w:sz w:val="24"/>
                <w:szCs w:val="24"/>
              </w:rPr>
            </w:pPr>
            <w:r>
              <w:rPr>
                <w:rFonts w:hint="eastAsia" w:ascii="仿宋_GB2312" w:hAnsi="仿宋" w:eastAsia="仿宋_GB2312" w:cs="仿宋"/>
                <w:color w:val="auto"/>
                <w:sz w:val="24"/>
                <w:szCs w:val="24"/>
                <w:lang w:val="en-US" w:eastAsia="zh-CN"/>
              </w:rPr>
              <w:t>16</w:t>
            </w:r>
            <w:r>
              <w:rPr>
                <w:rFonts w:hint="eastAsia" w:ascii="仿宋_GB2312" w:hAnsi="仿宋" w:eastAsia="仿宋_GB2312" w:cs="仿宋"/>
                <w:color w:val="auto"/>
                <w:sz w:val="24"/>
                <w:szCs w:val="24"/>
              </w:rPr>
              <w:t>条</w:t>
            </w:r>
          </w:p>
        </w:tc>
        <w:tc>
          <w:tcPr>
            <w:tcW w:w="2453" w:type="dxa"/>
            <w:tcBorders>
              <w:top w:val="nil"/>
              <w:left w:val="nil"/>
              <w:bottom w:val="single" w:color="000000" w:sz="8" w:space="0"/>
              <w:right w:val="single" w:color="000000" w:sz="8" w:space="0"/>
            </w:tcBorders>
            <w:tcMar>
              <w:top w:w="0" w:type="dxa"/>
              <w:left w:w="108" w:type="dxa"/>
              <w:bottom w:w="0" w:type="dxa"/>
              <w:right w:w="108" w:type="dxa"/>
            </w:tcMar>
            <w:vAlign w:val="center"/>
          </w:tcPr>
          <w:p>
            <w:pPr>
              <w:spacing w:line="60" w:lineRule="atLeast"/>
              <w:rPr>
                <w:rFonts w:ascii="仿宋_GB2312" w:hAnsi="Times New Roman" w:eastAsia="仿宋_GB2312" w:cs="Times New Roman"/>
                <w:color w:val="auto"/>
                <w:sz w:val="24"/>
                <w:szCs w:val="24"/>
              </w:rPr>
            </w:pPr>
            <w:r>
              <w:rPr>
                <w:rFonts w:hint="eastAsia" w:ascii="仿宋_GB2312" w:hAnsi="仿宋" w:eastAsia="仿宋_GB2312" w:cs="仿宋"/>
                <w:color w:val="auto"/>
                <w:sz w:val="24"/>
                <w:szCs w:val="24"/>
              </w:rPr>
              <w:t>　</w:t>
            </w:r>
          </w:p>
        </w:tc>
        <w:tc>
          <w:tcPr>
            <w:tcW w:w="3547" w:type="dxa"/>
            <w:tcBorders>
              <w:top w:val="nil"/>
              <w:left w:val="nil"/>
              <w:bottom w:val="single" w:color="000000" w:sz="8" w:space="0"/>
              <w:right w:val="single" w:color="000000" w:sz="8" w:space="0"/>
            </w:tcBorders>
            <w:tcMar>
              <w:top w:w="0" w:type="dxa"/>
              <w:left w:w="108" w:type="dxa"/>
              <w:bottom w:w="0" w:type="dxa"/>
              <w:right w:w="108" w:type="dxa"/>
            </w:tcMar>
            <w:vAlign w:val="center"/>
          </w:tcPr>
          <w:p>
            <w:pPr>
              <w:spacing w:line="60" w:lineRule="atLeast"/>
              <w:rPr>
                <w:rFonts w:ascii="仿宋_GB2312" w:hAnsi="Times New Roman" w:eastAsia="仿宋_GB2312" w:cs="Times New Roman"/>
                <w:color w:val="auto"/>
                <w:sz w:val="24"/>
                <w:szCs w:val="24"/>
              </w:rPr>
            </w:pPr>
            <w:r>
              <w:rPr>
                <w:rFonts w:hint="eastAsia" w:ascii="仿宋_GB2312" w:hAnsi="仿宋" w:eastAsia="仿宋_GB2312" w:cs="仿宋"/>
                <w:color w:val="auto"/>
                <w:sz w:val="24"/>
                <w:szCs w:val="24"/>
              </w:rPr>
              <w:t>　</w:t>
            </w:r>
          </w:p>
        </w:tc>
      </w:tr>
      <w:tr>
        <w:tblPrEx>
          <w:tblLayout w:type="fixed"/>
          <w:tblCellMar>
            <w:top w:w="0" w:type="dxa"/>
            <w:left w:w="0" w:type="dxa"/>
            <w:bottom w:w="0" w:type="dxa"/>
            <w:right w:w="0" w:type="dxa"/>
          </w:tblCellMar>
        </w:tblPrEx>
        <w:trPr>
          <w:trHeight w:val="60" w:hRule="atLeast"/>
        </w:trPr>
        <w:tc>
          <w:tcPr>
            <w:tcW w:w="1660"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spacing w:line="60" w:lineRule="atLeast"/>
              <w:rPr>
                <w:rFonts w:ascii="仿宋_GB2312" w:hAnsi="Times New Roman" w:eastAsia="仿宋_GB2312" w:cs="Times New Roman"/>
                <w:color w:val="auto"/>
                <w:sz w:val="24"/>
                <w:szCs w:val="24"/>
              </w:rPr>
            </w:pPr>
            <w:r>
              <w:rPr>
                <w:rFonts w:hint="eastAsia" w:ascii="仿宋_GB2312" w:hAnsi="仿宋" w:eastAsia="仿宋_GB2312" w:cs="仿宋"/>
                <w:color w:val="auto"/>
                <w:sz w:val="24"/>
                <w:szCs w:val="24"/>
              </w:rPr>
              <w:t>1.表间公式</w:t>
            </w:r>
          </w:p>
        </w:tc>
        <w:tc>
          <w:tcPr>
            <w:tcW w:w="868" w:type="dxa"/>
            <w:tcBorders>
              <w:top w:val="nil"/>
              <w:left w:val="nil"/>
              <w:bottom w:val="single" w:color="000000" w:sz="8" w:space="0"/>
              <w:right w:val="single" w:color="000000" w:sz="8" w:space="0"/>
            </w:tcBorders>
            <w:tcMar>
              <w:top w:w="0" w:type="dxa"/>
              <w:left w:w="108" w:type="dxa"/>
              <w:bottom w:w="0" w:type="dxa"/>
              <w:right w:w="108" w:type="dxa"/>
            </w:tcMar>
            <w:vAlign w:val="center"/>
          </w:tcPr>
          <w:p>
            <w:pPr>
              <w:spacing w:line="60" w:lineRule="atLeast"/>
              <w:jc w:val="center"/>
              <w:rPr>
                <w:rFonts w:ascii="仿宋_GB2312" w:hAnsi="Times New Roman" w:eastAsia="仿宋_GB2312" w:cs="Times New Roman"/>
                <w:color w:val="auto"/>
                <w:sz w:val="24"/>
                <w:szCs w:val="24"/>
              </w:rPr>
            </w:pPr>
            <w:r>
              <w:rPr>
                <w:rFonts w:hint="eastAsia" w:ascii="仿宋_GB2312" w:hAnsi="仿宋" w:eastAsia="仿宋_GB2312" w:cs="仿宋"/>
                <w:color w:val="auto"/>
                <w:sz w:val="24"/>
                <w:szCs w:val="24"/>
                <w:lang w:val="en-US" w:eastAsia="zh-CN"/>
              </w:rPr>
              <w:t>1</w:t>
            </w:r>
            <w:r>
              <w:rPr>
                <w:rFonts w:hint="eastAsia" w:ascii="仿宋_GB2312" w:hAnsi="仿宋" w:eastAsia="仿宋_GB2312" w:cs="仿宋"/>
                <w:color w:val="auto"/>
                <w:sz w:val="24"/>
                <w:szCs w:val="24"/>
              </w:rPr>
              <w:t>条</w:t>
            </w:r>
          </w:p>
        </w:tc>
        <w:tc>
          <w:tcPr>
            <w:tcW w:w="2453" w:type="dxa"/>
            <w:tcBorders>
              <w:top w:val="nil"/>
              <w:left w:val="nil"/>
              <w:bottom w:val="single" w:color="000000" w:sz="8" w:space="0"/>
              <w:right w:val="single" w:color="000000" w:sz="8" w:space="0"/>
            </w:tcBorders>
            <w:tcMar>
              <w:top w:w="0" w:type="dxa"/>
              <w:left w:w="108" w:type="dxa"/>
              <w:bottom w:w="0" w:type="dxa"/>
              <w:right w:w="108" w:type="dxa"/>
            </w:tcMar>
            <w:vAlign w:val="center"/>
          </w:tcPr>
          <w:p>
            <w:pPr>
              <w:spacing w:line="60" w:lineRule="atLeast"/>
              <w:rPr>
                <w:rFonts w:ascii="仿宋_GB2312" w:hAnsi="Times New Roman" w:eastAsia="仿宋_GB2312" w:cs="Times New Roman"/>
                <w:color w:val="auto"/>
                <w:sz w:val="24"/>
                <w:szCs w:val="24"/>
              </w:rPr>
            </w:pPr>
            <w:r>
              <w:rPr>
                <w:rFonts w:hint="eastAsia" w:ascii="仿宋_GB2312" w:hAnsi="仿宋" w:eastAsia="仿宋_GB2312" w:cs="仿宋"/>
                <w:color w:val="auto"/>
                <w:sz w:val="24"/>
                <w:szCs w:val="24"/>
              </w:rPr>
              <w:t>　</w:t>
            </w:r>
          </w:p>
        </w:tc>
        <w:tc>
          <w:tcPr>
            <w:tcW w:w="3547" w:type="dxa"/>
            <w:tcBorders>
              <w:top w:val="nil"/>
              <w:left w:val="nil"/>
              <w:bottom w:val="single" w:color="000000" w:sz="8" w:space="0"/>
              <w:right w:val="single" w:color="000000" w:sz="8" w:space="0"/>
            </w:tcBorders>
            <w:tcMar>
              <w:top w:w="0" w:type="dxa"/>
              <w:left w:w="108" w:type="dxa"/>
              <w:bottom w:w="0" w:type="dxa"/>
              <w:right w:w="108" w:type="dxa"/>
            </w:tcMar>
            <w:vAlign w:val="center"/>
          </w:tcPr>
          <w:p>
            <w:pPr>
              <w:spacing w:line="60" w:lineRule="atLeast"/>
              <w:rPr>
                <w:rFonts w:ascii="仿宋_GB2312" w:hAnsi="Times New Roman" w:eastAsia="仿宋_GB2312" w:cs="Times New Roman"/>
                <w:color w:val="auto"/>
                <w:sz w:val="24"/>
                <w:szCs w:val="24"/>
              </w:rPr>
            </w:pPr>
            <w:r>
              <w:rPr>
                <w:rFonts w:hint="eastAsia" w:ascii="仿宋_GB2312" w:hAnsi="仿宋" w:eastAsia="仿宋_GB2312" w:cs="仿宋"/>
                <w:color w:val="auto"/>
                <w:sz w:val="24"/>
                <w:szCs w:val="24"/>
              </w:rPr>
              <w:t>　</w:t>
            </w:r>
          </w:p>
        </w:tc>
      </w:tr>
      <w:tr>
        <w:tblPrEx>
          <w:tblLayout w:type="fixed"/>
          <w:tblCellMar>
            <w:top w:w="0" w:type="dxa"/>
            <w:left w:w="0" w:type="dxa"/>
            <w:bottom w:w="0" w:type="dxa"/>
            <w:right w:w="0" w:type="dxa"/>
          </w:tblCellMar>
        </w:tblPrEx>
        <w:trPr>
          <w:trHeight w:val="60" w:hRule="atLeast"/>
        </w:trPr>
        <w:tc>
          <w:tcPr>
            <w:tcW w:w="1660"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spacing w:line="60" w:lineRule="atLeas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rPr>
              <w:t>A0-</w:t>
            </w:r>
            <w:r>
              <w:rPr>
                <w:rFonts w:hint="eastAsia" w:ascii="仿宋_GB2312" w:hAnsi="仿宋_GB2312" w:eastAsia="仿宋_GB2312" w:cs="仿宋_GB2312"/>
                <w:color w:val="auto"/>
                <w:sz w:val="24"/>
                <w:szCs w:val="24"/>
                <w:lang w:val="en-US" w:eastAsia="zh-CN"/>
              </w:rPr>
              <w:t>1198</w:t>
            </w:r>
          </w:p>
        </w:tc>
        <w:tc>
          <w:tcPr>
            <w:tcW w:w="868" w:type="dxa"/>
            <w:tcBorders>
              <w:top w:val="nil"/>
              <w:left w:val="nil"/>
              <w:bottom w:val="single" w:color="000000" w:sz="8" w:space="0"/>
              <w:right w:val="single" w:color="000000" w:sz="8" w:space="0"/>
            </w:tcBorders>
            <w:tcMar>
              <w:top w:w="0" w:type="dxa"/>
              <w:left w:w="108" w:type="dxa"/>
              <w:bottom w:w="0" w:type="dxa"/>
              <w:right w:w="108" w:type="dxa"/>
            </w:tcMar>
            <w:vAlign w:val="center"/>
          </w:tcPr>
          <w:p>
            <w:pPr>
              <w:spacing w:line="60" w:lineRule="atLeas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1</w:t>
            </w:r>
            <w:r>
              <w:rPr>
                <w:rFonts w:hint="eastAsia" w:ascii="仿宋_GB2312" w:hAnsi="仿宋_GB2312" w:eastAsia="仿宋_GB2312" w:cs="仿宋_GB2312"/>
                <w:color w:val="auto"/>
                <w:sz w:val="24"/>
                <w:szCs w:val="24"/>
              </w:rPr>
              <w:t>条</w:t>
            </w:r>
          </w:p>
        </w:tc>
        <w:tc>
          <w:tcPr>
            <w:tcW w:w="2453" w:type="dxa"/>
            <w:tcBorders>
              <w:top w:val="nil"/>
              <w:left w:val="nil"/>
              <w:bottom w:val="single" w:color="000000" w:sz="8" w:space="0"/>
              <w:right w:val="single" w:color="000000" w:sz="8" w:space="0"/>
            </w:tcBorders>
            <w:tcMar>
              <w:top w:w="0" w:type="dxa"/>
              <w:left w:w="108" w:type="dxa"/>
              <w:bottom w:w="0" w:type="dxa"/>
              <w:right w:w="108" w:type="dxa"/>
            </w:tcMar>
            <w:vAlign w:val="center"/>
          </w:tcPr>
          <w:p>
            <w:pPr>
              <w:spacing w:line="60" w:lineRule="atLeas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当报表类型≠"7"（叠加汇总表）且单位性质时≠"10"（行政单位），则财决附03表25行3栏＝财决07表10栏合计行</w:t>
            </w:r>
          </w:p>
        </w:tc>
        <w:tc>
          <w:tcPr>
            <w:tcW w:w="3547" w:type="dxa"/>
            <w:tcBorders>
              <w:top w:val="nil"/>
              <w:left w:val="nil"/>
              <w:bottom w:val="single" w:color="000000" w:sz="8" w:space="0"/>
              <w:right w:val="single" w:color="000000" w:sz="8" w:space="0"/>
            </w:tcBorders>
            <w:tcMar>
              <w:top w:w="0" w:type="dxa"/>
              <w:left w:w="108" w:type="dxa"/>
              <w:bottom w:w="0" w:type="dxa"/>
              <w:right w:w="108" w:type="dxa"/>
            </w:tcMar>
            <w:vAlign w:val="center"/>
          </w:tcPr>
          <w:p>
            <w:pPr>
              <w:spacing w:line="60" w:lineRule="atLeas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乡镇汇总填报</w:t>
            </w:r>
          </w:p>
        </w:tc>
      </w:tr>
      <w:tr>
        <w:tblPrEx>
          <w:tblLayout w:type="fixed"/>
          <w:tblCellMar>
            <w:top w:w="0" w:type="dxa"/>
            <w:left w:w="0" w:type="dxa"/>
            <w:bottom w:w="0" w:type="dxa"/>
            <w:right w:w="0" w:type="dxa"/>
          </w:tblCellMar>
        </w:tblPrEx>
        <w:trPr>
          <w:trHeight w:val="60" w:hRule="atLeast"/>
        </w:trPr>
        <w:tc>
          <w:tcPr>
            <w:tcW w:w="1660"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spacing w:line="60" w:lineRule="atLeas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2.表内公式</w:t>
            </w:r>
          </w:p>
        </w:tc>
        <w:tc>
          <w:tcPr>
            <w:tcW w:w="868" w:type="dxa"/>
            <w:tcBorders>
              <w:top w:val="nil"/>
              <w:left w:val="nil"/>
              <w:bottom w:val="single" w:color="000000" w:sz="8" w:space="0"/>
              <w:right w:val="single" w:color="000000" w:sz="8" w:space="0"/>
            </w:tcBorders>
            <w:tcMar>
              <w:top w:w="0" w:type="dxa"/>
              <w:left w:w="108" w:type="dxa"/>
              <w:bottom w:w="0" w:type="dxa"/>
              <w:right w:w="108" w:type="dxa"/>
            </w:tcMar>
            <w:vAlign w:val="center"/>
          </w:tcPr>
          <w:p>
            <w:pPr>
              <w:spacing w:line="60" w:lineRule="atLeas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15</w:t>
            </w:r>
            <w:r>
              <w:rPr>
                <w:rFonts w:hint="eastAsia" w:ascii="仿宋_GB2312" w:hAnsi="仿宋_GB2312" w:eastAsia="仿宋_GB2312" w:cs="仿宋_GB2312"/>
                <w:color w:val="auto"/>
                <w:sz w:val="24"/>
                <w:szCs w:val="24"/>
              </w:rPr>
              <w:t>条</w:t>
            </w:r>
          </w:p>
        </w:tc>
        <w:tc>
          <w:tcPr>
            <w:tcW w:w="2453" w:type="dxa"/>
            <w:tcBorders>
              <w:top w:val="nil"/>
              <w:left w:val="nil"/>
              <w:bottom w:val="single" w:color="000000" w:sz="8" w:space="0"/>
              <w:right w:val="single" w:color="000000" w:sz="8" w:space="0"/>
            </w:tcBorders>
            <w:tcMar>
              <w:top w:w="0" w:type="dxa"/>
              <w:left w:w="108" w:type="dxa"/>
              <w:bottom w:w="0" w:type="dxa"/>
              <w:right w:w="108" w:type="dxa"/>
            </w:tcMar>
            <w:vAlign w:val="center"/>
          </w:tcPr>
          <w:p>
            <w:pPr>
              <w:spacing w:line="60" w:lineRule="atLeas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3547" w:type="dxa"/>
            <w:tcBorders>
              <w:top w:val="nil"/>
              <w:left w:val="nil"/>
              <w:bottom w:val="single" w:color="000000" w:sz="8" w:space="0"/>
              <w:right w:val="single" w:color="000000" w:sz="8" w:space="0"/>
            </w:tcBorders>
            <w:tcMar>
              <w:top w:w="0" w:type="dxa"/>
              <w:left w:w="108" w:type="dxa"/>
              <w:bottom w:w="0" w:type="dxa"/>
              <w:right w:w="108" w:type="dxa"/>
            </w:tcMar>
            <w:vAlign w:val="center"/>
          </w:tcPr>
          <w:p>
            <w:pPr>
              <w:spacing w:line="60" w:lineRule="atLeas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Layout w:type="fixed"/>
          <w:tblCellMar>
            <w:top w:w="0" w:type="dxa"/>
            <w:left w:w="0" w:type="dxa"/>
            <w:bottom w:w="0" w:type="dxa"/>
            <w:right w:w="0" w:type="dxa"/>
          </w:tblCellMar>
        </w:tblPrEx>
        <w:trPr>
          <w:trHeight w:val="60" w:hRule="atLeast"/>
        </w:trPr>
        <w:tc>
          <w:tcPr>
            <w:tcW w:w="1660"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spacing w:line="60" w:lineRule="atLeas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B278</w:t>
            </w:r>
          </w:p>
        </w:tc>
        <w:tc>
          <w:tcPr>
            <w:tcW w:w="868" w:type="dxa"/>
            <w:tcBorders>
              <w:top w:val="nil"/>
              <w:left w:val="nil"/>
              <w:bottom w:val="single" w:color="000000" w:sz="8" w:space="0"/>
              <w:right w:val="single" w:color="000000" w:sz="8" w:space="0"/>
            </w:tcBorders>
            <w:tcMar>
              <w:top w:w="0" w:type="dxa"/>
              <w:left w:w="108" w:type="dxa"/>
              <w:bottom w:w="0" w:type="dxa"/>
              <w:right w:w="108" w:type="dxa"/>
            </w:tcMar>
            <w:vAlign w:val="center"/>
          </w:tcPr>
          <w:p>
            <w:pPr>
              <w:spacing w:line="60" w:lineRule="atLeas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1</w:t>
            </w:r>
            <w:r>
              <w:rPr>
                <w:rFonts w:hint="eastAsia" w:ascii="仿宋_GB2312" w:hAnsi="仿宋_GB2312" w:eastAsia="仿宋_GB2312" w:cs="仿宋_GB2312"/>
                <w:color w:val="auto"/>
                <w:sz w:val="24"/>
                <w:szCs w:val="24"/>
              </w:rPr>
              <w:t>条</w:t>
            </w:r>
          </w:p>
        </w:tc>
        <w:tc>
          <w:tcPr>
            <w:tcW w:w="2453" w:type="dxa"/>
            <w:tcBorders>
              <w:top w:val="nil"/>
              <w:left w:val="nil"/>
              <w:bottom w:val="single" w:color="000000" w:sz="8" w:space="0"/>
              <w:right w:val="single" w:color="000000" w:sz="8" w:space="0"/>
            </w:tcBorders>
            <w:tcMar>
              <w:top w:w="0" w:type="dxa"/>
              <w:left w:w="108" w:type="dxa"/>
              <w:bottom w:w="0" w:type="dxa"/>
              <w:right w:w="108" w:type="dxa"/>
            </w:tcMar>
            <w:vAlign w:val="center"/>
          </w:tcPr>
          <w:p>
            <w:pPr>
              <w:spacing w:line="60" w:lineRule="atLeas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财政拨款决算数有数，则预算数应有数</w:t>
            </w:r>
          </w:p>
        </w:tc>
        <w:tc>
          <w:tcPr>
            <w:tcW w:w="3547" w:type="dxa"/>
            <w:tcBorders>
              <w:top w:val="nil"/>
              <w:left w:val="nil"/>
              <w:bottom w:val="single" w:color="000000" w:sz="8" w:space="0"/>
              <w:right w:val="single" w:color="000000" w:sz="8" w:space="0"/>
            </w:tcBorders>
            <w:tcMar>
              <w:top w:w="0" w:type="dxa"/>
              <w:left w:w="108" w:type="dxa"/>
              <w:bottom w:w="0" w:type="dxa"/>
              <w:right w:w="108" w:type="dxa"/>
            </w:tcMar>
            <w:vAlign w:val="center"/>
          </w:tcPr>
          <w:p>
            <w:pPr>
              <w:spacing w:line="60" w:lineRule="atLeas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乡镇基金未纳入年初预算，也无基金预算。县财政转移支付后纳入调整预算和决算。</w:t>
            </w:r>
          </w:p>
        </w:tc>
      </w:tr>
      <w:tr>
        <w:tblPrEx>
          <w:tblLayout w:type="fixed"/>
          <w:tblCellMar>
            <w:top w:w="0" w:type="dxa"/>
            <w:left w:w="0" w:type="dxa"/>
            <w:bottom w:w="0" w:type="dxa"/>
            <w:right w:w="0" w:type="dxa"/>
          </w:tblCellMar>
        </w:tblPrEx>
        <w:trPr>
          <w:trHeight w:val="60" w:hRule="atLeast"/>
        </w:trPr>
        <w:tc>
          <w:tcPr>
            <w:tcW w:w="1660"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spacing w:line="60" w:lineRule="atLeas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B279</w:t>
            </w:r>
          </w:p>
        </w:tc>
        <w:tc>
          <w:tcPr>
            <w:tcW w:w="868" w:type="dxa"/>
            <w:tcBorders>
              <w:top w:val="nil"/>
              <w:left w:val="nil"/>
              <w:bottom w:val="single" w:color="000000" w:sz="8" w:space="0"/>
              <w:right w:val="single" w:color="000000" w:sz="8" w:space="0"/>
            </w:tcBorders>
            <w:tcMar>
              <w:top w:w="0" w:type="dxa"/>
              <w:left w:w="108" w:type="dxa"/>
              <w:bottom w:w="0" w:type="dxa"/>
              <w:right w:w="108" w:type="dxa"/>
            </w:tcMar>
            <w:vAlign w:val="center"/>
          </w:tcPr>
          <w:p>
            <w:pPr>
              <w:spacing w:line="60" w:lineRule="atLeas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2</w:t>
            </w:r>
            <w:r>
              <w:rPr>
                <w:rFonts w:hint="eastAsia" w:ascii="仿宋_GB2312" w:hAnsi="仿宋_GB2312" w:eastAsia="仿宋_GB2312" w:cs="仿宋_GB2312"/>
                <w:color w:val="auto"/>
                <w:sz w:val="24"/>
                <w:szCs w:val="24"/>
              </w:rPr>
              <w:t>条</w:t>
            </w:r>
          </w:p>
        </w:tc>
        <w:tc>
          <w:tcPr>
            <w:tcW w:w="2453" w:type="dxa"/>
            <w:tcBorders>
              <w:top w:val="nil"/>
              <w:left w:val="nil"/>
              <w:bottom w:val="single" w:color="000000" w:sz="8" w:space="0"/>
              <w:right w:val="single" w:color="000000" w:sz="8" w:space="0"/>
            </w:tcBorders>
            <w:tcMar>
              <w:top w:w="0" w:type="dxa"/>
              <w:left w:w="108" w:type="dxa"/>
              <w:bottom w:w="0" w:type="dxa"/>
              <w:right w:w="108" w:type="dxa"/>
            </w:tcMar>
            <w:vAlign w:val="center"/>
          </w:tcPr>
          <w:p>
            <w:pPr>
              <w:numPr>
                <w:ilvl w:val="0"/>
                <w:numId w:val="0"/>
              </w:numPr>
              <w:spacing w:line="60" w:lineRule="atLeas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如果调整预算数不等于年初预算数，请说明预算调整文件号。</w:t>
            </w:r>
          </w:p>
        </w:tc>
        <w:tc>
          <w:tcPr>
            <w:tcW w:w="3547" w:type="dxa"/>
            <w:tcBorders>
              <w:top w:val="nil"/>
              <w:left w:val="nil"/>
              <w:bottom w:val="single" w:color="000000" w:sz="8" w:space="0"/>
              <w:right w:val="single" w:color="000000" w:sz="8" w:space="0"/>
            </w:tcBorders>
            <w:tcMar>
              <w:top w:w="0" w:type="dxa"/>
              <w:left w:w="108" w:type="dxa"/>
              <w:bottom w:w="0" w:type="dxa"/>
              <w:right w:w="108" w:type="dxa"/>
            </w:tcMar>
            <w:vAlign w:val="center"/>
          </w:tcPr>
          <w:p>
            <w:pPr>
              <w:spacing w:line="60" w:lineRule="atLeast"/>
              <w:ind w:firstLine="240" w:firstLineChars="10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1-6月调整预算，丰财[2019]1142号。</w:t>
            </w:r>
          </w:p>
        </w:tc>
      </w:tr>
      <w:tr>
        <w:tblPrEx>
          <w:tblLayout w:type="fixed"/>
          <w:tblCellMar>
            <w:top w:w="0" w:type="dxa"/>
            <w:left w:w="0" w:type="dxa"/>
            <w:bottom w:w="0" w:type="dxa"/>
            <w:right w:w="0" w:type="dxa"/>
          </w:tblCellMar>
        </w:tblPrEx>
        <w:trPr>
          <w:trHeight w:val="60" w:hRule="atLeast"/>
        </w:trPr>
        <w:tc>
          <w:tcPr>
            <w:tcW w:w="1660"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spacing w:line="60" w:lineRule="atLeas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B383</w:t>
            </w:r>
          </w:p>
        </w:tc>
        <w:tc>
          <w:tcPr>
            <w:tcW w:w="868" w:type="dxa"/>
            <w:tcBorders>
              <w:top w:val="nil"/>
              <w:left w:val="nil"/>
              <w:bottom w:val="single" w:color="000000" w:sz="8" w:space="0"/>
              <w:right w:val="single" w:color="000000" w:sz="8" w:space="0"/>
            </w:tcBorders>
            <w:tcMar>
              <w:top w:w="0" w:type="dxa"/>
              <w:left w:w="108" w:type="dxa"/>
              <w:bottom w:w="0" w:type="dxa"/>
              <w:right w:w="108" w:type="dxa"/>
            </w:tcMar>
            <w:vAlign w:val="center"/>
          </w:tcPr>
          <w:p>
            <w:pPr>
              <w:spacing w:line="60" w:lineRule="atLeas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1</w:t>
            </w:r>
            <w:r>
              <w:rPr>
                <w:rFonts w:hint="eastAsia" w:ascii="仿宋_GB2312" w:hAnsi="仿宋_GB2312" w:eastAsia="仿宋_GB2312" w:cs="仿宋_GB2312"/>
                <w:color w:val="auto"/>
                <w:sz w:val="24"/>
                <w:szCs w:val="24"/>
              </w:rPr>
              <w:t>条</w:t>
            </w:r>
          </w:p>
        </w:tc>
        <w:tc>
          <w:tcPr>
            <w:tcW w:w="2453" w:type="dxa"/>
            <w:tcBorders>
              <w:top w:val="nil"/>
              <w:left w:val="nil"/>
              <w:bottom w:val="single" w:color="000000" w:sz="8" w:space="0"/>
              <w:right w:val="single" w:color="000000" w:sz="8" w:space="0"/>
            </w:tcBorders>
            <w:tcMar>
              <w:top w:w="0" w:type="dxa"/>
              <w:left w:w="108" w:type="dxa"/>
              <w:bottom w:w="0" w:type="dxa"/>
              <w:right w:w="108" w:type="dxa"/>
            </w:tcMar>
            <w:vAlign w:val="center"/>
          </w:tcPr>
          <w:p>
            <w:pPr>
              <w:spacing w:line="60" w:lineRule="atLeas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财政拨款决算数有数，则年初预算数应有数</w:t>
            </w:r>
          </w:p>
        </w:tc>
        <w:tc>
          <w:tcPr>
            <w:tcW w:w="3547" w:type="dxa"/>
            <w:tcBorders>
              <w:top w:val="nil"/>
              <w:left w:val="nil"/>
              <w:bottom w:val="single" w:color="000000" w:sz="8" w:space="0"/>
              <w:right w:val="single" w:color="000000" w:sz="8" w:space="0"/>
            </w:tcBorders>
            <w:tcMar>
              <w:top w:w="0" w:type="dxa"/>
              <w:left w:w="108" w:type="dxa"/>
              <w:bottom w:w="0" w:type="dxa"/>
              <w:right w:w="108" w:type="dxa"/>
            </w:tcMar>
            <w:vAlign w:val="center"/>
          </w:tcPr>
          <w:p>
            <w:pPr>
              <w:keepNext w:val="0"/>
              <w:keepLines w:val="0"/>
              <w:widowControl/>
              <w:suppressLineNumbers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乡镇基金未纳入年初预算，也无基金预算。县财政转移支付后纳入调整预算和决算。</w:t>
            </w:r>
          </w:p>
        </w:tc>
      </w:tr>
      <w:tr>
        <w:tblPrEx>
          <w:tblLayout w:type="fixed"/>
          <w:tblCellMar>
            <w:top w:w="0" w:type="dxa"/>
            <w:left w:w="0" w:type="dxa"/>
            <w:bottom w:w="0" w:type="dxa"/>
            <w:right w:w="0" w:type="dxa"/>
          </w:tblCellMar>
        </w:tblPrEx>
        <w:trPr>
          <w:trHeight w:val="60" w:hRule="atLeast"/>
        </w:trPr>
        <w:tc>
          <w:tcPr>
            <w:tcW w:w="1660"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spacing w:line="60" w:lineRule="atLeas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B730</w:t>
            </w:r>
          </w:p>
        </w:tc>
        <w:tc>
          <w:tcPr>
            <w:tcW w:w="868" w:type="dxa"/>
            <w:tcBorders>
              <w:top w:val="nil"/>
              <w:left w:val="nil"/>
              <w:bottom w:val="single" w:color="000000" w:sz="8" w:space="0"/>
              <w:right w:val="single" w:color="000000" w:sz="8" w:space="0"/>
            </w:tcBorders>
            <w:tcMar>
              <w:top w:w="0" w:type="dxa"/>
              <w:left w:w="108" w:type="dxa"/>
              <w:bottom w:w="0" w:type="dxa"/>
              <w:right w:w="108" w:type="dxa"/>
            </w:tcMar>
            <w:vAlign w:val="center"/>
          </w:tcPr>
          <w:p>
            <w:pPr>
              <w:spacing w:line="60" w:lineRule="atLeas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1</w:t>
            </w:r>
            <w:r>
              <w:rPr>
                <w:rFonts w:hint="eastAsia" w:ascii="仿宋_GB2312" w:hAnsi="仿宋_GB2312" w:eastAsia="仿宋_GB2312" w:cs="仿宋_GB2312"/>
                <w:color w:val="auto"/>
                <w:sz w:val="24"/>
                <w:szCs w:val="24"/>
              </w:rPr>
              <w:t>条</w:t>
            </w:r>
          </w:p>
        </w:tc>
        <w:tc>
          <w:tcPr>
            <w:tcW w:w="2453" w:type="dxa"/>
            <w:tcBorders>
              <w:top w:val="nil"/>
              <w:left w:val="nil"/>
              <w:bottom w:val="single" w:color="000000" w:sz="8" w:space="0"/>
              <w:right w:val="single" w:color="000000" w:sz="8" w:space="0"/>
            </w:tcBorders>
            <w:tcMar>
              <w:top w:w="0" w:type="dxa"/>
              <w:left w:w="108" w:type="dxa"/>
              <w:bottom w:w="0" w:type="dxa"/>
              <w:right w:w="108" w:type="dxa"/>
            </w:tcMar>
            <w:vAlign w:val="center"/>
          </w:tcPr>
          <w:p>
            <w:pPr>
              <w:spacing w:line="60" w:lineRule="atLeas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有其他工资福利支出请说明经费构成及金额</w:t>
            </w:r>
          </w:p>
        </w:tc>
        <w:tc>
          <w:tcPr>
            <w:tcW w:w="3547" w:type="dxa"/>
            <w:tcBorders>
              <w:top w:val="nil"/>
              <w:left w:val="nil"/>
              <w:bottom w:val="single" w:color="000000" w:sz="8" w:space="0"/>
              <w:right w:val="single" w:color="000000" w:sz="8" w:space="0"/>
            </w:tcBorders>
            <w:tcMar>
              <w:top w:w="0" w:type="dxa"/>
              <w:left w:w="108" w:type="dxa"/>
              <w:bottom w:w="0" w:type="dxa"/>
              <w:right w:w="108" w:type="dxa"/>
            </w:tcMar>
            <w:vAlign w:val="center"/>
          </w:tcPr>
          <w:p>
            <w:pPr>
              <w:keepNext w:val="0"/>
              <w:keepLines w:val="0"/>
              <w:widowControl/>
              <w:suppressLineNumbers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包括平时考核406290，年休假359087，长聘人员工资380000</w:t>
            </w:r>
          </w:p>
        </w:tc>
      </w:tr>
      <w:tr>
        <w:tblPrEx>
          <w:tblLayout w:type="fixed"/>
          <w:tblCellMar>
            <w:top w:w="0" w:type="dxa"/>
            <w:left w:w="0" w:type="dxa"/>
            <w:bottom w:w="0" w:type="dxa"/>
            <w:right w:w="0" w:type="dxa"/>
          </w:tblCellMar>
        </w:tblPrEx>
        <w:trPr>
          <w:trHeight w:val="60" w:hRule="atLeast"/>
        </w:trPr>
        <w:tc>
          <w:tcPr>
            <w:tcW w:w="1660"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i w:val="0"/>
                <w:color w:val="auto"/>
                <w:kern w:val="0"/>
                <w:sz w:val="24"/>
                <w:szCs w:val="24"/>
                <w:u w:val="none"/>
                <w:lang w:val="en-US" w:eastAsia="zh-CN" w:bidi="ar"/>
              </w:rPr>
              <w:t>B735</w:t>
            </w:r>
          </w:p>
        </w:tc>
        <w:tc>
          <w:tcPr>
            <w:tcW w:w="868" w:type="dxa"/>
            <w:tcBorders>
              <w:top w:val="nil"/>
              <w:left w:val="nil"/>
              <w:bottom w:val="single" w:color="000000" w:sz="8" w:space="0"/>
              <w:right w:val="single" w:color="000000" w:sz="8" w:space="0"/>
            </w:tcBorders>
            <w:tcMar>
              <w:top w:w="0" w:type="dxa"/>
              <w:left w:w="108" w:type="dxa"/>
              <w:bottom w:w="0" w:type="dxa"/>
              <w:right w:w="108" w:type="dxa"/>
            </w:tcMar>
            <w:vAlign w:val="center"/>
          </w:tcPr>
          <w:p>
            <w:pPr>
              <w:spacing w:line="60" w:lineRule="atLeas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1</w:t>
            </w:r>
            <w:r>
              <w:rPr>
                <w:rFonts w:hint="eastAsia" w:ascii="仿宋_GB2312" w:hAnsi="仿宋_GB2312" w:eastAsia="仿宋_GB2312" w:cs="仿宋_GB2312"/>
                <w:color w:val="auto"/>
                <w:sz w:val="24"/>
                <w:szCs w:val="24"/>
              </w:rPr>
              <w:t>条</w:t>
            </w:r>
          </w:p>
        </w:tc>
        <w:tc>
          <w:tcPr>
            <w:tcW w:w="2453" w:type="dxa"/>
            <w:tcBorders>
              <w:top w:val="nil"/>
              <w:left w:val="nil"/>
              <w:bottom w:val="single" w:color="000000" w:sz="8" w:space="0"/>
              <w:right w:val="single" w:color="000000" w:sz="8" w:space="0"/>
            </w:tcBorders>
            <w:tcMar>
              <w:top w:w="0" w:type="dxa"/>
              <w:left w:w="108" w:type="dxa"/>
              <w:bottom w:w="0" w:type="dxa"/>
              <w:right w:w="108" w:type="dxa"/>
            </w:tcMar>
            <w:vAlign w:val="center"/>
          </w:tcPr>
          <w:p>
            <w:pPr>
              <w:spacing w:line="60" w:lineRule="atLeas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有救济费，请说明开支情况！</w:t>
            </w:r>
          </w:p>
        </w:tc>
        <w:tc>
          <w:tcPr>
            <w:tcW w:w="3547" w:type="dxa"/>
            <w:tcBorders>
              <w:top w:val="nil"/>
              <w:left w:val="nil"/>
              <w:bottom w:val="single" w:color="000000" w:sz="8" w:space="0"/>
              <w:right w:val="single" w:color="000000" w:sz="8" w:space="0"/>
            </w:tcBorders>
            <w:tcMar>
              <w:top w:w="0" w:type="dxa"/>
              <w:left w:w="108" w:type="dxa"/>
              <w:bottom w:w="0" w:type="dxa"/>
              <w:right w:w="108" w:type="dxa"/>
            </w:tcMar>
            <w:vAlign w:val="center"/>
          </w:tcPr>
          <w:p>
            <w:pPr>
              <w:keepNext w:val="0"/>
              <w:keepLines w:val="0"/>
              <w:widowControl/>
              <w:suppressLineNumbers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困难群众临时救助145740.64。</w:t>
            </w:r>
          </w:p>
        </w:tc>
      </w:tr>
      <w:tr>
        <w:tblPrEx>
          <w:tblLayout w:type="fixed"/>
          <w:tblCellMar>
            <w:top w:w="0" w:type="dxa"/>
            <w:left w:w="0" w:type="dxa"/>
            <w:bottom w:w="0" w:type="dxa"/>
            <w:right w:w="0" w:type="dxa"/>
          </w:tblCellMar>
        </w:tblPrEx>
        <w:trPr>
          <w:trHeight w:val="60" w:hRule="atLeast"/>
        </w:trPr>
        <w:tc>
          <w:tcPr>
            <w:tcW w:w="1660"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i w:val="0"/>
                <w:color w:val="auto"/>
                <w:kern w:val="0"/>
                <w:sz w:val="24"/>
                <w:szCs w:val="24"/>
                <w:u w:val="none"/>
                <w:lang w:val="en-US" w:eastAsia="zh-CN" w:bidi="ar"/>
              </w:rPr>
              <w:t>B736</w:t>
            </w:r>
          </w:p>
        </w:tc>
        <w:tc>
          <w:tcPr>
            <w:tcW w:w="868" w:type="dxa"/>
            <w:tcBorders>
              <w:top w:val="nil"/>
              <w:left w:val="nil"/>
              <w:bottom w:val="single" w:color="000000" w:sz="8" w:space="0"/>
              <w:right w:val="single" w:color="000000" w:sz="8" w:space="0"/>
            </w:tcBorders>
            <w:tcMar>
              <w:top w:w="0" w:type="dxa"/>
              <w:left w:w="108" w:type="dxa"/>
              <w:bottom w:w="0" w:type="dxa"/>
              <w:right w:w="108" w:type="dxa"/>
            </w:tcMar>
            <w:vAlign w:val="center"/>
          </w:tcPr>
          <w:p>
            <w:pPr>
              <w:spacing w:line="60" w:lineRule="atLeas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1</w:t>
            </w:r>
            <w:r>
              <w:rPr>
                <w:rFonts w:hint="eastAsia" w:ascii="仿宋_GB2312" w:hAnsi="仿宋_GB2312" w:eastAsia="仿宋_GB2312" w:cs="仿宋_GB2312"/>
                <w:color w:val="auto"/>
                <w:sz w:val="24"/>
                <w:szCs w:val="24"/>
              </w:rPr>
              <w:t>条</w:t>
            </w:r>
          </w:p>
        </w:tc>
        <w:tc>
          <w:tcPr>
            <w:tcW w:w="2453" w:type="dxa"/>
            <w:tcBorders>
              <w:top w:val="nil"/>
              <w:left w:val="nil"/>
              <w:bottom w:val="single" w:color="000000" w:sz="8" w:space="0"/>
              <w:right w:val="single" w:color="000000" w:sz="8" w:space="0"/>
            </w:tcBorders>
            <w:tcMar>
              <w:top w:w="0" w:type="dxa"/>
              <w:left w:w="108" w:type="dxa"/>
              <w:bottom w:w="0" w:type="dxa"/>
              <w:right w:w="108" w:type="dxa"/>
            </w:tcMar>
            <w:vAlign w:val="center"/>
          </w:tcPr>
          <w:p>
            <w:pPr>
              <w:spacing w:line="60" w:lineRule="atLeas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有个人农业生产补贴，请说明开支情况！</w:t>
            </w:r>
          </w:p>
        </w:tc>
        <w:tc>
          <w:tcPr>
            <w:tcW w:w="3547" w:type="dxa"/>
            <w:tcBorders>
              <w:top w:val="nil"/>
              <w:left w:val="nil"/>
              <w:bottom w:val="single" w:color="000000" w:sz="8" w:space="0"/>
              <w:right w:val="single" w:color="000000" w:sz="8" w:space="0"/>
            </w:tcBorders>
            <w:tcMar>
              <w:top w:w="0" w:type="dxa"/>
              <w:left w:w="108" w:type="dxa"/>
              <w:bottom w:w="0" w:type="dxa"/>
              <w:right w:w="108" w:type="dxa"/>
            </w:tcMar>
            <w:vAlign w:val="center"/>
          </w:tcPr>
          <w:p>
            <w:pPr>
              <w:keepNext w:val="0"/>
              <w:keepLines w:val="0"/>
              <w:widowControl/>
              <w:suppressLineNumbers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农业生产支持补贴5909,农业资源保护与修复26000，农业生产发展1639727.25.</w:t>
            </w:r>
          </w:p>
        </w:tc>
      </w:tr>
      <w:tr>
        <w:tblPrEx>
          <w:tblLayout w:type="fixed"/>
          <w:tblCellMar>
            <w:top w:w="0" w:type="dxa"/>
            <w:left w:w="0" w:type="dxa"/>
            <w:bottom w:w="0" w:type="dxa"/>
            <w:right w:w="0" w:type="dxa"/>
          </w:tblCellMar>
        </w:tblPrEx>
        <w:trPr>
          <w:trHeight w:val="60" w:hRule="atLeast"/>
        </w:trPr>
        <w:tc>
          <w:tcPr>
            <w:tcW w:w="1660"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i w:val="0"/>
                <w:color w:val="auto"/>
                <w:kern w:val="0"/>
                <w:sz w:val="24"/>
                <w:szCs w:val="24"/>
                <w:u w:val="none"/>
                <w:lang w:val="en-US" w:eastAsia="zh-CN" w:bidi="ar"/>
              </w:rPr>
              <w:t>B954</w:t>
            </w:r>
          </w:p>
        </w:tc>
        <w:tc>
          <w:tcPr>
            <w:tcW w:w="868" w:type="dxa"/>
            <w:tcBorders>
              <w:top w:val="nil"/>
              <w:left w:val="nil"/>
              <w:bottom w:val="single" w:color="000000" w:sz="8" w:space="0"/>
              <w:right w:val="single" w:color="000000" w:sz="8" w:space="0"/>
            </w:tcBorders>
            <w:tcMar>
              <w:top w:w="0" w:type="dxa"/>
              <w:left w:w="108" w:type="dxa"/>
              <w:bottom w:w="0" w:type="dxa"/>
              <w:right w:w="108" w:type="dxa"/>
            </w:tcMar>
            <w:vAlign w:val="center"/>
          </w:tcPr>
          <w:p>
            <w:pPr>
              <w:spacing w:line="60" w:lineRule="atLeas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1</w:t>
            </w:r>
            <w:r>
              <w:rPr>
                <w:rFonts w:hint="eastAsia" w:ascii="仿宋_GB2312" w:hAnsi="仿宋_GB2312" w:eastAsia="仿宋_GB2312" w:cs="仿宋_GB2312"/>
                <w:color w:val="auto"/>
                <w:sz w:val="24"/>
                <w:szCs w:val="24"/>
              </w:rPr>
              <w:t>条</w:t>
            </w:r>
          </w:p>
        </w:tc>
        <w:tc>
          <w:tcPr>
            <w:tcW w:w="2453" w:type="dxa"/>
            <w:tcBorders>
              <w:top w:val="nil"/>
              <w:left w:val="nil"/>
              <w:bottom w:val="single" w:color="000000" w:sz="8" w:space="0"/>
              <w:right w:val="single" w:color="000000" w:sz="8" w:space="0"/>
            </w:tcBorders>
            <w:tcMar>
              <w:top w:w="0" w:type="dxa"/>
              <w:left w:w="108" w:type="dxa"/>
              <w:bottom w:w="0" w:type="dxa"/>
              <w:right w:w="108" w:type="dxa"/>
            </w:tcMar>
            <w:vAlign w:val="center"/>
          </w:tcPr>
          <w:p>
            <w:pPr>
              <w:spacing w:line="60" w:lineRule="atLeas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项目支出中对个人和家庭补助如果有数，请说明情况！</w:t>
            </w:r>
          </w:p>
        </w:tc>
        <w:tc>
          <w:tcPr>
            <w:tcW w:w="3547" w:type="dxa"/>
            <w:tcBorders>
              <w:top w:val="nil"/>
              <w:left w:val="nil"/>
              <w:bottom w:val="single" w:color="000000" w:sz="8" w:space="0"/>
              <w:right w:val="single" w:color="000000" w:sz="8" w:space="0"/>
            </w:tcBorders>
            <w:tcMar>
              <w:top w:w="0" w:type="dxa"/>
              <w:left w:w="108" w:type="dxa"/>
              <w:bottom w:w="0" w:type="dxa"/>
              <w:right w:w="108" w:type="dxa"/>
            </w:tcMar>
            <w:vAlign w:val="center"/>
          </w:tcPr>
          <w:p>
            <w:pPr>
              <w:keepNext w:val="0"/>
              <w:keepLines w:val="0"/>
              <w:widowControl/>
              <w:suppressLineNumbers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用于农村CD危房改造758221,易地扶贫搬迁补助及差异化72000,优抚对象生活补助512,078.44,义务参军家庭补助151342,复员、带病退伍军人定期生活补助665290,老党员生活补助165680,农业生产补贴1671636.25，信访矛盾化解150000等</w:t>
            </w:r>
          </w:p>
        </w:tc>
      </w:tr>
      <w:tr>
        <w:tblPrEx>
          <w:tblLayout w:type="fixed"/>
          <w:tblCellMar>
            <w:top w:w="0" w:type="dxa"/>
            <w:left w:w="0" w:type="dxa"/>
            <w:bottom w:w="0" w:type="dxa"/>
            <w:right w:w="0" w:type="dxa"/>
          </w:tblCellMar>
        </w:tblPrEx>
        <w:trPr>
          <w:trHeight w:val="60" w:hRule="atLeast"/>
        </w:trPr>
        <w:tc>
          <w:tcPr>
            <w:tcW w:w="1660"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i w:val="0"/>
                <w:color w:val="auto"/>
                <w:kern w:val="0"/>
                <w:sz w:val="24"/>
                <w:szCs w:val="24"/>
                <w:u w:val="none"/>
                <w:lang w:val="en-US" w:eastAsia="zh-CN" w:bidi="ar"/>
              </w:rPr>
              <w:t>B1330</w:t>
            </w:r>
          </w:p>
        </w:tc>
        <w:tc>
          <w:tcPr>
            <w:tcW w:w="868" w:type="dxa"/>
            <w:tcBorders>
              <w:top w:val="nil"/>
              <w:left w:val="nil"/>
              <w:bottom w:val="single" w:color="000000" w:sz="8" w:space="0"/>
              <w:right w:val="single" w:color="000000" w:sz="8" w:space="0"/>
            </w:tcBorders>
            <w:tcMar>
              <w:top w:w="0" w:type="dxa"/>
              <w:left w:w="108" w:type="dxa"/>
              <w:bottom w:w="0" w:type="dxa"/>
              <w:right w:w="108" w:type="dxa"/>
            </w:tcMar>
            <w:vAlign w:val="center"/>
          </w:tcPr>
          <w:p>
            <w:pPr>
              <w:spacing w:line="60" w:lineRule="atLeas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1</w:t>
            </w:r>
            <w:r>
              <w:rPr>
                <w:rFonts w:hint="eastAsia" w:ascii="仿宋_GB2312" w:hAnsi="仿宋_GB2312" w:eastAsia="仿宋_GB2312" w:cs="仿宋_GB2312"/>
                <w:color w:val="auto"/>
                <w:sz w:val="24"/>
                <w:szCs w:val="24"/>
              </w:rPr>
              <w:t>条</w:t>
            </w:r>
          </w:p>
        </w:tc>
        <w:tc>
          <w:tcPr>
            <w:tcW w:w="2453" w:type="dxa"/>
            <w:tcBorders>
              <w:top w:val="nil"/>
              <w:left w:val="nil"/>
              <w:bottom w:val="single" w:color="000000" w:sz="8" w:space="0"/>
              <w:right w:val="single" w:color="000000" w:sz="8" w:space="0"/>
            </w:tcBorders>
            <w:tcMar>
              <w:top w:w="0" w:type="dxa"/>
              <w:left w:w="108" w:type="dxa"/>
              <w:bottom w:w="0" w:type="dxa"/>
              <w:right w:w="108" w:type="dxa"/>
            </w:tcMar>
            <w:vAlign w:val="center"/>
          </w:tcPr>
          <w:p>
            <w:pPr>
              <w:spacing w:line="60" w:lineRule="atLeas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有其他工资福利支出请说明经费构成及金额</w:t>
            </w:r>
          </w:p>
        </w:tc>
        <w:tc>
          <w:tcPr>
            <w:tcW w:w="3547" w:type="dxa"/>
            <w:tcBorders>
              <w:top w:val="nil"/>
              <w:left w:val="nil"/>
              <w:bottom w:val="single" w:color="000000" w:sz="8" w:space="0"/>
              <w:right w:val="single" w:color="000000" w:sz="8" w:space="0"/>
            </w:tcBorders>
            <w:tcMar>
              <w:top w:w="0" w:type="dxa"/>
              <w:left w:w="108" w:type="dxa"/>
              <w:bottom w:w="0" w:type="dxa"/>
              <w:right w:w="108" w:type="dxa"/>
            </w:tcMar>
            <w:vAlign w:val="center"/>
          </w:tcPr>
          <w:p>
            <w:pPr>
              <w:keepNext w:val="0"/>
              <w:keepLines w:val="0"/>
              <w:widowControl/>
              <w:suppressLineNumbers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包括平时考核406290，年休假359087，长聘人员工资380000</w:t>
            </w:r>
          </w:p>
        </w:tc>
      </w:tr>
      <w:tr>
        <w:tblPrEx>
          <w:tblLayout w:type="fixed"/>
          <w:tblCellMar>
            <w:top w:w="0" w:type="dxa"/>
            <w:left w:w="0" w:type="dxa"/>
            <w:bottom w:w="0" w:type="dxa"/>
            <w:right w:w="0" w:type="dxa"/>
          </w:tblCellMar>
        </w:tblPrEx>
        <w:trPr>
          <w:trHeight w:val="60" w:hRule="atLeast"/>
        </w:trPr>
        <w:tc>
          <w:tcPr>
            <w:tcW w:w="1660"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i w:val="0"/>
                <w:color w:val="auto"/>
                <w:kern w:val="0"/>
                <w:sz w:val="24"/>
                <w:szCs w:val="24"/>
                <w:u w:val="none"/>
                <w:lang w:val="en-US" w:eastAsia="zh-CN" w:bidi="ar"/>
              </w:rPr>
              <w:t>B1335</w:t>
            </w:r>
          </w:p>
        </w:tc>
        <w:tc>
          <w:tcPr>
            <w:tcW w:w="868" w:type="dxa"/>
            <w:tcBorders>
              <w:top w:val="nil"/>
              <w:left w:val="nil"/>
              <w:bottom w:val="single" w:color="000000" w:sz="8" w:space="0"/>
              <w:right w:val="single" w:color="000000" w:sz="8" w:space="0"/>
            </w:tcBorders>
            <w:tcMar>
              <w:top w:w="0" w:type="dxa"/>
              <w:left w:w="108" w:type="dxa"/>
              <w:bottom w:w="0" w:type="dxa"/>
              <w:right w:w="108" w:type="dxa"/>
            </w:tcMar>
            <w:vAlign w:val="center"/>
          </w:tcPr>
          <w:p>
            <w:pPr>
              <w:spacing w:line="60" w:lineRule="atLeas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1</w:t>
            </w:r>
            <w:r>
              <w:rPr>
                <w:rFonts w:hint="eastAsia" w:ascii="仿宋_GB2312" w:hAnsi="仿宋_GB2312" w:eastAsia="仿宋_GB2312" w:cs="仿宋_GB2312"/>
                <w:color w:val="auto"/>
                <w:sz w:val="24"/>
                <w:szCs w:val="24"/>
              </w:rPr>
              <w:t>条</w:t>
            </w:r>
          </w:p>
        </w:tc>
        <w:tc>
          <w:tcPr>
            <w:tcW w:w="2453" w:type="dxa"/>
            <w:tcBorders>
              <w:top w:val="nil"/>
              <w:left w:val="nil"/>
              <w:bottom w:val="single" w:color="000000" w:sz="8" w:space="0"/>
              <w:right w:val="single" w:color="000000" w:sz="8" w:space="0"/>
            </w:tcBorders>
            <w:tcMar>
              <w:top w:w="0" w:type="dxa"/>
              <w:left w:w="108" w:type="dxa"/>
              <w:bottom w:w="0" w:type="dxa"/>
              <w:right w:w="108" w:type="dxa"/>
            </w:tcMar>
            <w:vAlign w:val="center"/>
          </w:tcPr>
          <w:p>
            <w:pPr>
              <w:spacing w:line="60" w:lineRule="atLeas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有救济费，请说明开支情况！</w:t>
            </w:r>
          </w:p>
        </w:tc>
        <w:tc>
          <w:tcPr>
            <w:tcW w:w="3547" w:type="dxa"/>
            <w:tcBorders>
              <w:top w:val="nil"/>
              <w:left w:val="nil"/>
              <w:bottom w:val="single" w:color="000000" w:sz="8" w:space="0"/>
              <w:right w:val="single" w:color="000000" w:sz="8" w:space="0"/>
            </w:tcBorders>
            <w:tcMar>
              <w:top w:w="0" w:type="dxa"/>
              <w:left w:w="108" w:type="dxa"/>
              <w:bottom w:w="0" w:type="dxa"/>
              <w:right w:w="108" w:type="dxa"/>
            </w:tcMar>
            <w:vAlign w:val="center"/>
          </w:tcPr>
          <w:p>
            <w:pPr>
              <w:keepNext w:val="0"/>
              <w:keepLines w:val="0"/>
              <w:widowControl/>
              <w:suppressLineNumbers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困难群众临时救助145740.64。</w:t>
            </w:r>
          </w:p>
        </w:tc>
      </w:tr>
      <w:tr>
        <w:tblPrEx>
          <w:tblLayout w:type="fixed"/>
          <w:tblCellMar>
            <w:top w:w="0" w:type="dxa"/>
            <w:left w:w="0" w:type="dxa"/>
            <w:bottom w:w="0" w:type="dxa"/>
            <w:right w:w="0" w:type="dxa"/>
          </w:tblCellMar>
        </w:tblPrEx>
        <w:trPr>
          <w:trHeight w:val="60" w:hRule="atLeast"/>
        </w:trPr>
        <w:tc>
          <w:tcPr>
            <w:tcW w:w="1660"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i w:val="0"/>
                <w:color w:val="auto"/>
                <w:kern w:val="0"/>
                <w:sz w:val="24"/>
                <w:szCs w:val="24"/>
                <w:u w:val="none"/>
                <w:lang w:val="en-US" w:eastAsia="zh-CN" w:bidi="ar"/>
              </w:rPr>
              <w:t>B1336</w:t>
            </w:r>
          </w:p>
        </w:tc>
        <w:tc>
          <w:tcPr>
            <w:tcW w:w="868" w:type="dxa"/>
            <w:tcBorders>
              <w:top w:val="nil"/>
              <w:left w:val="nil"/>
              <w:bottom w:val="single" w:color="000000" w:sz="8" w:space="0"/>
              <w:right w:val="single" w:color="000000" w:sz="8" w:space="0"/>
            </w:tcBorders>
            <w:tcMar>
              <w:top w:w="0" w:type="dxa"/>
              <w:left w:w="108" w:type="dxa"/>
              <w:bottom w:w="0" w:type="dxa"/>
              <w:right w:w="108" w:type="dxa"/>
            </w:tcMar>
            <w:vAlign w:val="center"/>
          </w:tcPr>
          <w:p>
            <w:pPr>
              <w:spacing w:line="60" w:lineRule="atLeas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1</w:t>
            </w:r>
            <w:r>
              <w:rPr>
                <w:rFonts w:hint="eastAsia" w:ascii="仿宋_GB2312" w:hAnsi="仿宋_GB2312" w:eastAsia="仿宋_GB2312" w:cs="仿宋_GB2312"/>
                <w:color w:val="auto"/>
                <w:sz w:val="24"/>
                <w:szCs w:val="24"/>
              </w:rPr>
              <w:t>条</w:t>
            </w:r>
          </w:p>
        </w:tc>
        <w:tc>
          <w:tcPr>
            <w:tcW w:w="2453" w:type="dxa"/>
            <w:tcBorders>
              <w:top w:val="nil"/>
              <w:left w:val="nil"/>
              <w:bottom w:val="single" w:color="000000" w:sz="8" w:space="0"/>
              <w:right w:val="single" w:color="000000" w:sz="8" w:space="0"/>
            </w:tcBorders>
            <w:tcMar>
              <w:top w:w="0" w:type="dxa"/>
              <w:left w:w="108" w:type="dxa"/>
              <w:bottom w:w="0" w:type="dxa"/>
              <w:right w:w="108" w:type="dxa"/>
            </w:tcMar>
            <w:vAlign w:val="center"/>
          </w:tcPr>
          <w:p>
            <w:pPr>
              <w:spacing w:line="60" w:lineRule="atLeas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有个人农业生产补贴，请说明开支情况！</w:t>
            </w:r>
          </w:p>
        </w:tc>
        <w:tc>
          <w:tcPr>
            <w:tcW w:w="3547" w:type="dxa"/>
            <w:tcBorders>
              <w:top w:val="nil"/>
              <w:left w:val="nil"/>
              <w:bottom w:val="single" w:color="000000" w:sz="8" w:space="0"/>
              <w:right w:val="single" w:color="000000" w:sz="8" w:space="0"/>
            </w:tcBorders>
            <w:tcMar>
              <w:top w:w="0" w:type="dxa"/>
              <w:left w:w="108" w:type="dxa"/>
              <w:bottom w:w="0" w:type="dxa"/>
              <w:right w:w="108" w:type="dxa"/>
            </w:tcMar>
            <w:vAlign w:val="center"/>
          </w:tcPr>
          <w:p>
            <w:pPr>
              <w:keepNext w:val="0"/>
              <w:keepLines w:val="0"/>
              <w:widowControl/>
              <w:suppressLineNumbers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农业生产支持补贴5909,农业资源保护与修复26000，农业生产发展1639727.25.</w:t>
            </w:r>
          </w:p>
        </w:tc>
      </w:tr>
      <w:tr>
        <w:tblPrEx>
          <w:tblLayout w:type="fixed"/>
          <w:tblCellMar>
            <w:top w:w="0" w:type="dxa"/>
            <w:left w:w="0" w:type="dxa"/>
            <w:bottom w:w="0" w:type="dxa"/>
            <w:right w:w="0" w:type="dxa"/>
          </w:tblCellMar>
        </w:tblPrEx>
        <w:trPr>
          <w:trHeight w:val="60" w:hRule="atLeast"/>
        </w:trPr>
        <w:tc>
          <w:tcPr>
            <w:tcW w:w="1660"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i w:val="0"/>
                <w:color w:val="auto"/>
                <w:kern w:val="0"/>
                <w:sz w:val="24"/>
                <w:szCs w:val="24"/>
                <w:u w:val="none"/>
                <w:lang w:val="en-US" w:eastAsia="zh-CN" w:bidi="ar"/>
              </w:rPr>
              <w:t>B1554</w:t>
            </w:r>
          </w:p>
        </w:tc>
        <w:tc>
          <w:tcPr>
            <w:tcW w:w="868" w:type="dxa"/>
            <w:tcBorders>
              <w:top w:val="nil"/>
              <w:left w:val="nil"/>
              <w:bottom w:val="single" w:color="000000" w:sz="8" w:space="0"/>
              <w:right w:val="single" w:color="000000" w:sz="8" w:space="0"/>
            </w:tcBorders>
            <w:tcMar>
              <w:top w:w="0" w:type="dxa"/>
              <w:left w:w="108" w:type="dxa"/>
              <w:bottom w:w="0" w:type="dxa"/>
              <w:right w:w="108" w:type="dxa"/>
            </w:tcMar>
            <w:vAlign w:val="center"/>
          </w:tcPr>
          <w:p>
            <w:pPr>
              <w:spacing w:line="60" w:lineRule="atLeas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1</w:t>
            </w:r>
            <w:r>
              <w:rPr>
                <w:rFonts w:hint="eastAsia" w:ascii="仿宋_GB2312" w:hAnsi="仿宋_GB2312" w:eastAsia="仿宋_GB2312" w:cs="仿宋_GB2312"/>
                <w:color w:val="auto"/>
                <w:sz w:val="24"/>
                <w:szCs w:val="24"/>
              </w:rPr>
              <w:t>条</w:t>
            </w:r>
          </w:p>
        </w:tc>
        <w:tc>
          <w:tcPr>
            <w:tcW w:w="2453" w:type="dxa"/>
            <w:tcBorders>
              <w:top w:val="nil"/>
              <w:left w:val="nil"/>
              <w:bottom w:val="single" w:color="000000" w:sz="8" w:space="0"/>
              <w:right w:val="single" w:color="000000" w:sz="8" w:space="0"/>
            </w:tcBorders>
            <w:tcMar>
              <w:top w:w="0" w:type="dxa"/>
              <w:left w:w="108" w:type="dxa"/>
              <w:bottom w:w="0" w:type="dxa"/>
              <w:right w:w="108" w:type="dxa"/>
            </w:tcMar>
            <w:vAlign w:val="center"/>
          </w:tcPr>
          <w:p>
            <w:pPr>
              <w:spacing w:line="60" w:lineRule="atLeas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项目支出中对个人和家庭补助如果有数，请说明情况！</w:t>
            </w:r>
          </w:p>
        </w:tc>
        <w:tc>
          <w:tcPr>
            <w:tcW w:w="3547" w:type="dxa"/>
            <w:tcBorders>
              <w:top w:val="nil"/>
              <w:left w:val="nil"/>
              <w:bottom w:val="single" w:color="000000" w:sz="8" w:space="0"/>
              <w:right w:val="single" w:color="000000" w:sz="8" w:space="0"/>
            </w:tcBorders>
            <w:tcMar>
              <w:top w:w="0" w:type="dxa"/>
              <w:left w:w="108" w:type="dxa"/>
              <w:bottom w:w="0" w:type="dxa"/>
              <w:right w:w="108" w:type="dxa"/>
            </w:tcMar>
            <w:vAlign w:val="center"/>
          </w:tcPr>
          <w:p>
            <w:pPr>
              <w:keepNext w:val="0"/>
              <w:keepLines w:val="0"/>
              <w:widowControl/>
              <w:suppressLineNumbers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用于农村CD危房改造758221,易地扶贫搬迁补助及差异化72000,优抚对象生活补助512,078.44,义务参军家庭补助151342,复员、带病退伍军人定期生活补助665290,老党员生活补助165680,农业生产补贴1671636.25，信访矛盾化解150000等</w:t>
            </w:r>
          </w:p>
        </w:tc>
      </w:tr>
      <w:tr>
        <w:tblPrEx>
          <w:tblLayout w:type="fixed"/>
        </w:tblPrEx>
        <w:trPr>
          <w:trHeight w:val="60" w:hRule="atLeast"/>
        </w:trPr>
        <w:tc>
          <w:tcPr>
            <w:tcW w:w="1660"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i w:val="0"/>
                <w:color w:val="auto"/>
                <w:kern w:val="0"/>
                <w:sz w:val="24"/>
                <w:szCs w:val="24"/>
                <w:u w:val="none"/>
                <w:lang w:val="en-US" w:eastAsia="zh-CN" w:bidi="ar"/>
              </w:rPr>
              <w:t>B2252</w:t>
            </w:r>
          </w:p>
        </w:tc>
        <w:tc>
          <w:tcPr>
            <w:tcW w:w="868" w:type="dxa"/>
            <w:tcBorders>
              <w:top w:val="nil"/>
              <w:left w:val="nil"/>
              <w:bottom w:val="single" w:color="000000" w:sz="8" w:space="0"/>
              <w:right w:val="single" w:color="000000" w:sz="8" w:space="0"/>
            </w:tcBorders>
            <w:tcMar>
              <w:top w:w="0" w:type="dxa"/>
              <w:left w:w="108" w:type="dxa"/>
              <w:bottom w:w="0" w:type="dxa"/>
              <w:right w:w="108" w:type="dxa"/>
            </w:tcMar>
            <w:vAlign w:val="center"/>
          </w:tcPr>
          <w:p>
            <w:pPr>
              <w:spacing w:line="60" w:lineRule="atLeas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1</w:t>
            </w:r>
            <w:r>
              <w:rPr>
                <w:rFonts w:hint="eastAsia" w:ascii="仿宋_GB2312" w:hAnsi="仿宋_GB2312" w:eastAsia="仿宋_GB2312" w:cs="仿宋_GB2312"/>
                <w:color w:val="auto"/>
                <w:sz w:val="24"/>
                <w:szCs w:val="24"/>
              </w:rPr>
              <w:t>条</w:t>
            </w:r>
          </w:p>
        </w:tc>
        <w:tc>
          <w:tcPr>
            <w:tcW w:w="2453" w:type="dxa"/>
            <w:tcBorders>
              <w:top w:val="nil"/>
              <w:left w:val="nil"/>
              <w:bottom w:val="single" w:color="000000" w:sz="8" w:space="0"/>
              <w:right w:val="single" w:color="000000" w:sz="8" w:space="0"/>
            </w:tcBorders>
            <w:tcMar>
              <w:top w:w="0" w:type="dxa"/>
              <w:left w:w="108" w:type="dxa"/>
              <w:bottom w:w="0" w:type="dxa"/>
              <w:right w:w="108" w:type="dxa"/>
            </w:tcMar>
            <w:vAlign w:val="center"/>
          </w:tcPr>
          <w:p>
            <w:pPr>
              <w:spacing w:line="60" w:lineRule="atLeas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“三公”经费支出应小于等于上年数，如大于上年数，请说明情况！</w:t>
            </w:r>
          </w:p>
        </w:tc>
        <w:tc>
          <w:tcPr>
            <w:tcW w:w="3547" w:type="dxa"/>
            <w:tcBorders>
              <w:top w:val="nil"/>
              <w:left w:val="nil"/>
              <w:bottom w:val="single" w:color="000000" w:sz="8" w:space="0"/>
              <w:right w:val="single" w:color="000000" w:sz="8" w:space="0"/>
            </w:tcBorders>
            <w:tcMar>
              <w:top w:w="0" w:type="dxa"/>
              <w:left w:w="108" w:type="dxa"/>
              <w:bottom w:w="0" w:type="dxa"/>
              <w:right w:w="108" w:type="dxa"/>
            </w:tcMar>
            <w:vAlign w:val="center"/>
          </w:tcPr>
          <w:p>
            <w:pPr>
              <w:keepNext w:val="0"/>
              <w:keepLines w:val="0"/>
              <w:widowControl/>
              <w:suppressLineNumbers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因机改水管所畜牧站合并，增加“三公经费”开支。</w:t>
            </w:r>
          </w:p>
        </w:tc>
      </w:tr>
      <w:tr>
        <w:tblPrEx>
          <w:tblLayout w:type="fixed"/>
          <w:tblCellMar>
            <w:top w:w="0" w:type="dxa"/>
            <w:left w:w="0" w:type="dxa"/>
            <w:bottom w:w="0" w:type="dxa"/>
            <w:right w:w="0" w:type="dxa"/>
          </w:tblCellMar>
        </w:tblPrEx>
        <w:trPr>
          <w:trHeight w:val="60" w:hRule="atLeast"/>
        </w:trPr>
        <w:tc>
          <w:tcPr>
            <w:tcW w:w="1660"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i w:val="0"/>
                <w:color w:val="auto"/>
                <w:kern w:val="0"/>
                <w:sz w:val="24"/>
                <w:szCs w:val="24"/>
                <w:u w:val="none"/>
                <w:lang w:val="en-US" w:eastAsia="zh-CN" w:bidi="ar"/>
              </w:rPr>
              <w:t>B2254</w:t>
            </w:r>
          </w:p>
        </w:tc>
        <w:tc>
          <w:tcPr>
            <w:tcW w:w="868" w:type="dxa"/>
            <w:tcBorders>
              <w:top w:val="nil"/>
              <w:left w:val="nil"/>
              <w:bottom w:val="single" w:color="000000" w:sz="8" w:space="0"/>
              <w:right w:val="single" w:color="000000" w:sz="8" w:space="0"/>
            </w:tcBorders>
            <w:tcMar>
              <w:top w:w="0" w:type="dxa"/>
              <w:left w:w="108" w:type="dxa"/>
              <w:bottom w:w="0" w:type="dxa"/>
              <w:right w:w="108" w:type="dxa"/>
            </w:tcMar>
            <w:vAlign w:val="center"/>
          </w:tcPr>
          <w:p>
            <w:pPr>
              <w:spacing w:line="60" w:lineRule="atLeas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1</w:t>
            </w:r>
            <w:r>
              <w:rPr>
                <w:rFonts w:hint="eastAsia" w:ascii="仿宋_GB2312" w:hAnsi="仿宋_GB2312" w:eastAsia="仿宋_GB2312" w:cs="仿宋_GB2312"/>
                <w:color w:val="auto"/>
                <w:sz w:val="24"/>
                <w:szCs w:val="24"/>
              </w:rPr>
              <w:t>条</w:t>
            </w:r>
          </w:p>
        </w:tc>
        <w:tc>
          <w:tcPr>
            <w:tcW w:w="2453" w:type="dxa"/>
            <w:tcBorders>
              <w:top w:val="nil"/>
              <w:left w:val="nil"/>
              <w:bottom w:val="single" w:color="000000" w:sz="8" w:space="0"/>
              <w:right w:val="single" w:color="000000" w:sz="8" w:space="0"/>
            </w:tcBorders>
            <w:tcMar>
              <w:top w:w="0" w:type="dxa"/>
              <w:left w:w="108" w:type="dxa"/>
              <w:bottom w:w="0" w:type="dxa"/>
              <w:right w:w="108" w:type="dxa"/>
            </w:tcMar>
            <w:vAlign w:val="center"/>
          </w:tcPr>
          <w:p>
            <w:pPr>
              <w:spacing w:line="60" w:lineRule="atLeas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公务用车购置及运行维护费应小于等于上年数，如大于上年数，请说明情况！</w:t>
            </w:r>
          </w:p>
        </w:tc>
        <w:tc>
          <w:tcPr>
            <w:tcW w:w="3547" w:type="dxa"/>
            <w:tcBorders>
              <w:top w:val="nil"/>
              <w:left w:val="nil"/>
              <w:bottom w:val="single" w:color="000000" w:sz="8" w:space="0"/>
              <w:right w:val="single" w:color="000000" w:sz="8" w:space="0"/>
            </w:tcBorders>
            <w:tcMar>
              <w:top w:w="0" w:type="dxa"/>
              <w:left w:w="108" w:type="dxa"/>
              <w:bottom w:w="0" w:type="dxa"/>
              <w:right w:w="108" w:type="dxa"/>
            </w:tcMar>
            <w:vAlign w:val="center"/>
          </w:tcPr>
          <w:p>
            <w:pPr>
              <w:keepNext w:val="0"/>
              <w:keepLines w:val="0"/>
              <w:widowControl/>
              <w:suppressLineNumbers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因机改水管所畜牧站合并，增加“三公经费”开支。</w:t>
            </w:r>
          </w:p>
        </w:tc>
      </w:tr>
      <w:tr>
        <w:tblPrEx>
          <w:tblLayout w:type="fixed"/>
          <w:tblCellMar>
            <w:top w:w="0" w:type="dxa"/>
            <w:left w:w="0" w:type="dxa"/>
            <w:bottom w:w="0" w:type="dxa"/>
            <w:right w:w="0" w:type="dxa"/>
          </w:tblCellMar>
        </w:tblPrEx>
        <w:trPr>
          <w:trHeight w:val="60" w:hRule="atLeast"/>
        </w:trPr>
        <w:tc>
          <w:tcPr>
            <w:tcW w:w="1660"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i w:val="0"/>
                <w:color w:val="auto"/>
                <w:kern w:val="0"/>
                <w:sz w:val="24"/>
                <w:szCs w:val="24"/>
                <w:u w:val="none"/>
                <w:lang w:val="en-US" w:eastAsia="zh-CN" w:bidi="ar"/>
              </w:rPr>
              <w:t>B2256</w:t>
            </w:r>
          </w:p>
        </w:tc>
        <w:tc>
          <w:tcPr>
            <w:tcW w:w="868" w:type="dxa"/>
            <w:tcBorders>
              <w:top w:val="nil"/>
              <w:left w:val="nil"/>
              <w:bottom w:val="single" w:color="000000" w:sz="8" w:space="0"/>
              <w:right w:val="single" w:color="000000" w:sz="8" w:space="0"/>
            </w:tcBorders>
            <w:tcMar>
              <w:top w:w="0" w:type="dxa"/>
              <w:left w:w="108" w:type="dxa"/>
              <w:bottom w:w="0" w:type="dxa"/>
              <w:right w:w="108" w:type="dxa"/>
            </w:tcMar>
            <w:vAlign w:val="center"/>
          </w:tcPr>
          <w:p>
            <w:pPr>
              <w:spacing w:line="60" w:lineRule="atLeas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1</w:t>
            </w:r>
            <w:r>
              <w:rPr>
                <w:rFonts w:hint="eastAsia" w:ascii="仿宋_GB2312" w:hAnsi="仿宋_GB2312" w:eastAsia="仿宋_GB2312" w:cs="仿宋_GB2312"/>
                <w:color w:val="auto"/>
                <w:sz w:val="24"/>
                <w:szCs w:val="24"/>
              </w:rPr>
              <w:t>条</w:t>
            </w:r>
          </w:p>
        </w:tc>
        <w:tc>
          <w:tcPr>
            <w:tcW w:w="2453" w:type="dxa"/>
            <w:tcBorders>
              <w:top w:val="nil"/>
              <w:left w:val="nil"/>
              <w:bottom w:val="single" w:color="000000" w:sz="8" w:space="0"/>
              <w:right w:val="single" w:color="000000" w:sz="8" w:space="0"/>
            </w:tcBorders>
            <w:tcMar>
              <w:top w:w="0" w:type="dxa"/>
              <w:left w:w="108" w:type="dxa"/>
              <w:bottom w:w="0" w:type="dxa"/>
              <w:right w:w="108" w:type="dxa"/>
            </w:tcMar>
            <w:vAlign w:val="center"/>
          </w:tcPr>
          <w:p>
            <w:pPr>
              <w:spacing w:line="60" w:lineRule="atLeas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公务用车运行维护费应小于等于上年数，如大于上年数，请说明情况！</w:t>
            </w:r>
          </w:p>
        </w:tc>
        <w:tc>
          <w:tcPr>
            <w:tcW w:w="3547" w:type="dxa"/>
            <w:tcBorders>
              <w:top w:val="nil"/>
              <w:left w:val="nil"/>
              <w:bottom w:val="single" w:color="000000" w:sz="8" w:space="0"/>
              <w:right w:val="single" w:color="000000" w:sz="8" w:space="0"/>
            </w:tcBorders>
            <w:tcMar>
              <w:top w:w="0" w:type="dxa"/>
              <w:left w:w="108" w:type="dxa"/>
              <w:bottom w:w="0" w:type="dxa"/>
              <w:right w:w="108" w:type="dxa"/>
            </w:tcMar>
            <w:vAlign w:val="center"/>
          </w:tcPr>
          <w:p>
            <w:pPr>
              <w:keepNext w:val="0"/>
              <w:keepLines w:val="0"/>
              <w:widowControl/>
              <w:suppressLineNumbers w:val="0"/>
              <w:jc w:val="left"/>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因机改水管所畜牧站合并，增加“三公经费”开支。</w:t>
            </w:r>
          </w:p>
        </w:tc>
      </w:tr>
      <w:tr>
        <w:tblPrEx>
          <w:tblLayout w:type="fixed"/>
          <w:tblCellMar>
            <w:top w:w="0" w:type="dxa"/>
            <w:left w:w="0" w:type="dxa"/>
            <w:bottom w:w="0" w:type="dxa"/>
            <w:right w:w="0" w:type="dxa"/>
          </w:tblCellMar>
        </w:tblPrEx>
        <w:trPr>
          <w:trHeight w:val="60" w:hRule="atLeast"/>
        </w:trPr>
        <w:tc>
          <w:tcPr>
            <w:tcW w:w="1660"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spacing w:line="60" w:lineRule="atLeast"/>
              <w:rPr>
                <w:rFonts w:ascii="仿宋_GB2312" w:hAnsi="Times New Roman" w:eastAsia="仿宋_GB2312" w:cs="Times New Roman"/>
                <w:color w:val="auto"/>
                <w:sz w:val="24"/>
                <w:szCs w:val="24"/>
              </w:rPr>
            </w:pPr>
            <w:r>
              <w:rPr>
                <w:rFonts w:hint="eastAsia" w:ascii="仿宋_GB2312" w:hAnsi="仿宋" w:eastAsia="仿宋_GB2312" w:cs="仿宋"/>
                <w:color w:val="auto"/>
                <w:sz w:val="24"/>
                <w:szCs w:val="24"/>
              </w:rPr>
              <w:t>二、审核模板</w:t>
            </w:r>
          </w:p>
        </w:tc>
        <w:tc>
          <w:tcPr>
            <w:tcW w:w="868" w:type="dxa"/>
            <w:tcBorders>
              <w:top w:val="nil"/>
              <w:left w:val="nil"/>
              <w:bottom w:val="single" w:color="000000" w:sz="8" w:space="0"/>
              <w:right w:val="single" w:color="000000" w:sz="8" w:space="0"/>
            </w:tcBorders>
            <w:tcMar>
              <w:top w:w="0" w:type="dxa"/>
              <w:left w:w="108" w:type="dxa"/>
              <w:bottom w:w="0" w:type="dxa"/>
              <w:right w:w="108" w:type="dxa"/>
            </w:tcMar>
            <w:vAlign w:val="center"/>
          </w:tcPr>
          <w:p>
            <w:pPr>
              <w:spacing w:line="60" w:lineRule="atLeast"/>
              <w:jc w:val="center"/>
              <w:rPr>
                <w:rFonts w:ascii="仿宋_GB2312" w:hAnsi="Times New Roman" w:eastAsia="仿宋_GB2312" w:cs="Times New Roman"/>
                <w:color w:val="auto"/>
                <w:sz w:val="24"/>
                <w:szCs w:val="24"/>
              </w:rPr>
            </w:pPr>
            <w:r>
              <w:rPr>
                <w:rFonts w:hint="eastAsia" w:ascii="仿宋_GB2312" w:hAnsi="仿宋" w:eastAsia="仿宋_GB2312" w:cs="仿宋"/>
                <w:color w:val="auto"/>
                <w:sz w:val="24"/>
                <w:szCs w:val="24"/>
              </w:rPr>
              <w:t>—</w:t>
            </w:r>
          </w:p>
        </w:tc>
        <w:tc>
          <w:tcPr>
            <w:tcW w:w="2453" w:type="dxa"/>
            <w:tcBorders>
              <w:top w:val="nil"/>
              <w:left w:val="nil"/>
              <w:bottom w:val="single" w:color="000000" w:sz="8" w:space="0"/>
              <w:right w:val="single" w:color="000000" w:sz="8" w:space="0"/>
            </w:tcBorders>
            <w:tcMar>
              <w:top w:w="0" w:type="dxa"/>
              <w:left w:w="108" w:type="dxa"/>
              <w:bottom w:w="0" w:type="dxa"/>
              <w:right w:w="108" w:type="dxa"/>
            </w:tcMar>
            <w:vAlign w:val="center"/>
          </w:tcPr>
          <w:p>
            <w:pPr>
              <w:spacing w:line="60" w:lineRule="atLeast"/>
              <w:rPr>
                <w:rFonts w:hint="eastAsia" w:ascii="仿宋_GB2312" w:hAnsi="Times New Roman" w:eastAsia="仿宋_GB2312" w:cs="Times New Roman"/>
                <w:color w:val="auto"/>
                <w:sz w:val="24"/>
                <w:szCs w:val="24"/>
                <w:lang w:val="en-US" w:eastAsia="zh-CN"/>
              </w:rPr>
            </w:pPr>
            <w:r>
              <w:rPr>
                <w:rFonts w:hint="eastAsia" w:ascii="仿宋_GB2312" w:hAnsi="仿宋" w:eastAsia="仿宋_GB2312" w:cs="仿宋"/>
                <w:color w:val="auto"/>
                <w:sz w:val="24"/>
                <w:szCs w:val="24"/>
              </w:rPr>
              <w:t>　</w:t>
            </w:r>
            <w:r>
              <w:rPr>
                <w:rFonts w:hint="eastAsia" w:ascii="仿宋_GB2312" w:hAnsi="仿宋" w:eastAsia="仿宋_GB2312" w:cs="仿宋"/>
                <w:color w:val="auto"/>
                <w:sz w:val="24"/>
                <w:szCs w:val="24"/>
                <w:lang w:val="en-US" w:eastAsia="zh-CN"/>
              </w:rPr>
              <w:t>0</w:t>
            </w:r>
          </w:p>
        </w:tc>
        <w:tc>
          <w:tcPr>
            <w:tcW w:w="3547" w:type="dxa"/>
            <w:tcBorders>
              <w:top w:val="nil"/>
              <w:left w:val="nil"/>
              <w:bottom w:val="single" w:color="000000" w:sz="8" w:space="0"/>
              <w:right w:val="single" w:color="000000" w:sz="8" w:space="0"/>
            </w:tcBorders>
            <w:tcMar>
              <w:top w:w="0" w:type="dxa"/>
              <w:left w:w="108" w:type="dxa"/>
              <w:bottom w:w="0" w:type="dxa"/>
              <w:right w:w="108" w:type="dxa"/>
            </w:tcMar>
            <w:vAlign w:val="center"/>
          </w:tcPr>
          <w:p>
            <w:pPr>
              <w:spacing w:line="60" w:lineRule="atLeast"/>
              <w:rPr>
                <w:rFonts w:ascii="仿宋_GB2312" w:hAnsi="Times New Roman" w:eastAsia="仿宋_GB2312" w:cs="Times New Roman"/>
                <w:color w:val="auto"/>
                <w:sz w:val="24"/>
                <w:szCs w:val="24"/>
              </w:rPr>
            </w:pPr>
            <w:r>
              <w:rPr>
                <w:rFonts w:hint="eastAsia" w:ascii="仿宋_GB2312" w:hAnsi="仿宋" w:eastAsia="仿宋_GB2312" w:cs="仿宋"/>
                <w:color w:val="auto"/>
                <w:sz w:val="24"/>
                <w:szCs w:val="24"/>
              </w:rPr>
              <w:t>　</w:t>
            </w:r>
          </w:p>
        </w:tc>
      </w:tr>
    </w:tbl>
    <w:p>
      <w:pPr>
        <w:keepNext w:val="0"/>
        <w:keepLines w:val="0"/>
        <w:pageBreakBefore w:val="0"/>
        <w:widowControl w:val="0"/>
        <w:kinsoku/>
        <w:wordWrap/>
        <w:overflowPunct/>
        <w:topLinePunct w:val="0"/>
        <w:autoSpaceDE/>
        <w:autoSpaceDN/>
        <w:bidi w:val="0"/>
        <w:adjustRightInd/>
        <w:snapToGrid/>
        <w:spacing w:line="594" w:lineRule="exact"/>
        <w:ind w:firstLine="709"/>
        <w:textAlignment w:val="auto"/>
        <w:rPr>
          <w:rFonts w:ascii="楷体_GB2312" w:hAnsi="Times New Roman" w:eastAsia="楷体_GB2312" w:cs="Times New Roman"/>
          <w:b/>
          <w:color w:val="auto"/>
          <w:sz w:val="32"/>
          <w:szCs w:val="32"/>
        </w:rPr>
      </w:pPr>
      <w:r>
        <w:rPr>
          <w:rFonts w:hint="eastAsia" w:ascii="楷体_GB2312" w:hAnsi="仿宋" w:eastAsia="楷体_GB2312" w:cs="仿宋"/>
          <w:b/>
          <w:color w:val="auto"/>
          <w:sz w:val="32"/>
          <w:szCs w:val="32"/>
        </w:rPr>
        <w:t>（二）对报表指标、审核公式和审核模板的设置建议。</w:t>
      </w:r>
    </w:p>
    <w:p>
      <w:pPr>
        <w:keepNext w:val="0"/>
        <w:keepLines w:val="0"/>
        <w:pageBreakBefore w:val="0"/>
        <w:widowControl w:val="0"/>
        <w:kinsoku/>
        <w:wordWrap/>
        <w:overflowPunct/>
        <w:topLinePunct w:val="0"/>
        <w:autoSpaceDE/>
        <w:autoSpaceDN/>
        <w:bidi w:val="0"/>
        <w:adjustRightInd/>
        <w:snapToGrid/>
        <w:spacing w:line="594" w:lineRule="exact"/>
        <w:ind w:firstLine="709"/>
        <w:textAlignment w:val="auto"/>
        <w:rPr>
          <w:rFonts w:hint="eastAsia" w:ascii="仿宋_GB2312" w:hAnsi="仿宋" w:eastAsia="仿宋_GB2312" w:cs="Times New Roman"/>
          <w:color w:val="auto"/>
          <w:sz w:val="32"/>
          <w:szCs w:val="32"/>
          <w:lang w:eastAsia="zh-CN"/>
        </w:rPr>
      </w:pPr>
      <w:r>
        <w:rPr>
          <w:rFonts w:hint="eastAsia" w:ascii="仿宋_GB2312" w:hAnsi="仿宋" w:eastAsia="仿宋_GB2312" w:cs="仿宋"/>
          <w:color w:val="auto"/>
          <w:sz w:val="32"/>
          <w:szCs w:val="32"/>
        </w:rPr>
        <w:t>1.对部门决算报表指标设置的建议</w:t>
      </w:r>
      <w:r>
        <w:rPr>
          <w:rFonts w:hint="eastAsia" w:ascii="仿宋_GB2312" w:hAnsi="仿宋" w:eastAsia="仿宋_GB2312" w:cs="仿宋"/>
          <w:color w:val="auto"/>
          <w:sz w:val="32"/>
          <w:szCs w:val="32"/>
          <w:lang w:eastAsia="zh-CN"/>
        </w:rPr>
        <w:t>，无。</w:t>
      </w:r>
    </w:p>
    <w:p>
      <w:pPr>
        <w:keepNext w:val="0"/>
        <w:keepLines w:val="0"/>
        <w:pageBreakBefore w:val="0"/>
        <w:widowControl w:val="0"/>
        <w:kinsoku/>
        <w:wordWrap/>
        <w:overflowPunct/>
        <w:topLinePunct w:val="0"/>
        <w:autoSpaceDE/>
        <w:autoSpaceDN/>
        <w:bidi w:val="0"/>
        <w:adjustRightInd/>
        <w:snapToGrid/>
        <w:spacing w:line="594" w:lineRule="exact"/>
        <w:ind w:firstLine="709"/>
        <w:textAlignment w:val="auto"/>
        <w:rPr>
          <w:rFonts w:hint="eastAsia" w:ascii="仿宋_GB2312" w:hAnsi="仿宋" w:eastAsia="仿宋_GB2312" w:cs="Times New Roman"/>
          <w:color w:val="auto"/>
          <w:sz w:val="32"/>
          <w:szCs w:val="32"/>
          <w:lang w:eastAsia="zh-CN"/>
        </w:rPr>
      </w:pPr>
      <w:r>
        <w:rPr>
          <w:rFonts w:hint="eastAsia" w:ascii="仿宋_GB2312" w:hAnsi="仿宋" w:eastAsia="仿宋_GB2312" w:cs="仿宋"/>
          <w:color w:val="auto"/>
          <w:sz w:val="32"/>
          <w:szCs w:val="32"/>
        </w:rPr>
        <w:t>2.如有不适用的审核公式和模板，请列出并说明修改意见</w:t>
      </w:r>
      <w:r>
        <w:rPr>
          <w:rFonts w:hint="eastAsia" w:ascii="仿宋_GB2312" w:hAnsi="仿宋" w:eastAsia="仿宋_GB2312" w:cs="仿宋"/>
          <w:color w:val="auto"/>
          <w:sz w:val="32"/>
          <w:szCs w:val="32"/>
          <w:lang w:eastAsia="zh-CN"/>
        </w:rPr>
        <w:t>，无。</w:t>
      </w:r>
    </w:p>
    <w:p>
      <w:pPr>
        <w:keepNext w:val="0"/>
        <w:keepLines w:val="0"/>
        <w:pageBreakBefore w:val="0"/>
        <w:widowControl w:val="0"/>
        <w:kinsoku/>
        <w:wordWrap/>
        <w:overflowPunct/>
        <w:topLinePunct w:val="0"/>
        <w:autoSpaceDE/>
        <w:autoSpaceDN/>
        <w:bidi w:val="0"/>
        <w:adjustRightInd/>
        <w:snapToGrid/>
        <w:spacing w:line="594" w:lineRule="exact"/>
        <w:ind w:firstLine="709"/>
        <w:textAlignment w:val="auto"/>
        <w:rPr>
          <w:rFonts w:hint="eastAsia" w:ascii="仿宋_GB2312" w:hAnsi="仿宋" w:eastAsia="仿宋_GB2312" w:cs="Times New Roman"/>
          <w:color w:val="auto"/>
          <w:sz w:val="32"/>
          <w:szCs w:val="32"/>
          <w:lang w:eastAsia="zh-CN"/>
        </w:rPr>
      </w:pPr>
      <w:r>
        <w:rPr>
          <w:rFonts w:hint="eastAsia" w:ascii="仿宋_GB2312" w:hAnsi="仿宋" w:eastAsia="仿宋_GB2312" w:cs="仿宋"/>
          <w:color w:val="auto"/>
          <w:sz w:val="32"/>
          <w:szCs w:val="32"/>
        </w:rPr>
        <w:t>3.部门自行增加的审核公式和模板，请说明设置依据</w:t>
      </w:r>
      <w:r>
        <w:rPr>
          <w:rFonts w:hint="eastAsia" w:ascii="仿宋_GB2312" w:hAnsi="仿宋" w:eastAsia="仿宋_GB2312" w:cs="仿宋"/>
          <w:color w:val="auto"/>
          <w:sz w:val="32"/>
          <w:szCs w:val="32"/>
          <w:lang w:eastAsia="zh-CN"/>
        </w:rPr>
        <w:t>，无。</w:t>
      </w:r>
    </w:p>
    <w:p>
      <w:pPr>
        <w:keepNext w:val="0"/>
        <w:keepLines w:val="0"/>
        <w:pageBreakBefore w:val="0"/>
        <w:widowControl w:val="0"/>
        <w:kinsoku/>
        <w:wordWrap/>
        <w:overflowPunct/>
        <w:topLinePunct w:val="0"/>
        <w:autoSpaceDE/>
        <w:autoSpaceDN/>
        <w:bidi w:val="0"/>
        <w:adjustRightInd/>
        <w:snapToGrid/>
        <w:spacing w:line="594" w:lineRule="exact"/>
        <w:ind w:firstLine="709"/>
        <w:textAlignment w:val="auto"/>
        <w:rPr>
          <w:rFonts w:ascii="黑体" w:hAnsi="黑体" w:eastAsia="黑体" w:cs="黑体"/>
          <w:color w:val="auto"/>
          <w:sz w:val="32"/>
          <w:szCs w:val="32"/>
        </w:rPr>
      </w:pPr>
      <w:r>
        <w:rPr>
          <w:rFonts w:hint="eastAsia" w:ascii="黑体" w:hAnsi="黑体" w:eastAsia="黑体" w:cs="黑体"/>
          <w:color w:val="auto"/>
          <w:sz w:val="32"/>
          <w:szCs w:val="32"/>
        </w:rPr>
        <w:t>五、决算数据其他需要说明的情况</w:t>
      </w:r>
    </w:p>
    <w:p>
      <w:pPr>
        <w:keepNext w:val="0"/>
        <w:keepLines w:val="0"/>
        <w:pageBreakBefore w:val="0"/>
        <w:widowControl w:val="0"/>
        <w:kinsoku/>
        <w:wordWrap/>
        <w:overflowPunct/>
        <w:topLinePunct w:val="0"/>
        <w:autoSpaceDE/>
        <w:autoSpaceDN/>
        <w:bidi w:val="0"/>
        <w:adjustRightInd/>
        <w:snapToGrid/>
        <w:spacing w:line="594" w:lineRule="exact"/>
        <w:ind w:firstLine="709"/>
        <w:textAlignment w:val="auto"/>
        <w:rPr>
          <w:rFonts w:ascii="仿宋_GB2312" w:hAnsi="仿宋" w:eastAsia="仿宋_GB2312" w:cs="仿宋"/>
          <w:color w:val="auto"/>
          <w:sz w:val="32"/>
          <w:szCs w:val="32"/>
        </w:rPr>
      </w:pPr>
      <w:r>
        <w:rPr>
          <w:rFonts w:hint="eastAsia" w:ascii="仿宋_GB2312" w:hAnsi="仿宋" w:eastAsia="仿宋_GB2312" w:cs="仿宋"/>
          <w:color w:val="auto"/>
          <w:sz w:val="32"/>
          <w:szCs w:val="32"/>
        </w:rPr>
        <w:t>1．</w:t>
      </w:r>
      <w:r>
        <w:rPr>
          <w:rFonts w:hint="eastAsia" w:ascii="仿宋_GB2312" w:hAnsi="仿宋" w:eastAsia="仿宋_GB2312" w:cs="仿宋"/>
          <w:color w:val="auto"/>
          <w:sz w:val="32"/>
          <w:szCs w:val="32"/>
          <w:lang w:eastAsia="zh-CN"/>
        </w:rPr>
        <w:t>本单位本年度</w:t>
      </w:r>
      <w:r>
        <w:rPr>
          <w:rFonts w:hint="eastAsia" w:ascii="仿宋_GB2312" w:hAnsi="仿宋" w:eastAsia="仿宋_GB2312" w:cs="仿宋"/>
          <w:color w:val="auto"/>
          <w:sz w:val="32"/>
          <w:szCs w:val="32"/>
        </w:rPr>
        <w:t>“收入决算表”中</w:t>
      </w:r>
      <w:r>
        <w:rPr>
          <w:rFonts w:hint="eastAsia" w:ascii="仿宋_GB2312" w:hAnsi="仿宋" w:eastAsia="仿宋_GB2312" w:cs="仿宋"/>
          <w:color w:val="auto"/>
          <w:sz w:val="32"/>
          <w:szCs w:val="32"/>
          <w:lang w:eastAsia="zh-CN"/>
        </w:rPr>
        <w:t>没有</w:t>
      </w:r>
      <w:r>
        <w:rPr>
          <w:rFonts w:hint="eastAsia" w:ascii="仿宋_GB2312" w:hAnsi="仿宋" w:eastAsia="仿宋_GB2312" w:cs="仿宋"/>
          <w:color w:val="auto"/>
          <w:spacing w:val="6"/>
          <w:sz w:val="32"/>
          <w:szCs w:val="32"/>
        </w:rPr>
        <w:t>其他收入</w:t>
      </w:r>
      <w:r>
        <w:rPr>
          <w:rFonts w:hint="eastAsia" w:ascii="仿宋_GB2312" w:hAnsi="仿宋" w:eastAsia="仿宋_GB2312" w:cs="仿宋"/>
          <w:color w:val="auto"/>
          <w:sz w:val="32"/>
          <w:szCs w:val="32"/>
        </w:rPr>
        <w:t>。</w:t>
      </w:r>
    </w:p>
    <w:p>
      <w:pPr>
        <w:keepNext w:val="0"/>
        <w:keepLines w:val="0"/>
        <w:pageBreakBefore w:val="0"/>
        <w:widowControl w:val="0"/>
        <w:kinsoku/>
        <w:wordWrap/>
        <w:overflowPunct/>
        <w:topLinePunct w:val="0"/>
        <w:autoSpaceDE/>
        <w:autoSpaceDN/>
        <w:bidi w:val="0"/>
        <w:adjustRightInd/>
        <w:snapToGrid/>
        <w:spacing w:line="594" w:lineRule="exact"/>
        <w:ind w:firstLine="709"/>
        <w:textAlignment w:val="auto"/>
        <w:rPr>
          <w:rFonts w:ascii="仿宋_GB2312" w:hAnsi="仿宋" w:eastAsia="仿宋_GB2312" w:cs="仿宋"/>
          <w:color w:val="auto"/>
          <w:sz w:val="32"/>
          <w:szCs w:val="32"/>
        </w:rPr>
      </w:pPr>
      <w:r>
        <w:rPr>
          <w:rFonts w:hint="eastAsia" w:ascii="仿宋_GB2312" w:hAnsi="仿宋" w:eastAsia="仿宋_GB2312" w:cs="仿宋"/>
          <w:color w:val="auto"/>
          <w:sz w:val="32"/>
          <w:szCs w:val="32"/>
        </w:rPr>
        <w:t>2</w:t>
      </w:r>
      <w:r>
        <w:rPr>
          <w:rFonts w:hint="eastAsia" w:ascii="仿宋_GB2312" w:hAnsi="仿宋" w:eastAsia="仿宋_GB2312" w:cs="仿宋"/>
          <w:color w:val="auto"/>
          <w:sz w:val="32"/>
          <w:szCs w:val="32"/>
        </w:rPr>
        <w:t>．</w:t>
      </w:r>
      <w:r>
        <w:rPr>
          <w:rFonts w:hint="eastAsia" w:ascii="仿宋_GB2312" w:hAnsi="仿宋" w:eastAsia="仿宋_GB2312" w:cs="仿宋"/>
          <w:color w:val="auto"/>
          <w:sz w:val="32"/>
          <w:szCs w:val="32"/>
          <w:lang w:eastAsia="zh-CN"/>
        </w:rPr>
        <w:t>本单位本年度无</w:t>
      </w:r>
      <w:r>
        <w:rPr>
          <w:rFonts w:hint="eastAsia" w:ascii="仿宋_GB2312" w:hAnsi="仿宋" w:eastAsia="仿宋_GB2312" w:cs="仿宋"/>
          <w:color w:val="auto"/>
          <w:sz w:val="32"/>
          <w:szCs w:val="32"/>
        </w:rPr>
        <w:t>年末结余分配。</w:t>
      </w:r>
    </w:p>
    <w:p>
      <w:pPr>
        <w:keepNext w:val="0"/>
        <w:keepLines w:val="0"/>
        <w:pageBreakBefore w:val="0"/>
        <w:widowControl w:val="0"/>
        <w:kinsoku/>
        <w:wordWrap/>
        <w:overflowPunct/>
        <w:topLinePunct w:val="0"/>
        <w:autoSpaceDE/>
        <w:autoSpaceDN/>
        <w:bidi w:val="0"/>
        <w:adjustRightInd/>
        <w:snapToGrid/>
        <w:spacing w:line="594" w:lineRule="exact"/>
        <w:ind w:firstLine="709"/>
        <w:textAlignment w:val="auto"/>
        <w:rPr>
          <w:rFonts w:ascii="仿宋_GB2312" w:hAnsi="仿宋" w:eastAsia="仿宋_GB2312" w:cs="仿宋"/>
          <w:color w:val="auto"/>
          <w:sz w:val="32"/>
          <w:szCs w:val="32"/>
        </w:rPr>
      </w:pPr>
      <w:r>
        <w:rPr>
          <w:rFonts w:hint="eastAsia" w:ascii="仿宋_GB2312" w:hAnsi="仿宋" w:eastAsia="仿宋_GB2312" w:cs="仿宋"/>
          <w:color w:val="auto"/>
          <w:sz w:val="32"/>
          <w:szCs w:val="32"/>
        </w:rPr>
        <w:t>3</w:t>
      </w:r>
      <w:r>
        <w:rPr>
          <w:rFonts w:hint="eastAsia" w:ascii="仿宋_GB2312" w:hAnsi="仿宋" w:eastAsia="仿宋_GB2312" w:cs="仿宋"/>
          <w:color w:val="auto"/>
          <w:sz w:val="32"/>
          <w:szCs w:val="32"/>
        </w:rPr>
        <w:t>．</w:t>
      </w:r>
      <w:r>
        <w:rPr>
          <w:rFonts w:hint="eastAsia" w:ascii="仿宋_GB2312" w:hAnsi="仿宋" w:eastAsia="仿宋_GB2312" w:cs="仿宋"/>
          <w:color w:val="auto"/>
          <w:sz w:val="32"/>
          <w:szCs w:val="32"/>
          <w:lang w:eastAsia="zh-CN"/>
        </w:rPr>
        <w:t>本单位本年度</w:t>
      </w:r>
      <w:r>
        <w:rPr>
          <w:rFonts w:hint="eastAsia" w:ascii="仿宋_GB2312" w:hAnsi="仿宋" w:eastAsia="仿宋_GB2312" w:cs="仿宋"/>
          <w:color w:val="auto"/>
          <w:sz w:val="32"/>
          <w:szCs w:val="32"/>
        </w:rPr>
        <w:t>年末结转和结余</w:t>
      </w:r>
      <w:r>
        <w:rPr>
          <w:rFonts w:hint="eastAsia" w:ascii="仿宋_GB2312" w:hAnsi="仿宋" w:eastAsia="仿宋_GB2312" w:cs="仿宋"/>
          <w:color w:val="auto"/>
          <w:sz w:val="32"/>
          <w:szCs w:val="32"/>
          <w:lang w:eastAsia="zh-CN"/>
        </w:rPr>
        <w:t>没有</w:t>
      </w:r>
      <w:r>
        <w:rPr>
          <w:rFonts w:hint="eastAsia" w:ascii="仿宋_GB2312" w:hAnsi="仿宋" w:eastAsia="仿宋_GB2312" w:cs="仿宋"/>
          <w:color w:val="auto"/>
          <w:sz w:val="32"/>
          <w:szCs w:val="32"/>
        </w:rPr>
        <w:t>为负数的情况。</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ascii="仿宋_GB2312" w:hAnsi="仿宋" w:eastAsia="仿宋_GB2312" w:cs="仿宋"/>
          <w:color w:val="auto"/>
          <w:sz w:val="32"/>
          <w:szCs w:val="32"/>
        </w:rPr>
      </w:pPr>
      <w:r>
        <w:rPr>
          <w:rFonts w:hint="eastAsia" w:ascii="仿宋_GB2312" w:hAnsi="仿宋" w:eastAsia="仿宋_GB2312" w:cs="仿宋"/>
          <w:color w:val="auto"/>
          <w:sz w:val="32"/>
          <w:szCs w:val="32"/>
        </w:rPr>
        <w:t>4．</w:t>
      </w:r>
      <w:r>
        <w:rPr>
          <w:rFonts w:hint="eastAsia" w:ascii="仿宋_GB2312" w:hAnsi="仿宋" w:eastAsia="仿宋_GB2312" w:cs="仿宋"/>
          <w:bCs/>
          <w:color w:val="auto"/>
          <w:sz w:val="32"/>
          <w:szCs w:val="32"/>
        </w:rPr>
        <w:t>本单位本年度“项目支出决算明细表”中没有列支“工资福利支出”的情况，列支“对个人和家庭的补助”主要</w:t>
      </w:r>
      <w:r>
        <w:rPr>
          <w:rFonts w:hint="eastAsia" w:ascii="仿宋_GB2312" w:hAnsi="仿宋_GB2312" w:eastAsia="仿宋_GB2312" w:cs="仿宋_GB2312"/>
          <w:color w:val="auto"/>
          <w:sz w:val="32"/>
          <w:szCs w:val="32"/>
          <w:lang w:eastAsia="zh-CN"/>
        </w:rPr>
        <w:t>是</w:t>
      </w:r>
      <w:r>
        <w:rPr>
          <w:rFonts w:hint="eastAsia" w:ascii="仿宋_GB2312" w:hAnsi="仿宋_GB2312" w:eastAsia="仿宋_GB2312" w:cs="仿宋_GB2312"/>
          <w:color w:val="auto"/>
          <w:sz w:val="32"/>
          <w:szCs w:val="32"/>
        </w:rPr>
        <w:t>用于困难群众临时救助，优抚对象生活补助及医疗救助，自然灾害、襄渝伤残人员补助、</w:t>
      </w:r>
      <w:r>
        <w:rPr>
          <w:rFonts w:hint="eastAsia" w:ascii="仿宋_GB2312" w:hAnsi="仿宋_GB2312" w:eastAsia="仿宋_GB2312" w:cs="仿宋_GB2312"/>
          <w:color w:val="auto"/>
          <w:sz w:val="32"/>
          <w:szCs w:val="32"/>
          <w:lang w:eastAsia="zh-CN"/>
        </w:rPr>
        <w:t>老党员补助、高龄津贴、</w:t>
      </w:r>
      <w:r>
        <w:rPr>
          <w:rFonts w:hint="eastAsia" w:ascii="仿宋_GB2312" w:hAnsi="仿宋_GB2312" w:eastAsia="仿宋_GB2312" w:cs="仿宋_GB2312"/>
          <w:color w:val="auto"/>
          <w:sz w:val="32"/>
          <w:szCs w:val="32"/>
          <w:lang w:val="en-US" w:eastAsia="zh-CN"/>
        </w:rPr>
        <w:t>CD级危房改造、农业生产补贴</w:t>
      </w:r>
      <w:r>
        <w:rPr>
          <w:rFonts w:hint="eastAsia" w:ascii="仿宋_GB2312" w:hAnsi="仿宋_GB2312" w:eastAsia="仿宋_GB2312" w:cs="仿宋_GB2312"/>
          <w:color w:val="auto"/>
          <w:sz w:val="32"/>
          <w:szCs w:val="32"/>
        </w:rPr>
        <w:t>等</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94" w:lineRule="exact"/>
        <w:ind w:firstLine="709"/>
        <w:textAlignment w:val="auto"/>
        <w:rPr>
          <w:rFonts w:hint="eastAsia" w:ascii="仿宋_GB2312" w:hAnsi="仿宋" w:eastAsia="仿宋_GB2312" w:cs="仿宋"/>
          <w:color w:val="auto"/>
          <w:sz w:val="32"/>
          <w:szCs w:val="32"/>
          <w:lang w:eastAsia="zh-CN"/>
        </w:rPr>
      </w:pPr>
      <w:r>
        <w:rPr>
          <w:rFonts w:ascii="仿宋_GB2312" w:hAnsi="仿宋" w:eastAsia="仿宋_GB2312" w:cs="仿宋"/>
          <w:color w:val="auto"/>
          <w:sz w:val="32"/>
          <w:szCs w:val="32"/>
        </w:rPr>
        <w:t>5.</w:t>
      </w:r>
      <w:r>
        <w:rPr>
          <w:rFonts w:hint="eastAsia" w:ascii="仿宋_GB2312" w:hAnsi="仿宋" w:eastAsia="仿宋_GB2312" w:cs="仿宋"/>
          <w:color w:val="auto"/>
          <w:sz w:val="32"/>
          <w:szCs w:val="32"/>
        </w:rPr>
        <w:t xml:space="preserve"> </w:t>
      </w:r>
      <w:r>
        <w:rPr>
          <w:rFonts w:hint="eastAsia" w:ascii="仿宋_GB2312" w:hAnsi="仿宋" w:eastAsia="仿宋_GB2312" w:cs="仿宋"/>
          <w:color w:val="auto"/>
          <w:sz w:val="32"/>
          <w:szCs w:val="32"/>
          <w:lang w:eastAsia="zh-CN"/>
        </w:rPr>
        <w:t>本单位本年度</w:t>
      </w:r>
      <w:r>
        <w:rPr>
          <w:rFonts w:hint="eastAsia" w:ascii="仿宋_GB2312" w:hAnsi="仿宋" w:eastAsia="仿宋_GB2312" w:cs="仿宋"/>
          <w:color w:val="auto"/>
          <w:sz w:val="32"/>
          <w:szCs w:val="32"/>
        </w:rPr>
        <w:t>“支出明细表”中“其他工资福利支出”的开支情况</w:t>
      </w:r>
      <w:r>
        <w:rPr>
          <w:rFonts w:hint="eastAsia" w:ascii="仿宋_GB2312" w:hAnsi="仿宋" w:eastAsia="仿宋_GB2312" w:cs="仿宋"/>
          <w:color w:val="auto"/>
          <w:sz w:val="32"/>
          <w:szCs w:val="32"/>
          <w:lang w:eastAsia="zh-CN"/>
        </w:rPr>
        <w:t>如下：</w:t>
      </w:r>
    </w:p>
    <w:p>
      <w:pPr>
        <w:keepNext w:val="0"/>
        <w:keepLines w:val="0"/>
        <w:pageBreakBefore w:val="0"/>
        <w:widowControl w:val="0"/>
        <w:kinsoku/>
        <w:wordWrap/>
        <w:overflowPunct/>
        <w:topLinePunct w:val="0"/>
        <w:autoSpaceDE/>
        <w:autoSpaceDN/>
        <w:bidi w:val="0"/>
        <w:adjustRightInd/>
        <w:snapToGrid/>
        <w:spacing w:line="594" w:lineRule="exact"/>
        <w:ind w:firstLine="709"/>
        <w:textAlignment w:val="auto"/>
        <w:rPr>
          <w:rFonts w:hint="default" w:ascii="仿宋_GB2312" w:hAnsi="仿宋" w:eastAsia="仿宋_GB2312" w:cs="仿宋"/>
          <w:color w:val="auto"/>
          <w:sz w:val="32"/>
          <w:szCs w:val="32"/>
          <w:lang w:val="en-US" w:eastAsia="zh-CN"/>
        </w:rPr>
      </w:pPr>
      <w:r>
        <w:rPr>
          <w:rFonts w:hint="eastAsia" w:ascii="仿宋_GB2312" w:hAnsi="仿宋" w:eastAsia="仿宋_GB2312" w:cs="仿宋"/>
          <w:color w:val="auto"/>
          <w:sz w:val="32"/>
          <w:szCs w:val="32"/>
          <w:lang w:eastAsia="zh-CN"/>
        </w:rPr>
        <w:t>行政单位：平时考核406290元，公休假168934元，聘用人员380000元，共计</w:t>
      </w:r>
      <w:r>
        <w:rPr>
          <w:rFonts w:hint="eastAsia" w:ascii="仿宋_GB2312" w:hAnsi="仿宋" w:eastAsia="仿宋_GB2312" w:cs="仿宋"/>
          <w:color w:val="auto"/>
          <w:sz w:val="32"/>
          <w:szCs w:val="32"/>
          <w:lang w:val="en-US" w:eastAsia="zh-CN"/>
        </w:rPr>
        <w:t>955224元；</w:t>
      </w:r>
    </w:p>
    <w:p>
      <w:pPr>
        <w:keepNext w:val="0"/>
        <w:keepLines w:val="0"/>
        <w:pageBreakBefore w:val="0"/>
        <w:widowControl w:val="0"/>
        <w:kinsoku/>
        <w:wordWrap/>
        <w:overflowPunct/>
        <w:topLinePunct w:val="0"/>
        <w:autoSpaceDE/>
        <w:autoSpaceDN/>
        <w:bidi w:val="0"/>
        <w:adjustRightInd/>
        <w:snapToGrid/>
        <w:spacing w:line="594" w:lineRule="exact"/>
        <w:ind w:firstLine="709"/>
        <w:textAlignment w:val="auto"/>
        <w:rPr>
          <w:rFonts w:hint="default" w:ascii="仿宋_GB2312" w:hAnsi="仿宋" w:eastAsia="仿宋_GB2312" w:cs="仿宋"/>
          <w:color w:val="auto"/>
          <w:sz w:val="32"/>
          <w:szCs w:val="32"/>
          <w:lang w:val="en-US"/>
        </w:rPr>
      </w:pPr>
      <w:r>
        <w:rPr>
          <w:rFonts w:hint="eastAsia" w:ascii="仿宋_GB2312" w:hAnsi="仿宋" w:eastAsia="仿宋_GB2312" w:cs="仿宋"/>
          <w:color w:val="auto"/>
          <w:sz w:val="32"/>
          <w:szCs w:val="32"/>
          <w:lang w:eastAsia="zh-CN"/>
        </w:rPr>
        <w:t>事业单位的公休假：农服中心126143元，文化站7210元，社保所36257元，退役军人事务站9224元，综合执法队11319元，共计</w:t>
      </w:r>
      <w:r>
        <w:rPr>
          <w:rFonts w:hint="eastAsia" w:ascii="仿宋_GB2312" w:hAnsi="仿宋" w:eastAsia="仿宋_GB2312" w:cs="仿宋"/>
          <w:color w:val="auto"/>
          <w:sz w:val="32"/>
          <w:szCs w:val="32"/>
          <w:lang w:val="en-US" w:eastAsia="zh-CN"/>
        </w:rPr>
        <w:t>190153元。</w:t>
      </w:r>
    </w:p>
    <w:p>
      <w:pPr>
        <w:keepNext w:val="0"/>
        <w:keepLines w:val="0"/>
        <w:pageBreakBefore w:val="0"/>
        <w:widowControl w:val="0"/>
        <w:kinsoku/>
        <w:wordWrap/>
        <w:overflowPunct/>
        <w:topLinePunct w:val="0"/>
        <w:autoSpaceDE/>
        <w:autoSpaceDN/>
        <w:bidi w:val="0"/>
        <w:adjustRightInd/>
        <w:snapToGrid/>
        <w:spacing w:line="594" w:lineRule="exact"/>
        <w:ind w:firstLine="709"/>
        <w:textAlignment w:val="auto"/>
        <w:rPr>
          <w:rFonts w:ascii="仿宋_GB2312" w:hAnsi="仿宋" w:eastAsia="仿宋_GB2312" w:cs="仿宋"/>
          <w:color w:val="auto"/>
          <w:sz w:val="32"/>
          <w:szCs w:val="32"/>
        </w:rPr>
      </w:pPr>
      <w:r>
        <w:rPr>
          <w:rFonts w:hint="eastAsia" w:ascii="仿宋_GB2312" w:hAnsi="仿宋" w:eastAsia="仿宋_GB2312" w:cs="仿宋"/>
          <w:color w:val="auto"/>
          <w:sz w:val="32"/>
          <w:szCs w:val="32"/>
        </w:rPr>
        <w:t>6</w:t>
      </w:r>
      <w:r>
        <w:rPr>
          <w:rFonts w:ascii="仿宋_GB2312" w:hAnsi="仿宋" w:eastAsia="仿宋_GB2312" w:cs="仿宋"/>
          <w:color w:val="auto"/>
          <w:sz w:val="32"/>
          <w:szCs w:val="32"/>
        </w:rPr>
        <w:t>.</w:t>
      </w:r>
      <w:r>
        <w:rPr>
          <w:rFonts w:hint="eastAsia" w:ascii="仿宋_GB2312" w:hAnsi="仿宋" w:eastAsia="仿宋_GB2312" w:cs="仿宋"/>
          <w:color w:val="auto"/>
          <w:sz w:val="32"/>
          <w:szCs w:val="32"/>
        </w:rPr>
        <w:t>“支出决算明细表”中，本部门</w:t>
      </w:r>
      <w:r>
        <w:rPr>
          <w:rFonts w:hint="eastAsia" w:ascii="仿宋_GB2312" w:hAnsi="仿宋" w:eastAsia="仿宋_GB2312" w:cs="仿宋"/>
          <w:color w:val="auto"/>
          <w:sz w:val="32"/>
          <w:szCs w:val="32"/>
          <w:lang w:eastAsia="zh-CN"/>
        </w:rPr>
        <w:t>无</w:t>
      </w:r>
      <w:r>
        <w:rPr>
          <w:rFonts w:hint="eastAsia" w:ascii="仿宋_GB2312" w:hAnsi="仿宋" w:eastAsia="仿宋_GB2312" w:cs="仿宋"/>
          <w:color w:val="auto"/>
          <w:sz w:val="32"/>
          <w:szCs w:val="32"/>
        </w:rPr>
        <w:t>转拨附属单位或者非本级预算单位的经费支出。</w:t>
      </w:r>
    </w:p>
    <w:p>
      <w:pPr>
        <w:keepNext w:val="0"/>
        <w:keepLines w:val="0"/>
        <w:pageBreakBefore w:val="0"/>
        <w:widowControl w:val="0"/>
        <w:kinsoku/>
        <w:wordWrap/>
        <w:overflowPunct/>
        <w:topLinePunct w:val="0"/>
        <w:autoSpaceDE/>
        <w:autoSpaceDN/>
        <w:bidi w:val="0"/>
        <w:adjustRightInd/>
        <w:snapToGrid/>
        <w:spacing w:line="594" w:lineRule="exact"/>
        <w:ind w:firstLine="709"/>
        <w:textAlignment w:val="auto"/>
        <w:rPr>
          <w:rFonts w:ascii="仿宋_GB2312" w:hAnsi="仿宋" w:eastAsia="仿宋_GB2312" w:cs="Times New Roman"/>
          <w:color w:val="auto"/>
          <w:sz w:val="32"/>
          <w:szCs w:val="32"/>
        </w:rPr>
      </w:pPr>
      <w:r>
        <w:rPr>
          <w:rFonts w:ascii="仿宋_GB2312" w:hAnsi="仿宋" w:eastAsia="仿宋_GB2312" w:cs="仿宋"/>
          <w:color w:val="auto"/>
          <w:sz w:val="32"/>
          <w:szCs w:val="32"/>
        </w:rPr>
        <w:t>7</w:t>
      </w:r>
      <w:r>
        <w:rPr>
          <w:rFonts w:hint="eastAsia" w:ascii="仿宋_GB2312" w:hAnsi="仿宋" w:eastAsia="仿宋_GB2312" w:cs="仿宋"/>
          <w:color w:val="auto"/>
          <w:sz w:val="32"/>
          <w:szCs w:val="32"/>
        </w:rPr>
        <w:t>.</w:t>
      </w:r>
      <w:r>
        <w:rPr>
          <w:rFonts w:hint="eastAsia" w:ascii="仿宋_GB2312" w:hAnsi="仿宋" w:eastAsia="仿宋_GB2312" w:cs="仿宋"/>
          <w:color w:val="auto"/>
          <w:sz w:val="32"/>
          <w:szCs w:val="32"/>
          <w:lang w:eastAsia="zh-CN"/>
        </w:rPr>
        <w:t>本单位本年度</w:t>
      </w:r>
      <w:r>
        <w:rPr>
          <w:rFonts w:hint="eastAsia" w:ascii="仿宋_GB2312" w:hAnsi="仿宋" w:eastAsia="仿宋_GB2312" w:cs="仿宋"/>
          <w:color w:val="auto"/>
          <w:sz w:val="32"/>
          <w:szCs w:val="32"/>
        </w:rPr>
        <w:t>“三公”经费总额44</w:t>
      </w:r>
      <w:r>
        <w:rPr>
          <w:rFonts w:hint="eastAsia" w:ascii="仿宋_GB2312" w:hAnsi="仿宋" w:eastAsia="仿宋_GB2312" w:cs="仿宋"/>
          <w:color w:val="auto"/>
          <w:sz w:val="32"/>
          <w:szCs w:val="32"/>
          <w:lang w:val="en-US" w:eastAsia="zh-CN"/>
        </w:rPr>
        <w:t>.</w:t>
      </w:r>
      <w:r>
        <w:rPr>
          <w:rFonts w:hint="eastAsia" w:ascii="仿宋_GB2312" w:hAnsi="仿宋" w:eastAsia="仿宋_GB2312" w:cs="仿宋"/>
          <w:color w:val="auto"/>
          <w:sz w:val="32"/>
          <w:szCs w:val="32"/>
        </w:rPr>
        <w:t>53</w:t>
      </w:r>
      <w:r>
        <w:rPr>
          <w:rFonts w:hint="eastAsia" w:ascii="仿宋_GB2312" w:hAnsi="仿宋" w:eastAsia="仿宋_GB2312" w:cs="仿宋"/>
          <w:color w:val="auto"/>
          <w:sz w:val="32"/>
          <w:szCs w:val="32"/>
          <w:lang w:val="en-US" w:eastAsia="zh-CN"/>
        </w:rPr>
        <w:t>万元，同期增长3.34%，增长原因：因2019年机构改革，</w:t>
      </w:r>
      <w:r>
        <w:rPr>
          <w:rFonts w:hint="eastAsia" w:ascii="仿宋_GB2312" w:hAnsi="仿宋" w:eastAsia="仿宋_GB2312" w:cs="仿宋"/>
          <w:color w:val="auto"/>
          <w:sz w:val="32"/>
          <w:szCs w:val="32"/>
          <w:lang w:val="en-US" w:eastAsia="zh-CN"/>
        </w:rPr>
        <w:t>原县级上挂部门“水管所和畜牧站”人员编制下移乡镇，导致“三公”经费同比增大；但</w:t>
      </w:r>
      <w:r>
        <w:rPr>
          <w:rFonts w:hint="eastAsia" w:ascii="仿宋_GB2312" w:hAnsi="仿宋" w:eastAsia="仿宋_GB2312" w:cs="仿宋"/>
          <w:color w:val="auto"/>
          <w:sz w:val="32"/>
          <w:szCs w:val="32"/>
          <w:lang w:val="en-US" w:eastAsia="zh-CN"/>
        </w:rPr>
        <w:t>与年初预算数相比，少1.47万元。在</w:t>
      </w:r>
      <w:r>
        <w:rPr>
          <w:rFonts w:hint="eastAsia" w:ascii="仿宋_GB2312" w:hAnsi="仿宋" w:eastAsia="仿宋_GB2312" w:cs="仿宋"/>
          <w:color w:val="auto"/>
          <w:sz w:val="32"/>
          <w:szCs w:val="32"/>
        </w:rPr>
        <w:t>“三公”经费</w:t>
      </w:r>
      <w:r>
        <w:rPr>
          <w:rFonts w:hint="eastAsia" w:ascii="仿宋_GB2312" w:hAnsi="仿宋" w:eastAsia="仿宋_GB2312" w:cs="仿宋"/>
          <w:color w:val="auto"/>
          <w:sz w:val="32"/>
          <w:szCs w:val="32"/>
          <w:lang w:eastAsia="zh-CN"/>
        </w:rPr>
        <w:t>支出中</w:t>
      </w:r>
      <w:r>
        <w:rPr>
          <w:rFonts w:hint="eastAsia" w:ascii="仿宋_GB2312" w:hAnsi="仿宋" w:eastAsia="仿宋_GB2312" w:cs="仿宋"/>
          <w:color w:val="auto"/>
          <w:sz w:val="32"/>
          <w:szCs w:val="32"/>
          <w:lang w:val="en-US" w:eastAsia="zh-CN"/>
        </w:rPr>
        <w:t>，公务车运行维护费18.6万元，同期增长10.32%，因新增一台洒水车及垃圾清运车，费用开支增加；与年初预算数相比，少1.4万元；公务接待费25.93万元，同期减少1.14%；与年初预算数相比，少0.07万元。现本单位</w:t>
      </w:r>
      <w:r>
        <w:rPr>
          <w:rFonts w:hint="eastAsia" w:ascii="仿宋_GB2312" w:hAnsi="仿宋" w:eastAsia="仿宋_GB2312" w:cs="仿宋"/>
          <w:color w:val="auto"/>
          <w:sz w:val="32"/>
          <w:szCs w:val="32"/>
        </w:rPr>
        <w:t>公务车保有量</w:t>
      </w:r>
      <w:r>
        <w:rPr>
          <w:rFonts w:hint="eastAsia" w:ascii="仿宋_GB2312" w:hAnsi="仿宋" w:eastAsia="仿宋_GB2312" w:cs="仿宋"/>
          <w:color w:val="auto"/>
          <w:sz w:val="32"/>
          <w:szCs w:val="32"/>
          <w:lang w:val="en-US" w:eastAsia="zh-CN"/>
        </w:rPr>
        <w:t>4辆</w:t>
      </w:r>
      <w:r>
        <w:rPr>
          <w:rFonts w:hint="eastAsia" w:ascii="仿宋_GB2312" w:hAnsi="仿宋" w:eastAsia="仿宋_GB2312" w:cs="仿宋"/>
          <w:color w:val="auto"/>
          <w:sz w:val="32"/>
          <w:szCs w:val="32"/>
          <w:lang w:eastAsia="zh-CN"/>
        </w:rPr>
        <w:t>，</w:t>
      </w:r>
      <w:r>
        <w:rPr>
          <w:rFonts w:hint="eastAsia" w:ascii="仿宋_GB2312" w:hAnsi="仿宋" w:eastAsia="仿宋_GB2312" w:cs="仿宋"/>
          <w:color w:val="auto"/>
          <w:sz w:val="32"/>
          <w:szCs w:val="32"/>
        </w:rPr>
        <w:t>公务接待</w:t>
      </w:r>
      <w:r>
        <w:rPr>
          <w:rFonts w:hint="eastAsia" w:ascii="仿宋_GB2312" w:hAnsi="仿宋" w:eastAsia="仿宋_GB2312" w:cs="仿宋"/>
          <w:color w:val="auto"/>
          <w:sz w:val="32"/>
          <w:szCs w:val="32"/>
          <w:lang w:val="en-US" w:eastAsia="zh-CN"/>
        </w:rPr>
        <w:t>207</w:t>
      </w:r>
      <w:r>
        <w:rPr>
          <w:rFonts w:hint="eastAsia" w:ascii="仿宋_GB2312" w:hAnsi="仿宋" w:eastAsia="仿宋_GB2312" w:cs="仿宋"/>
          <w:color w:val="auto"/>
          <w:sz w:val="32"/>
          <w:szCs w:val="32"/>
        </w:rPr>
        <w:t>批次</w:t>
      </w:r>
      <w:r>
        <w:rPr>
          <w:rFonts w:hint="eastAsia" w:ascii="仿宋_GB2312" w:hAnsi="仿宋" w:eastAsia="仿宋_GB2312" w:cs="仿宋"/>
          <w:color w:val="auto"/>
          <w:sz w:val="32"/>
          <w:szCs w:val="32"/>
          <w:lang w:eastAsia="zh-CN"/>
        </w:rPr>
        <w:t>共计</w:t>
      </w:r>
      <w:r>
        <w:rPr>
          <w:rFonts w:hint="eastAsia" w:ascii="仿宋_GB2312" w:hAnsi="仿宋" w:eastAsia="仿宋_GB2312" w:cs="仿宋"/>
          <w:color w:val="auto"/>
          <w:sz w:val="32"/>
          <w:szCs w:val="32"/>
          <w:lang w:val="en-US" w:eastAsia="zh-CN"/>
        </w:rPr>
        <w:t>2796人次</w:t>
      </w:r>
      <w:r>
        <w:rPr>
          <w:rFonts w:hint="eastAsia" w:ascii="仿宋_GB2312" w:hAnsi="仿宋" w:eastAsia="仿宋_GB2312" w:cs="仿宋"/>
          <w:color w:val="auto"/>
          <w:sz w:val="32"/>
          <w:szCs w:val="32"/>
          <w:lang w:eastAsia="zh-CN"/>
        </w:rPr>
        <w:t>，</w:t>
      </w:r>
      <w:r>
        <w:rPr>
          <w:rFonts w:hint="eastAsia" w:ascii="仿宋_GB2312" w:hAnsi="仿宋" w:eastAsia="仿宋_GB2312" w:cs="仿宋"/>
          <w:color w:val="auto"/>
          <w:sz w:val="32"/>
          <w:szCs w:val="32"/>
          <w:lang w:eastAsia="zh-CN"/>
        </w:rPr>
        <w:t>无</w:t>
      </w:r>
      <w:r>
        <w:rPr>
          <w:rFonts w:hint="eastAsia" w:ascii="仿宋_GB2312" w:hAnsi="仿宋" w:eastAsia="仿宋_GB2312" w:cs="仿宋"/>
          <w:color w:val="auto"/>
          <w:sz w:val="32"/>
          <w:szCs w:val="32"/>
        </w:rPr>
        <w:t>因公出国（</w:t>
      </w:r>
      <w:r>
        <w:rPr>
          <w:rFonts w:hint="eastAsia" w:ascii="仿宋_GB2312" w:hAnsi="仿宋" w:eastAsia="仿宋_GB2312" w:cs="仿宋"/>
          <w:color w:val="auto"/>
          <w:sz w:val="32"/>
          <w:szCs w:val="32"/>
        </w:rPr>
        <w:t>境）</w:t>
      </w:r>
      <w:r>
        <w:rPr>
          <w:rFonts w:hint="eastAsia" w:ascii="仿宋_GB2312" w:hAnsi="仿宋" w:eastAsia="仿宋_GB2312" w:cs="仿宋"/>
          <w:color w:val="auto"/>
          <w:sz w:val="32"/>
          <w:szCs w:val="32"/>
          <w:lang w:eastAsia="zh-CN"/>
        </w:rPr>
        <w:t>费用开支</w:t>
      </w:r>
      <w:r>
        <w:rPr>
          <w:rFonts w:hint="eastAsia" w:ascii="仿宋_GB2312" w:hAnsi="仿宋" w:eastAsia="仿宋_GB2312" w:cs="仿宋"/>
          <w:color w:val="auto"/>
          <w:sz w:val="32"/>
          <w:szCs w:val="32"/>
        </w:rPr>
        <w:t>。</w:t>
      </w:r>
    </w:p>
    <w:p>
      <w:pPr>
        <w:keepNext w:val="0"/>
        <w:keepLines w:val="0"/>
        <w:pageBreakBefore w:val="0"/>
        <w:widowControl w:val="0"/>
        <w:kinsoku/>
        <w:wordWrap/>
        <w:overflowPunct/>
        <w:topLinePunct w:val="0"/>
        <w:autoSpaceDE/>
        <w:autoSpaceDN/>
        <w:bidi w:val="0"/>
        <w:adjustRightInd/>
        <w:snapToGrid/>
        <w:spacing w:line="594" w:lineRule="exact"/>
        <w:ind w:firstLine="709"/>
        <w:textAlignment w:val="auto"/>
        <w:rPr>
          <w:rFonts w:hint="eastAsia" w:ascii="仿宋_GB2312" w:hAnsi="仿宋" w:eastAsia="仿宋_GB2312" w:cs="仿宋"/>
          <w:bCs/>
          <w:color w:val="auto"/>
          <w:sz w:val="32"/>
          <w:szCs w:val="32"/>
        </w:rPr>
      </w:pPr>
      <w:r>
        <w:rPr>
          <w:rFonts w:ascii="仿宋_GB2312" w:hAnsi="仿宋" w:eastAsia="仿宋_GB2312" w:cs="仿宋"/>
          <w:bCs/>
          <w:color w:val="auto"/>
          <w:sz w:val="32"/>
          <w:szCs w:val="32"/>
        </w:rPr>
        <w:t>8</w:t>
      </w:r>
      <w:r>
        <w:rPr>
          <w:rFonts w:hint="eastAsia" w:ascii="仿宋_GB2312" w:hAnsi="仿宋" w:eastAsia="仿宋_GB2312" w:cs="仿宋"/>
          <w:bCs/>
          <w:color w:val="auto"/>
          <w:sz w:val="32"/>
          <w:szCs w:val="32"/>
        </w:rPr>
        <w:t>.</w:t>
      </w:r>
      <w:r>
        <w:rPr>
          <w:rFonts w:hint="eastAsia" w:ascii="仿宋_GB2312" w:hAnsi="仿宋" w:eastAsia="仿宋_GB2312" w:cs="仿宋"/>
          <w:bCs/>
          <w:color w:val="auto"/>
          <w:sz w:val="32"/>
          <w:szCs w:val="32"/>
          <w:lang w:eastAsia="zh-CN"/>
        </w:rPr>
        <w:t>本单位本年度</w:t>
      </w:r>
      <w:r>
        <w:rPr>
          <w:rFonts w:hint="eastAsia" w:ascii="仿宋_GB2312" w:hAnsi="仿宋" w:eastAsia="仿宋_GB2312" w:cs="仿宋"/>
          <w:bCs/>
          <w:color w:val="auto"/>
          <w:sz w:val="32"/>
          <w:szCs w:val="32"/>
        </w:rPr>
        <w:t>机关运行经费</w:t>
      </w:r>
      <w:r>
        <w:rPr>
          <w:rFonts w:hint="eastAsia" w:ascii="仿宋_GB2312" w:hAnsi="仿宋" w:eastAsia="仿宋_GB2312" w:cs="仿宋"/>
          <w:bCs/>
          <w:color w:val="auto"/>
          <w:sz w:val="32"/>
          <w:szCs w:val="32"/>
          <w:lang w:val="en-US" w:eastAsia="zh-CN"/>
        </w:rPr>
        <w:t>125.74万元</w:t>
      </w:r>
      <w:r>
        <w:rPr>
          <w:rFonts w:hint="eastAsia" w:ascii="仿宋_GB2312" w:hAnsi="仿宋" w:eastAsia="仿宋_GB2312" w:cs="仿宋"/>
          <w:bCs/>
          <w:color w:val="auto"/>
          <w:sz w:val="32"/>
          <w:szCs w:val="32"/>
        </w:rPr>
        <w:t>，</w:t>
      </w:r>
      <w:r>
        <w:rPr>
          <w:rFonts w:hint="eastAsia" w:ascii="仿宋_GB2312" w:hAnsi="仿宋" w:eastAsia="仿宋_GB2312" w:cs="仿宋"/>
          <w:bCs/>
          <w:color w:val="auto"/>
          <w:sz w:val="32"/>
          <w:szCs w:val="32"/>
          <w:lang w:eastAsia="zh-CN"/>
        </w:rPr>
        <w:t>同期减少</w:t>
      </w:r>
      <w:r>
        <w:rPr>
          <w:rFonts w:hint="eastAsia" w:ascii="仿宋_GB2312" w:hAnsi="仿宋" w:eastAsia="仿宋_GB2312" w:cs="仿宋"/>
          <w:bCs/>
          <w:color w:val="auto"/>
          <w:sz w:val="32"/>
          <w:szCs w:val="32"/>
          <w:lang w:val="en-US" w:eastAsia="zh-CN"/>
        </w:rPr>
        <w:t>50.31%，</w:t>
      </w:r>
      <w:r>
        <w:rPr>
          <w:rFonts w:hint="eastAsia" w:ascii="仿宋_GB2312" w:hAnsi="仿宋" w:eastAsia="仿宋_GB2312" w:cs="仿宋"/>
          <w:bCs/>
          <w:color w:val="auto"/>
          <w:sz w:val="32"/>
          <w:szCs w:val="32"/>
          <w:lang w:eastAsia="zh-CN"/>
        </w:rPr>
        <w:t>因机关运行经费减少导致减少幅度大</w:t>
      </w:r>
      <w:r>
        <w:rPr>
          <w:rFonts w:hint="eastAsia" w:ascii="仿宋_GB2312" w:hAnsi="仿宋" w:eastAsia="仿宋_GB2312" w:cs="仿宋"/>
          <w:bCs/>
          <w:color w:val="auto"/>
          <w:sz w:val="32"/>
          <w:szCs w:val="32"/>
        </w:rPr>
        <w:t>。</w:t>
      </w:r>
    </w:p>
    <w:p>
      <w:pPr>
        <w:keepNext w:val="0"/>
        <w:keepLines w:val="0"/>
        <w:pageBreakBefore w:val="0"/>
        <w:widowControl w:val="0"/>
        <w:kinsoku/>
        <w:wordWrap/>
        <w:overflowPunct/>
        <w:topLinePunct w:val="0"/>
        <w:autoSpaceDE/>
        <w:autoSpaceDN/>
        <w:bidi w:val="0"/>
        <w:adjustRightInd/>
        <w:snapToGrid/>
        <w:spacing w:line="594" w:lineRule="exact"/>
        <w:ind w:firstLine="709"/>
        <w:textAlignment w:val="auto"/>
        <w:rPr>
          <w:rFonts w:ascii="仿宋_GB2312" w:hAnsi="仿宋" w:eastAsia="仿宋_GB2312" w:cs="仿宋"/>
          <w:bCs/>
          <w:color w:val="auto"/>
          <w:sz w:val="32"/>
          <w:szCs w:val="32"/>
        </w:rPr>
      </w:pPr>
      <w:r>
        <w:rPr>
          <w:rFonts w:hint="eastAsia" w:ascii="仿宋_GB2312" w:hAnsi="仿宋" w:eastAsia="仿宋_GB2312" w:cs="仿宋"/>
          <w:bCs/>
          <w:color w:val="auto"/>
          <w:sz w:val="32"/>
          <w:szCs w:val="32"/>
          <w:lang w:val="en-US" w:eastAsia="zh-CN"/>
        </w:rPr>
        <w:t>9</w:t>
      </w:r>
      <w:r>
        <w:rPr>
          <w:rFonts w:hint="eastAsia" w:ascii="仿宋_GB2312" w:hAnsi="仿宋" w:eastAsia="仿宋_GB2312" w:cs="仿宋"/>
          <w:bCs/>
          <w:color w:val="auto"/>
          <w:sz w:val="32"/>
          <w:szCs w:val="32"/>
        </w:rPr>
        <w:t>.</w:t>
      </w:r>
      <w:r>
        <w:rPr>
          <w:rFonts w:hint="eastAsia" w:ascii="仿宋_GB2312" w:hAnsi="仿宋" w:eastAsia="仿宋_GB2312" w:cs="仿宋"/>
          <w:bCs/>
          <w:color w:val="auto"/>
          <w:sz w:val="32"/>
          <w:szCs w:val="32"/>
          <w:lang w:eastAsia="zh-CN"/>
        </w:rPr>
        <w:t>本</w:t>
      </w:r>
      <w:r>
        <w:rPr>
          <w:rFonts w:hint="eastAsia" w:ascii="仿宋_GB2312" w:hAnsi="仿宋" w:eastAsia="仿宋_GB2312" w:cs="仿宋"/>
          <w:bCs/>
          <w:color w:val="auto"/>
          <w:sz w:val="32"/>
          <w:szCs w:val="32"/>
        </w:rPr>
        <w:t>单位</w:t>
      </w:r>
      <w:r>
        <w:rPr>
          <w:rFonts w:hint="eastAsia" w:ascii="仿宋_GB2312" w:hAnsi="仿宋" w:eastAsia="仿宋_GB2312" w:cs="仿宋"/>
          <w:bCs/>
          <w:color w:val="auto"/>
          <w:sz w:val="32"/>
          <w:szCs w:val="32"/>
          <w:lang w:eastAsia="zh-CN"/>
        </w:rPr>
        <w:t>编外</w:t>
      </w:r>
      <w:r>
        <w:rPr>
          <w:rFonts w:ascii="仿宋_GB2312" w:hAnsi="仿宋" w:eastAsia="仿宋_GB2312" w:cs="仿宋"/>
          <w:bCs/>
          <w:color w:val="auto"/>
          <w:sz w:val="32"/>
          <w:szCs w:val="32"/>
        </w:rPr>
        <w:t>长聘人员</w:t>
      </w:r>
      <w:r>
        <w:rPr>
          <w:rFonts w:hint="eastAsia" w:ascii="仿宋_GB2312" w:hAnsi="仿宋" w:eastAsia="仿宋_GB2312" w:cs="仿宋"/>
          <w:bCs/>
          <w:color w:val="auto"/>
          <w:sz w:val="32"/>
          <w:szCs w:val="32"/>
          <w:lang w:val="en-US" w:eastAsia="zh-CN"/>
        </w:rPr>
        <w:t>17人</w:t>
      </w:r>
      <w:r>
        <w:rPr>
          <w:rFonts w:hint="eastAsia" w:ascii="仿宋_GB2312" w:hAnsi="仿宋" w:eastAsia="仿宋_GB2312" w:cs="仿宋"/>
          <w:bCs/>
          <w:color w:val="auto"/>
          <w:sz w:val="32"/>
          <w:szCs w:val="32"/>
          <w:lang w:eastAsia="zh-CN"/>
        </w:rPr>
        <w:t>，单位预算安排</w:t>
      </w:r>
      <w:r>
        <w:rPr>
          <w:rFonts w:hint="eastAsia" w:ascii="仿宋_GB2312" w:hAnsi="仿宋" w:eastAsia="仿宋_GB2312" w:cs="仿宋"/>
          <w:bCs/>
          <w:color w:val="auto"/>
          <w:sz w:val="32"/>
          <w:szCs w:val="32"/>
          <w:lang w:val="en-US" w:eastAsia="zh-CN"/>
        </w:rPr>
        <w:t>28.93万元</w:t>
      </w:r>
      <w:r>
        <w:rPr>
          <w:rFonts w:ascii="仿宋_GB2312" w:hAnsi="仿宋" w:eastAsia="仿宋_GB2312" w:cs="仿宋"/>
          <w:bCs/>
          <w:color w:val="auto"/>
          <w:sz w:val="32"/>
          <w:szCs w:val="32"/>
        </w:rPr>
        <w:t>。</w:t>
      </w:r>
    </w:p>
    <w:p>
      <w:pPr>
        <w:keepNext w:val="0"/>
        <w:keepLines w:val="0"/>
        <w:pageBreakBefore w:val="0"/>
        <w:widowControl w:val="0"/>
        <w:kinsoku/>
        <w:wordWrap/>
        <w:overflowPunct/>
        <w:topLinePunct w:val="0"/>
        <w:autoSpaceDE/>
        <w:autoSpaceDN/>
        <w:bidi w:val="0"/>
        <w:adjustRightInd/>
        <w:snapToGrid/>
        <w:spacing w:line="594" w:lineRule="exact"/>
        <w:ind w:firstLine="709"/>
        <w:textAlignment w:val="auto"/>
        <w:rPr>
          <w:rFonts w:ascii="仿宋_GB2312" w:hAnsi="仿宋" w:eastAsia="仿宋_GB2312" w:cs="仿宋"/>
          <w:bCs/>
          <w:color w:val="auto"/>
          <w:sz w:val="32"/>
          <w:szCs w:val="32"/>
        </w:rPr>
      </w:pPr>
      <w:r>
        <w:rPr>
          <w:rFonts w:ascii="仿宋_GB2312" w:hAnsi="仿宋" w:eastAsia="仿宋_GB2312" w:cs="仿宋"/>
          <w:bCs/>
          <w:color w:val="auto"/>
          <w:sz w:val="32"/>
          <w:szCs w:val="32"/>
        </w:rPr>
        <w:t>1</w:t>
      </w:r>
      <w:r>
        <w:rPr>
          <w:rFonts w:hint="eastAsia" w:ascii="仿宋_GB2312" w:hAnsi="仿宋" w:eastAsia="仿宋_GB2312" w:cs="仿宋"/>
          <w:bCs/>
          <w:color w:val="auto"/>
          <w:sz w:val="32"/>
          <w:szCs w:val="32"/>
          <w:lang w:val="en-US" w:eastAsia="zh-CN"/>
        </w:rPr>
        <w:t>0</w:t>
      </w:r>
      <w:r>
        <w:rPr>
          <w:rFonts w:ascii="仿宋_GB2312" w:hAnsi="仿宋" w:eastAsia="仿宋_GB2312" w:cs="仿宋"/>
          <w:bCs/>
          <w:color w:val="auto"/>
          <w:sz w:val="32"/>
          <w:szCs w:val="32"/>
        </w:rPr>
        <w:t>.</w:t>
      </w:r>
      <w:r>
        <w:rPr>
          <w:rFonts w:hint="eastAsia" w:ascii="仿宋_GB2312" w:hAnsi="仿宋" w:eastAsia="仿宋_GB2312" w:cs="仿宋"/>
          <w:bCs/>
          <w:color w:val="auto"/>
          <w:sz w:val="32"/>
          <w:szCs w:val="32"/>
          <w:lang w:eastAsia="zh-CN"/>
        </w:rPr>
        <w:t>本单位</w:t>
      </w:r>
      <w:r>
        <w:rPr>
          <w:rFonts w:hint="eastAsia" w:ascii="仿宋_GB2312" w:hAnsi="仿宋" w:eastAsia="仿宋_GB2312" w:cs="仿宋"/>
          <w:bCs/>
          <w:color w:val="auto"/>
          <w:sz w:val="32"/>
          <w:szCs w:val="32"/>
        </w:rPr>
        <w:t>“资产负债表”中</w:t>
      </w:r>
      <w:r>
        <w:rPr>
          <w:rFonts w:hint="eastAsia" w:ascii="仿宋_GB2312" w:hAnsi="仿宋" w:eastAsia="仿宋_GB2312" w:cs="仿宋"/>
          <w:bCs/>
          <w:color w:val="auto"/>
          <w:sz w:val="32"/>
          <w:szCs w:val="32"/>
          <w:lang w:eastAsia="zh-CN"/>
        </w:rPr>
        <w:t>无</w:t>
      </w:r>
      <w:r>
        <w:rPr>
          <w:rFonts w:hint="eastAsia" w:ascii="仿宋_GB2312" w:hAnsi="仿宋" w:eastAsia="仿宋_GB2312" w:cs="仿宋"/>
          <w:bCs/>
          <w:color w:val="auto"/>
          <w:sz w:val="32"/>
          <w:szCs w:val="32"/>
        </w:rPr>
        <w:t>指标异常情况</w:t>
      </w:r>
      <w:r>
        <w:rPr>
          <w:rFonts w:hint="eastAsia" w:ascii="仿宋_GB2312" w:hAnsi="仿宋" w:eastAsia="仿宋_GB2312" w:cs="仿宋"/>
          <w:bCs/>
          <w:color w:val="auto"/>
          <w:sz w:val="32"/>
          <w:szCs w:val="32"/>
          <w:lang w:eastAsia="zh-CN"/>
        </w:rPr>
        <w:t>，针对</w:t>
      </w:r>
      <w:r>
        <w:rPr>
          <w:rFonts w:hint="eastAsia" w:ascii="仿宋_GB2312" w:hAnsi="仿宋" w:eastAsia="仿宋_GB2312" w:cs="仿宋"/>
          <w:bCs/>
          <w:color w:val="auto"/>
          <w:sz w:val="32"/>
          <w:szCs w:val="32"/>
        </w:rPr>
        <w:t>往来账款规模较大的</w:t>
      </w:r>
      <w:r>
        <w:rPr>
          <w:rFonts w:ascii="仿宋_GB2312" w:hAnsi="仿宋" w:eastAsia="仿宋_GB2312" w:cs="仿宋"/>
          <w:bCs/>
          <w:color w:val="auto"/>
          <w:sz w:val="32"/>
          <w:szCs w:val="32"/>
        </w:rPr>
        <w:t>情况</w:t>
      </w:r>
      <w:r>
        <w:rPr>
          <w:rFonts w:hint="eastAsia" w:ascii="仿宋_GB2312" w:hAnsi="仿宋" w:eastAsia="仿宋_GB2312" w:cs="仿宋"/>
          <w:bCs/>
          <w:color w:val="auto"/>
          <w:sz w:val="32"/>
          <w:szCs w:val="32"/>
          <w:lang w:eastAsia="zh-CN"/>
        </w:rPr>
        <w:t>，主要与预借预付工程项目款有关</w:t>
      </w:r>
      <w:r>
        <w:rPr>
          <w:rFonts w:ascii="仿宋_GB2312" w:hAnsi="仿宋" w:eastAsia="仿宋_GB2312" w:cs="仿宋"/>
          <w:bCs/>
          <w:color w:val="auto"/>
          <w:sz w:val="32"/>
          <w:szCs w:val="32"/>
        </w:rPr>
        <w:t>。</w:t>
      </w:r>
    </w:p>
    <w:p>
      <w:pPr>
        <w:keepNext w:val="0"/>
        <w:keepLines w:val="0"/>
        <w:pageBreakBefore w:val="0"/>
        <w:widowControl w:val="0"/>
        <w:kinsoku/>
        <w:wordWrap/>
        <w:overflowPunct/>
        <w:topLinePunct w:val="0"/>
        <w:autoSpaceDE/>
        <w:autoSpaceDN/>
        <w:bidi w:val="0"/>
        <w:adjustRightInd/>
        <w:snapToGrid/>
        <w:spacing w:line="594" w:lineRule="exact"/>
        <w:ind w:firstLine="709"/>
        <w:textAlignment w:val="auto"/>
        <w:rPr>
          <w:rFonts w:ascii="黑体" w:hAnsi="黑体" w:eastAsia="黑体" w:cs="黑体"/>
          <w:color w:val="auto"/>
          <w:sz w:val="32"/>
          <w:szCs w:val="32"/>
        </w:rPr>
      </w:pPr>
      <w:r>
        <w:rPr>
          <w:rFonts w:hint="eastAsia" w:ascii="黑体" w:hAnsi="黑体" w:eastAsia="黑体" w:cs="黑体"/>
          <w:color w:val="auto"/>
          <w:sz w:val="32"/>
          <w:szCs w:val="32"/>
        </w:rPr>
        <w:t>六、调整预算数备案说明</w:t>
      </w:r>
    </w:p>
    <w:p>
      <w:pPr>
        <w:keepNext w:val="0"/>
        <w:keepLines w:val="0"/>
        <w:pageBreakBefore w:val="0"/>
        <w:widowControl w:val="0"/>
        <w:kinsoku/>
        <w:wordWrap/>
        <w:overflowPunct/>
        <w:topLinePunct w:val="0"/>
        <w:autoSpaceDE/>
        <w:autoSpaceDN/>
        <w:bidi w:val="0"/>
        <w:adjustRightInd/>
        <w:snapToGrid/>
        <w:spacing w:line="594" w:lineRule="exact"/>
        <w:ind w:firstLine="709"/>
        <w:textAlignment w:val="auto"/>
        <w:rPr>
          <w:rFonts w:hint="eastAsia" w:ascii="仿宋_GB2312" w:hAnsi="仿宋" w:eastAsia="仿宋_GB2312" w:cs="仿宋"/>
          <w:color w:val="auto"/>
          <w:sz w:val="32"/>
          <w:szCs w:val="32"/>
          <w:lang w:eastAsia="zh-CN"/>
        </w:rPr>
      </w:pPr>
      <w:r>
        <w:rPr>
          <w:rFonts w:hint="eastAsia" w:ascii="仿宋_GB2312" w:hAnsi="仿宋" w:eastAsia="仿宋_GB2312" w:cs="仿宋"/>
          <w:bCs/>
          <w:color w:val="auto"/>
          <w:sz w:val="32"/>
          <w:szCs w:val="32"/>
          <w:lang w:eastAsia="zh-CN"/>
        </w:rPr>
        <w:t>本单位</w:t>
      </w:r>
      <w:r>
        <w:rPr>
          <w:rFonts w:hint="eastAsia" w:ascii="仿宋_GB2312" w:hAnsi="仿宋" w:eastAsia="仿宋_GB2312" w:cs="仿宋"/>
          <w:bCs/>
          <w:color w:val="auto"/>
          <w:sz w:val="32"/>
          <w:szCs w:val="32"/>
        </w:rPr>
        <w:t>“收入支出决算总表”中调整预算数大于年初预算数，</w:t>
      </w:r>
      <w:r>
        <w:rPr>
          <w:rFonts w:hint="eastAsia" w:ascii="仿宋_GB2312" w:hAnsi="仿宋" w:eastAsia="仿宋_GB2312" w:cs="仿宋"/>
          <w:bCs/>
          <w:color w:val="auto"/>
          <w:sz w:val="32"/>
          <w:szCs w:val="32"/>
        </w:rPr>
        <w:t>财政</w:t>
      </w:r>
      <w:r>
        <w:rPr>
          <w:rFonts w:ascii="仿宋_GB2312" w:hAnsi="仿宋" w:eastAsia="仿宋_GB2312" w:cs="仿宋"/>
          <w:bCs/>
          <w:color w:val="auto"/>
          <w:sz w:val="32"/>
          <w:szCs w:val="32"/>
        </w:rPr>
        <w:t>拨款</w:t>
      </w:r>
      <w:r>
        <w:rPr>
          <w:rFonts w:hint="eastAsia" w:ascii="仿宋_GB2312" w:hAnsi="仿宋" w:eastAsia="仿宋_GB2312" w:cs="仿宋"/>
          <w:bCs/>
          <w:color w:val="auto"/>
          <w:sz w:val="32"/>
          <w:szCs w:val="32"/>
        </w:rPr>
        <w:t>收入</w:t>
      </w:r>
      <w:r>
        <w:rPr>
          <w:rFonts w:ascii="仿宋_GB2312" w:hAnsi="仿宋" w:eastAsia="仿宋_GB2312" w:cs="仿宋"/>
          <w:bCs/>
          <w:color w:val="auto"/>
          <w:sz w:val="32"/>
          <w:szCs w:val="32"/>
        </w:rPr>
        <w:t>调整预算大于</w:t>
      </w:r>
      <w:r>
        <w:rPr>
          <w:rFonts w:hint="eastAsia" w:ascii="仿宋_GB2312" w:hAnsi="仿宋" w:eastAsia="仿宋_GB2312" w:cs="仿宋"/>
          <w:bCs/>
          <w:color w:val="auto"/>
          <w:sz w:val="32"/>
          <w:szCs w:val="32"/>
        </w:rPr>
        <w:t>年初</w:t>
      </w:r>
      <w:r>
        <w:rPr>
          <w:rFonts w:ascii="仿宋_GB2312" w:hAnsi="仿宋" w:eastAsia="仿宋_GB2312" w:cs="仿宋"/>
          <w:bCs/>
          <w:color w:val="auto"/>
          <w:sz w:val="32"/>
          <w:szCs w:val="32"/>
        </w:rPr>
        <w:t>预算</w:t>
      </w:r>
      <w:r>
        <w:rPr>
          <w:rFonts w:hint="eastAsia" w:ascii="仿宋_GB2312" w:hAnsi="仿宋" w:eastAsia="仿宋_GB2312" w:cs="仿宋"/>
          <w:bCs/>
          <w:color w:val="auto"/>
          <w:sz w:val="32"/>
          <w:szCs w:val="32"/>
          <w:lang w:val="en-US" w:eastAsia="zh-CN"/>
        </w:rPr>
        <w:t>2430.86</w:t>
      </w:r>
      <w:r>
        <w:rPr>
          <w:rFonts w:hint="eastAsia" w:ascii="仿宋_GB2312" w:hAnsi="仿宋" w:eastAsia="仿宋_GB2312" w:cs="仿宋"/>
          <w:bCs/>
          <w:color w:val="auto"/>
          <w:sz w:val="32"/>
          <w:szCs w:val="32"/>
        </w:rPr>
        <w:t>万元，主要为财政拨款追加</w:t>
      </w:r>
      <w:r>
        <w:rPr>
          <w:rFonts w:hint="eastAsia" w:ascii="仿宋_GB2312" w:hAnsi="仿宋" w:eastAsia="仿宋_GB2312" w:cs="仿宋"/>
          <w:bCs/>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94" w:lineRule="exact"/>
        <w:ind w:firstLine="709"/>
        <w:textAlignment w:val="auto"/>
        <w:rPr>
          <w:rFonts w:ascii="黑体" w:hAnsi="黑体" w:eastAsia="黑体" w:cs="黑体"/>
          <w:color w:val="auto"/>
          <w:sz w:val="32"/>
          <w:szCs w:val="32"/>
        </w:rPr>
      </w:pPr>
      <w:r>
        <w:rPr>
          <w:rFonts w:hint="eastAsia" w:ascii="黑体" w:hAnsi="黑体" w:eastAsia="黑体" w:cs="黑体"/>
          <w:color w:val="auto"/>
          <w:sz w:val="32"/>
          <w:szCs w:val="32"/>
        </w:rPr>
        <w:t>七、党和国家机构调整对决算编报相关方面的影响</w:t>
      </w:r>
    </w:p>
    <w:p>
      <w:pPr>
        <w:keepNext w:val="0"/>
        <w:keepLines w:val="0"/>
        <w:pageBreakBefore w:val="0"/>
        <w:widowControl w:val="0"/>
        <w:kinsoku/>
        <w:wordWrap/>
        <w:overflowPunct/>
        <w:topLinePunct w:val="0"/>
        <w:autoSpaceDE/>
        <w:autoSpaceDN/>
        <w:bidi w:val="0"/>
        <w:adjustRightInd/>
        <w:snapToGrid/>
        <w:spacing w:line="594" w:lineRule="exact"/>
        <w:ind w:firstLine="709"/>
        <w:textAlignment w:val="auto"/>
        <w:rPr>
          <w:rFonts w:ascii="仿宋_GB2312" w:hAnsi="仿宋" w:eastAsia="仿宋_GB2312" w:cs="仿宋"/>
          <w:bCs/>
          <w:color w:val="auto"/>
          <w:sz w:val="32"/>
          <w:szCs w:val="32"/>
        </w:rPr>
      </w:pPr>
      <w:r>
        <w:rPr>
          <w:rFonts w:hint="eastAsia" w:ascii="仿宋_GB2312" w:hAnsi="仿宋" w:eastAsia="仿宋_GB2312" w:cs="仿宋"/>
          <w:bCs/>
          <w:color w:val="auto"/>
          <w:sz w:val="32"/>
          <w:szCs w:val="32"/>
          <w:lang w:eastAsia="zh-CN"/>
        </w:rPr>
        <w:t>因</w:t>
      </w:r>
      <w:r>
        <w:rPr>
          <w:rFonts w:hint="eastAsia" w:ascii="仿宋_GB2312" w:hAnsi="仿宋" w:eastAsia="仿宋_GB2312" w:cs="仿宋"/>
          <w:bCs/>
          <w:color w:val="auto"/>
          <w:sz w:val="32"/>
          <w:szCs w:val="32"/>
          <w:lang w:val="en-US" w:eastAsia="zh-CN"/>
        </w:rPr>
        <w:t>2019年机构改革调整，原属于上挂部门的镇水管所及畜牧站合并到镇农业服务中心以及其他部门的改革，以致于本单位机构人员增加、机构运行费用增加等，导致多项决算数据指标与上年度比较有所增加</w:t>
      </w:r>
      <w:r>
        <w:rPr>
          <w:rFonts w:hint="eastAsia" w:ascii="仿宋_GB2312" w:hAnsi="仿宋" w:eastAsia="仿宋_GB2312" w:cs="仿宋"/>
          <w:bCs/>
          <w:color w:val="auto"/>
          <w:sz w:val="32"/>
          <w:szCs w:val="32"/>
        </w:rPr>
        <w:t>。</w:t>
      </w:r>
    </w:p>
    <w:p>
      <w:pPr>
        <w:keepNext w:val="0"/>
        <w:keepLines w:val="0"/>
        <w:pageBreakBefore w:val="0"/>
        <w:widowControl w:val="0"/>
        <w:kinsoku/>
        <w:wordWrap/>
        <w:overflowPunct/>
        <w:topLinePunct w:val="0"/>
        <w:autoSpaceDE/>
        <w:autoSpaceDN/>
        <w:bidi w:val="0"/>
        <w:adjustRightInd/>
        <w:snapToGrid/>
        <w:spacing w:line="594" w:lineRule="exact"/>
        <w:ind w:firstLine="709"/>
        <w:textAlignment w:val="auto"/>
        <w:rPr>
          <w:rFonts w:ascii="黑体" w:hAnsi="黑体" w:eastAsia="黑体" w:cs="黑体"/>
          <w:color w:val="auto"/>
          <w:sz w:val="32"/>
          <w:szCs w:val="32"/>
        </w:rPr>
      </w:pPr>
      <w:r>
        <w:rPr>
          <w:rFonts w:hint="eastAsia" w:ascii="黑体" w:hAnsi="黑体" w:eastAsia="黑体" w:cs="黑体"/>
          <w:color w:val="auto"/>
          <w:sz w:val="32"/>
          <w:szCs w:val="32"/>
        </w:rPr>
        <w:t>八、预算绩效管理工作开展情况</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ascii="仿宋_GB2312" w:hAnsi="仿宋" w:eastAsia="仿宋_GB2312" w:cs="仿宋"/>
          <w:bCs/>
          <w:color w:val="auto"/>
          <w:sz w:val="32"/>
          <w:szCs w:val="32"/>
        </w:rPr>
      </w:pPr>
      <w:r>
        <w:rPr>
          <w:rFonts w:hint="eastAsia" w:ascii="仿宋_GB2312" w:hAnsi="仿宋" w:eastAsia="仿宋_GB2312" w:cs="仿宋"/>
          <w:bCs/>
          <w:color w:val="auto"/>
          <w:sz w:val="32"/>
          <w:szCs w:val="32"/>
        </w:rPr>
        <w:t>我单位</w:t>
      </w:r>
      <w:r>
        <w:rPr>
          <w:rFonts w:ascii="仿宋_GB2312" w:hAnsi="仿宋" w:eastAsia="仿宋_GB2312" w:cs="仿宋"/>
          <w:bCs/>
          <w:color w:val="auto"/>
          <w:sz w:val="32"/>
          <w:szCs w:val="32"/>
        </w:rPr>
        <w:t>认真按照县委县政府要求，围绕年初确定</w:t>
      </w:r>
      <w:r>
        <w:rPr>
          <w:rFonts w:hint="eastAsia" w:ascii="仿宋_GB2312" w:hAnsi="仿宋" w:eastAsia="仿宋_GB2312" w:cs="仿宋"/>
          <w:bCs/>
          <w:color w:val="auto"/>
          <w:sz w:val="32"/>
          <w:szCs w:val="32"/>
        </w:rPr>
        <w:t>的目标</w:t>
      </w:r>
      <w:r>
        <w:rPr>
          <w:rFonts w:ascii="仿宋_GB2312" w:hAnsi="仿宋" w:eastAsia="仿宋_GB2312" w:cs="仿宋"/>
          <w:bCs/>
          <w:color w:val="auto"/>
          <w:sz w:val="32"/>
          <w:szCs w:val="32"/>
        </w:rPr>
        <w:t>任务，抓好各项工作落实，分析存在的问题，对项目进展情况及时通报，落实措施，加快推进。对</w:t>
      </w:r>
      <w:r>
        <w:rPr>
          <w:rFonts w:hint="eastAsia" w:ascii="仿宋_GB2312" w:hAnsi="仿宋" w:eastAsia="仿宋_GB2312" w:cs="仿宋"/>
          <w:bCs/>
          <w:color w:val="auto"/>
          <w:sz w:val="32"/>
          <w:szCs w:val="32"/>
        </w:rPr>
        <w:t>不能</w:t>
      </w:r>
      <w:r>
        <w:rPr>
          <w:rFonts w:ascii="仿宋_GB2312" w:hAnsi="仿宋" w:eastAsia="仿宋_GB2312" w:cs="仿宋"/>
          <w:bCs/>
          <w:color w:val="auto"/>
          <w:sz w:val="32"/>
          <w:szCs w:val="32"/>
        </w:rPr>
        <w:t>按进度完成的指标，加强督办</w:t>
      </w:r>
      <w:r>
        <w:rPr>
          <w:rFonts w:hint="eastAsia" w:ascii="仿宋_GB2312" w:hAnsi="仿宋" w:eastAsia="仿宋_GB2312" w:cs="仿宋"/>
          <w:bCs/>
          <w:color w:val="auto"/>
          <w:sz w:val="32"/>
          <w:szCs w:val="32"/>
        </w:rPr>
        <w:t>。</w:t>
      </w:r>
      <w:r>
        <w:rPr>
          <w:rFonts w:ascii="仿宋_GB2312" w:hAnsi="仿宋" w:eastAsia="仿宋_GB2312" w:cs="仿宋"/>
          <w:bCs/>
          <w:color w:val="auto"/>
          <w:sz w:val="32"/>
          <w:szCs w:val="32"/>
        </w:rPr>
        <w:t>总体来看，年度绩效各项指标完成情况良好</w:t>
      </w:r>
      <w:r>
        <w:rPr>
          <w:rFonts w:hint="eastAsia" w:ascii="仿宋_GB2312" w:hAnsi="仿宋_GB2312" w:eastAsia="仿宋_GB2312" w:cs="仿宋_GB2312"/>
          <w:bCs/>
          <w:color w:val="auto"/>
          <w:sz w:val="32"/>
          <w:szCs w:val="32"/>
        </w:rPr>
        <w:t>。</w:t>
      </w:r>
      <w:r>
        <w:rPr>
          <w:rFonts w:hint="eastAsia" w:ascii="仿宋_GB2312" w:hAnsi="仿宋_GB2312" w:eastAsia="仿宋_GB2312" w:cs="仿宋_GB2312"/>
          <w:color w:val="auto"/>
          <w:sz w:val="32"/>
          <w:szCs w:val="32"/>
        </w:rPr>
        <w:t>201</w:t>
      </w:r>
      <w:r>
        <w:rPr>
          <w:rFonts w:hint="eastAsia" w:ascii="仿宋_GB2312" w:hAnsi="仿宋_GB2312" w:eastAsia="仿宋_GB2312" w:cs="仿宋_GB2312"/>
          <w:color w:val="auto"/>
          <w:sz w:val="32"/>
          <w:szCs w:val="32"/>
          <w:lang w:val="en-US" w:eastAsia="zh-CN"/>
        </w:rPr>
        <w:t>9</w:t>
      </w:r>
      <w:r>
        <w:rPr>
          <w:rFonts w:hint="eastAsia" w:ascii="仿宋_GB2312" w:hAnsi="仿宋_GB2312" w:eastAsia="仿宋_GB2312" w:cs="仿宋_GB2312"/>
          <w:color w:val="auto"/>
          <w:sz w:val="32"/>
          <w:szCs w:val="32"/>
        </w:rPr>
        <w:t>年度,县政府</w:t>
      </w:r>
      <w:r>
        <w:rPr>
          <w:rFonts w:hint="eastAsia" w:ascii="仿宋_GB2312" w:hAnsi="仿宋_GB2312" w:eastAsia="仿宋_GB2312" w:cs="仿宋_GB2312"/>
          <w:color w:val="auto"/>
          <w:sz w:val="32"/>
          <w:szCs w:val="32"/>
          <w:lang w:eastAsia="zh-CN"/>
        </w:rPr>
        <w:t>未</w:t>
      </w:r>
      <w:r>
        <w:rPr>
          <w:rFonts w:hint="eastAsia" w:ascii="仿宋_GB2312" w:hAnsi="仿宋_GB2312" w:eastAsia="仿宋_GB2312" w:cs="仿宋_GB2312"/>
          <w:color w:val="auto"/>
          <w:sz w:val="32"/>
          <w:szCs w:val="32"/>
        </w:rPr>
        <w:t>下达我镇非税收入目标任务，</w:t>
      </w:r>
      <w:r>
        <w:rPr>
          <w:rFonts w:hint="eastAsia" w:ascii="仿宋_GB2312" w:hAnsi="仿宋_GB2312" w:eastAsia="仿宋_GB2312" w:cs="仿宋_GB2312"/>
          <w:color w:val="auto"/>
          <w:sz w:val="32"/>
          <w:szCs w:val="32"/>
          <w:lang w:eastAsia="zh-CN"/>
        </w:rPr>
        <w:t>全年</w:t>
      </w:r>
      <w:r>
        <w:rPr>
          <w:rFonts w:hint="eastAsia" w:ascii="仿宋_GB2312" w:hAnsi="仿宋_GB2312" w:eastAsia="仿宋_GB2312" w:cs="仿宋_GB2312"/>
          <w:color w:val="auto"/>
          <w:sz w:val="32"/>
          <w:szCs w:val="32"/>
        </w:rPr>
        <w:t>实际完成非税收入</w:t>
      </w:r>
      <w:r>
        <w:rPr>
          <w:rFonts w:hint="eastAsia" w:ascii="仿宋_GB2312" w:hAnsi="仿宋_GB2312" w:eastAsia="仿宋_GB2312" w:cs="仿宋_GB2312"/>
          <w:color w:val="auto"/>
          <w:sz w:val="32"/>
          <w:szCs w:val="32"/>
          <w:lang w:val="en-US" w:eastAsia="zh-CN"/>
        </w:rPr>
        <w:t>11.64</w:t>
      </w:r>
      <w:r>
        <w:rPr>
          <w:rFonts w:hint="eastAsia" w:ascii="仿宋_GB2312" w:hAnsi="仿宋_GB2312" w:eastAsia="仿宋_GB2312" w:cs="仿宋_GB2312"/>
          <w:color w:val="auto"/>
          <w:sz w:val="32"/>
          <w:szCs w:val="32"/>
        </w:rPr>
        <w:t>万元；当年无新增债务，化解历年债务</w:t>
      </w:r>
      <w:r>
        <w:rPr>
          <w:rFonts w:hint="eastAsia" w:ascii="仿宋_GB2312" w:hAnsi="仿宋_GB2312" w:eastAsia="仿宋_GB2312" w:cs="仿宋_GB2312"/>
          <w:color w:val="auto"/>
          <w:sz w:val="32"/>
          <w:szCs w:val="32"/>
          <w:u w:val="single"/>
          <w:lang w:val="en-US" w:eastAsia="zh-CN"/>
        </w:rPr>
        <w:t>262.69</w:t>
      </w:r>
      <w:r>
        <w:rPr>
          <w:rFonts w:hint="eastAsia" w:ascii="仿宋_GB2312" w:hAnsi="仿宋_GB2312" w:eastAsia="仿宋_GB2312" w:cs="仿宋_GB2312"/>
          <w:color w:val="auto"/>
          <w:sz w:val="32"/>
          <w:szCs w:val="32"/>
        </w:rPr>
        <w:t>万元；“三公经费”实际支出</w:t>
      </w:r>
      <w:r>
        <w:rPr>
          <w:rFonts w:hint="eastAsia" w:ascii="仿宋_GB2312" w:hAnsi="仿宋_GB2312" w:eastAsia="仿宋_GB2312" w:cs="仿宋_GB2312"/>
          <w:color w:val="auto"/>
          <w:sz w:val="32"/>
          <w:szCs w:val="32"/>
          <w:lang w:val="en-US" w:eastAsia="zh-CN"/>
        </w:rPr>
        <w:t>44.53</w:t>
      </w:r>
      <w:r>
        <w:rPr>
          <w:rFonts w:hint="eastAsia" w:ascii="仿宋_GB2312" w:hAnsi="仿宋_GB2312" w:eastAsia="仿宋_GB2312" w:cs="仿宋_GB2312"/>
          <w:color w:val="auto"/>
          <w:sz w:val="32"/>
          <w:szCs w:val="32"/>
        </w:rPr>
        <w:t>万元，与去年同期数43.</w:t>
      </w:r>
      <w:r>
        <w:rPr>
          <w:rFonts w:hint="eastAsia" w:ascii="仿宋_GB2312" w:hAnsi="仿宋_GB2312" w:eastAsia="仿宋_GB2312" w:cs="仿宋_GB2312"/>
          <w:color w:val="auto"/>
          <w:sz w:val="32"/>
          <w:szCs w:val="32"/>
          <w:lang w:val="en-US" w:eastAsia="zh-CN"/>
        </w:rPr>
        <w:t>09</w:t>
      </w:r>
      <w:r>
        <w:rPr>
          <w:rFonts w:hint="eastAsia" w:ascii="仿宋_GB2312" w:hAnsi="仿宋_GB2312" w:eastAsia="仿宋_GB2312" w:cs="仿宋_GB2312"/>
          <w:color w:val="auto"/>
          <w:sz w:val="32"/>
          <w:szCs w:val="32"/>
        </w:rPr>
        <w:t>万元相比，“三公”经费</w:t>
      </w:r>
      <w:r>
        <w:rPr>
          <w:rFonts w:hint="eastAsia" w:ascii="仿宋_GB2312" w:hAnsi="仿宋_GB2312" w:eastAsia="仿宋_GB2312" w:cs="仿宋_GB2312"/>
          <w:color w:val="auto"/>
          <w:sz w:val="32"/>
          <w:szCs w:val="32"/>
          <w:lang w:eastAsia="zh-CN"/>
        </w:rPr>
        <w:t>略有增长</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594" w:lineRule="exact"/>
        <w:ind w:firstLine="709"/>
        <w:textAlignment w:val="auto"/>
        <w:rPr>
          <w:rFonts w:ascii="黑体" w:hAnsi="黑体" w:eastAsia="黑体" w:cs="黑体"/>
          <w:color w:val="auto"/>
          <w:sz w:val="32"/>
          <w:szCs w:val="32"/>
        </w:rPr>
      </w:pPr>
      <w:r>
        <w:rPr>
          <w:rFonts w:hint="eastAsia" w:ascii="黑体" w:hAnsi="黑体" w:eastAsia="黑体" w:cs="黑体"/>
          <w:color w:val="auto"/>
          <w:sz w:val="32"/>
          <w:szCs w:val="32"/>
        </w:rPr>
        <w:t>九、其他需要说明的情况</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仿宋_GB2312" w:hAnsi="仿宋" w:eastAsia="仿宋_GB2312" w:cs="仿宋"/>
          <w:bCs/>
          <w:color w:val="auto"/>
          <w:sz w:val="32"/>
          <w:szCs w:val="32"/>
          <w:lang w:eastAsia="zh-CN"/>
        </w:rPr>
      </w:pPr>
      <w:r>
        <w:rPr>
          <w:rFonts w:hint="eastAsia" w:ascii="仿宋_GB2312" w:hAnsi="仿宋" w:eastAsia="仿宋_GB2312" w:cs="仿宋"/>
          <w:bCs/>
          <w:color w:val="auto"/>
          <w:sz w:val="32"/>
          <w:szCs w:val="32"/>
        </w:rPr>
        <w:t>（一）部门决算审核发现的需要单独进行说明的特殊情况和主要问题</w:t>
      </w:r>
      <w:r>
        <w:rPr>
          <w:rFonts w:hint="eastAsia" w:ascii="仿宋_GB2312" w:hAnsi="仿宋" w:eastAsia="仿宋_GB2312" w:cs="仿宋"/>
          <w:bCs/>
          <w:color w:val="auto"/>
          <w:sz w:val="32"/>
          <w:szCs w:val="32"/>
          <w:lang w:eastAsia="zh-CN"/>
        </w:rPr>
        <w:t>：无。</w:t>
      </w:r>
    </w:p>
    <w:p>
      <w:pPr>
        <w:keepNext w:val="0"/>
        <w:keepLines w:val="0"/>
        <w:pageBreakBefore w:val="0"/>
        <w:widowControl w:val="0"/>
        <w:kinsoku/>
        <w:wordWrap/>
        <w:overflowPunct/>
        <w:topLinePunct w:val="0"/>
        <w:autoSpaceDE/>
        <w:autoSpaceDN/>
        <w:bidi w:val="0"/>
        <w:adjustRightInd/>
        <w:snapToGrid/>
        <w:spacing w:line="594" w:lineRule="exact"/>
        <w:ind w:firstLine="709"/>
        <w:textAlignment w:val="auto"/>
        <w:rPr>
          <w:rFonts w:hint="eastAsia" w:ascii="仿宋_GB2312" w:hAnsi="仿宋" w:eastAsia="仿宋_GB2312" w:cs="仿宋"/>
          <w:bCs/>
          <w:color w:val="auto"/>
          <w:sz w:val="32"/>
          <w:szCs w:val="32"/>
          <w:lang w:eastAsia="zh-CN"/>
        </w:rPr>
      </w:pPr>
      <w:r>
        <w:rPr>
          <w:rFonts w:hint="eastAsia" w:ascii="仿宋_GB2312" w:hAnsi="仿宋" w:eastAsia="仿宋_GB2312" w:cs="仿宋"/>
          <w:bCs/>
          <w:color w:val="auto"/>
          <w:sz w:val="32"/>
          <w:szCs w:val="32"/>
        </w:rPr>
        <w:t>（二）本部门其他需要说明的问题。如资产负债变动、长期投资和国有资产管理，以及对本期或者下期财务状况发生重大影响事项等</w:t>
      </w:r>
      <w:r>
        <w:rPr>
          <w:rFonts w:hint="eastAsia" w:ascii="仿宋_GB2312" w:hAnsi="仿宋" w:eastAsia="仿宋_GB2312" w:cs="仿宋"/>
          <w:bCs/>
          <w:color w:val="auto"/>
          <w:sz w:val="32"/>
          <w:szCs w:val="32"/>
          <w:lang w:eastAsia="zh-CN"/>
        </w:rPr>
        <w:t>：无。</w:t>
      </w:r>
    </w:p>
    <w:p>
      <w:pPr>
        <w:keepNext w:val="0"/>
        <w:keepLines w:val="0"/>
        <w:pageBreakBefore w:val="0"/>
        <w:widowControl w:val="0"/>
        <w:kinsoku/>
        <w:wordWrap/>
        <w:overflowPunct/>
        <w:topLinePunct w:val="0"/>
        <w:autoSpaceDE/>
        <w:autoSpaceDN/>
        <w:bidi w:val="0"/>
        <w:adjustRightInd/>
        <w:snapToGrid/>
        <w:spacing w:line="594" w:lineRule="exact"/>
        <w:ind w:firstLine="709"/>
        <w:textAlignment w:val="auto"/>
        <w:rPr>
          <w:rFonts w:hint="eastAsia" w:ascii="仿宋_GB2312" w:hAnsi="仿宋" w:eastAsia="仿宋_GB2312" w:cs="仿宋"/>
          <w:bCs/>
          <w:color w:val="auto"/>
          <w:sz w:val="32"/>
          <w:szCs w:val="32"/>
          <w:lang w:eastAsia="zh-CN"/>
        </w:rPr>
      </w:pPr>
      <w:r>
        <w:rPr>
          <w:rFonts w:hint="eastAsia" w:ascii="仿宋_GB2312" w:hAnsi="仿宋" w:eastAsia="仿宋_GB2312" w:cs="仿宋"/>
          <w:bCs/>
          <w:color w:val="auto"/>
          <w:sz w:val="32"/>
          <w:szCs w:val="32"/>
        </w:rPr>
        <w:t>（三）政府</w:t>
      </w:r>
      <w:r>
        <w:rPr>
          <w:rFonts w:ascii="仿宋_GB2312" w:hAnsi="仿宋" w:eastAsia="仿宋_GB2312" w:cs="仿宋"/>
          <w:bCs/>
          <w:color w:val="auto"/>
          <w:sz w:val="32"/>
          <w:szCs w:val="32"/>
        </w:rPr>
        <w:t>会计制度施行后，单位在会计核算及财务管理中存在的难点、意见建议等</w:t>
      </w:r>
      <w:r>
        <w:rPr>
          <w:rFonts w:hint="eastAsia" w:ascii="仿宋_GB2312" w:hAnsi="仿宋" w:eastAsia="仿宋_GB2312" w:cs="仿宋"/>
          <w:bCs/>
          <w:color w:val="auto"/>
          <w:sz w:val="32"/>
          <w:szCs w:val="32"/>
          <w:lang w:eastAsia="zh-CN"/>
        </w:rPr>
        <w:t>：无。</w:t>
      </w:r>
    </w:p>
    <w:p>
      <w:pPr>
        <w:keepNext w:val="0"/>
        <w:keepLines w:val="0"/>
        <w:pageBreakBefore w:val="0"/>
        <w:widowControl w:val="0"/>
        <w:kinsoku/>
        <w:wordWrap/>
        <w:overflowPunct/>
        <w:topLinePunct w:val="0"/>
        <w:autoSpaceDE/>
        <w:autoSpaceDN/>
        <w:bidi w:val="0"/>
        <w:adjustRightInd/>
        <w:snapToGrid/>
        <w:spacing w:line="594" w:lineRule="exact"/>
        <w:ind w:firstLine="709"/>
        <w:textAlignment w:val="auto"/>
        <w:rPr>
          <w:rFonts w:ascii="黑体" w:hAnsi="黑体" w:eastAsia="黑体" w:cs="黑体"/>
          <w:color w:val="auto"/>
          <w:sz w:val="32"/>
          <w:szCs w:val="32"/>
        </w:rPr>
      </w:pPr>
      <w:bookmarkStart w:id="1" w:name="YS060305"/>
      <w:r>
        <w:rPr>
          <w:rFonts w:hint="eastAsia" w:ascii="黑体" w:hAnsi="黑体" w:eastAsia="黑体" w:cs="黑体"/>
          <w:color w:val="auto"/>
          <w:sz w:val="32"/>
          <w:szCs w:val="32"/>
        </w:rPr>
        <w:t>十、</w:t>
      </w:r>
      <w:bookmarkEnd w:id="1"/>
      <w:r>
        <w:rPr>
          <w:rFonts w:hint="eastAsia" w:ascii="黑体" w:hAnsi="黑体" w:eastAsia="黑体" w:cs="黑体"/>
          <w:color w:val="auto"/>
          <w:sz w:val="32"/>
          <w:szCs w:val="32"/>
        </w:rPr>
        <w:t>部门决算管理工作</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ascii="仿宋_GB2312" w:hAnsi="仿宋" w:eastAsia="仿宋_GB2312" w:cs="仿宋"/>
          <w:bCs/>
          <w:color w:val="auto"/>
          <w:sz w:val="32"/>
          <w:szCs w:val="32"/>
        </w:rPr>
      </w:pPr>
      <w:r>
        <w:rPr>
          <w:rFonts w:hint="eastAsia" w:ascii="仿宋_GB2312" w:hAnsi="仿宋" w:eastAsia="仿宋_GB2312" w:cs="仿宋"/>
          <w:bCs/>
          <w:color w:val="auto"/>
          <w:sz w:val="32"/>
          <w:szCs w:val="32"/>
        </w:rPr>
        <w:t>（一）部门决算工作情况总结。</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ascii="仿宋_GB2312" w:hAnsi="仿宋" w:eastAsia="仿宋_GB2312" w:cs="仿宋"/>
          <w:bCs/>
          <w:color w:val="auto"/>
          <w:sz w:val="32"/>
          <w:szCs w:val="32"/>
        </w:rPr>
      </w:pPr>
      <w:r>
        <w:rPr>
          <w:rFonts w:hint="eastAsia" w:ascii="仿宋_GB2312" w:hAnsi="仿宋" w:eastAsia="仿宋_GB2312" w:cs="仿宋"/>
          <w:bCs/>
          <w:color w:val="auto"/>
          <w:sz w:val="32"/>
          <w:szCs w:val="32"/>
        </w:rPr>
        <w:t>本单位财务管理、决算组织、编报等工作均严格按照财政部门要求开展，组织有序，实施有力，按时完成。</w:t>
      </w:r>
    </w:p>
    <w:p>
      <w:pPr>
        <w:keepNext w:val="0"/>
        <w:keepLines w:val="0"/>
        <w:pageBreakBefore w:val="0"/>
        <w:widowControl w:val="0"/>
        <w:numPr>
          <w:ilvl w:val="0"/>
          <w:numId w:val="1"/>
        </w:numPr>
        <w:kinsoku/>
        <w:wordWrap/>
        <w:overflowPunct/>
        <w:topLinePunct w:val="0"/>
        <w:autoSpaceDE/>
        <w:autoSpaceDN/>
        <w:bidi w:val="0"/>
        <w:adjustRightInd/>
        <w:snapToGrid/>
        <w:spacing w:line="594" w:lineRule="exact"/>
        <w:ind w:firstLine="640" w:firstLineChars="200"/>
        <w:textAlignment w:val="auto"/>
        <w:rPr>
          <w:rFonts w:hint="eastAsia" w:ascii="仿宋_GB2312" w:hAnsi="仿宋" w:eastAsia="仿宋_GB2312" w:cs="仿宋"/>
          <w:bCs/>
          <w:color w:val="auto"/>
          <w:sz w:val="32"/>
          <w:szCs w:val="32"/>
        </w:rPr>
      </w:pPr>
      <w:r>
        <w:rPr>
          <w:rFonts w:hint="eastAsia" w:ascii="仿宋_GB2312" w:hAnsi="仿宋" w:eastAsia="仿宋_GB2312" w:cs="仿宋"/>
          <w:bCs/>
          <w:color w:val="auto"/>
          <w:sz w:val="32"/>
          <w:szCs w:val="32"/>
        </w:rPr>
        <w:t>部门决算工作下一步计划。</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textAlignment w:val="auto"/>
        <w:rPr>
          <w:rFonts w:hint="eastAsia" w:ascii="仿宋_GB2312" w:hAnsi="仿宋" w:eastAsia="仿宋_GB2312" w:cs="仿宋"/>
          <w:bCs/>
          <w:color w:val="auto"/>
          <w:sz w:val="32"/>
          <w:szCs w:val="32"/>
        </w:rPr>
      </w:pPr>
      <w:r>
        <w:rPr>
          <w:rFonts w:hint="eastAsia" w:ascii="仿宋_GB2312" w:hAnsi="仿宋" w:eastAsia="仿宋_GB2312" w:cs="仿宋"/>
          <w:bCs/>
          <w:color w:val="auto"/>
          <w:sz w:val="32"/>
          <w:szCs w:val="32"/>
        </w:rPr>
        <w:t>下一步将严格按照财政部门</w:t>
      </w:r>
      <w:r>
        <w:rPr>
          <w:rFonts w:hint="eastAsia" w:ascii="仿宋_GB2312" w:hAnsi="仿宋" w:eastAsia="仿宋_GB2312" w:cs="仿宋"/>
          <w:bCs/>
          <w:color w:val="auto"/>
          <w:sz w:val="32"/>
          <w:szCs w:val="32"/>
          <w:lang w:eastAsia="zh-CN"/>
        </w:rPr>
        <w:t>相关</w:t>
      </w:r>
      <w:r>
        <w:rPr>
          <w:rFonts w:hint="eastAsia" w:ascii="仿宋_GB2312" w:hAnsi="仿宋" w:eastAsia="仿宋_GB2312" w:cs="仿宋"/>
          <w:bCs/>
          <w:color w:val="auto"/>
          <w:sz w:val="32"/>
          <w:szCs w:val="32"/>
        </w:rPr>
        <w:t>要求，开展好部门决算审核完善及公开工作。</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仿宋_GB2312" w:hAnsi="仿宋" w:eastAsia="仿宋_GB2312" w:cs="仿宋"/>
          <w:bCs/>
          <w:color w:val="auto"/>
          <w:sz w:val="32"/>
          <w:szCs w:val="32"/>
          <w:lang w:eastAsia="zh-CN"/>
        </w:rPr>
      </w:pPr>
      <w:r>
        <w:rPr>
          <w:rFonts w:hint="eastAsia" w:ascii="仿宋_GB2312" w:hAnsi="仿宋" w:eastAsia="仿宋_GB2312" w:cs="仿宋"/>
          <w:bCs/>
          <w:color w:val="auto"/>
          <w:sz w:val="32"/>
          <w:szCs w:val="32"/>
        </w:rPr>
        <w:t>（三）对部门决算管理的意见和建议</w:t>
      </w:r>
      <w:r>
        <w:rPr>
          <w:rFonts w:hint="eastAsia" w:ascii="仿宋_GB2312" w:hAnsi="仿宋" w:eastAsia="仿宋_GB2312" w:cs="仿宋"/>
          <w:bCs/>
          <w:color w:val="auto"/>
          <w:sz w:val="32"/>
          <w:szCs w:val="32"/>
          <w:lang w:eastAsia="zh-CN"/>
        </w:rPr>
        <w:t>，</w:t>
      </w:r>
      <w:r>
        <w:rPr>
          <w:rFonts w:hint="eastAsia" w:ascii="仿宋_GB2312" w:hAnsi="仿宋" w:eastAsia="仿宋_GB2312" w:cs="仿宋"/>
          <w:bCs/>
          <w:color w:val="auto"/>
          <w:sz w:val="32"/>
          <w:szCs w:val="32"/>
          <w:lang w:eastAsia="zh-CN"/>
        </w:rPr>
        <w:t>无。</w:t>
      </w:r>
    </w:p>
    <w:sectPr>
      <w:footerReference r:id="rId3" w:type="default"/>
      <w:pgSz w:w="11906" w:h="16838"/>
      <w:pgMar w:top="1440" w:right="1588" w:bottom="1440"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altName w:val="宋体"/>
    <w:panose1 w:val="02010609060101010101"/>
    <w:charset w:val="86"/>
    <w:family w:val="modern"/>
    <w:pitch w:val="default"/>
    <w:sig w:usb0="00000000" w:usb1="00000000"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Segoe UI">
    <w:panose1 w:val="020B0502040204020203"/>
    <w:charset w:val="00"/>
    <w:family w:val="auto"/>
    <w:pitch w:val="default"/>
    <w:sig w:usb0="E10022FF" w:usb1="C000E47F" w:usb2="00000029" w:usb3="00000000" w:csb0="200001DF" w:csb1="2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ascii="Arial" w:hAnsi="Arial" w:cs="Arial"/>
        <w:sz w:val="24"/>
        <w:szCs w:val="24"/>
      </w:rPr>
    </w:pPr>
    <w:r>
      <w:rPr>
        <w:rFonts w:ascii="Arial" w:hAnsi="Arial" w:cs="Arial"/>
        <w:sz w:val="24"/>
        <w:szCs w:val="24"/>
      </w:rPr>
      <w:fldChar w:fldCharType="begin"/>
    </w:r>
    <w:r>
      <w:rPr>
        <w:rFonts w:ascii="Arial" w:hAnsi="Arial" w:cs="Arial"/>
        <w:sz w:val="24"/>
        <w:szCs w:val="24"/>
      </w:rPr>
      <w:instrText xml:space="preserve"> PAGE   \* MERGEFORMAT </w:instrText>
    </w:r>
    <w:r>
      <w:rPr>
        <w:rFonts w:ascii="Arial" w:hAnsi="Arial" w:cs="Arial"/>
        <w:sz w:val="24"/>
        <w:szCs w:val="24"/>
      </w:rPr>
      <w:fldChar w:fldCharType="separate"/>
    </w:r>
    <w:r>
      <w:rPr>
        <w:rFonts w:ascii="Arial" w:hAnsi="Arial" w:cs="Arial"/>
        <w:sz w:val="24"/>
        <w:szCs w:val="24"/>
        <w:lang w:val="zh-CN"/>
      </w:rPr>
      <w:t>3</w:t>
    </w:r>
    <w:r>
      <w:rPr>
        <w:rFonts w:ascii="Arial" w:hAnsi="Arial" w:cs="Arial"/>
        <w:sz w:val="24"/>
        <w:szCs w:val="24"/>
      </w:rP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7074492"/>
    <w:multiLevelType w:val="singleLevel"/>
    <w:tmpl w:val="D7074492"/>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C28"/>
    <w:rsid w:val="00014660"/>
    <w:rsid w:val="00053290"/>
    <w:rsid w:val="001007DF"/>
    <w:rsid w:val="00120D9F"/>
    <w:rsid w:val="00157E08"/>
    <w:rsid w:val="001643D9"/>
    <w:rsid w:val="001653DE"/>
    <w:rsid w:val="0019728C"/>
    <w:rsid w:val="001A76CF"/>
    <w:rsid w:val="001C48E0"/>
    <w:rsid w:val="002138F1"/>
    <w:rsid w:val="0021690C"/>
    <w:rsid w:val="00222FFA"/>
    <w:rsid w:val="00233B8F"/>
    <w:rsid w:val="0027321F"/>
    <w:rsid w:val="002B304F"/>
    <w:rsid w:val="002B3985"/>
    <w:rsid w:val="002E76CF"/>
    <w:rsid w:val="00304239"/>
    <w:rsid w:val="003558F5"/>
    <w:rsid w:val="00386F21"/>
    <w:rsid w:val="00393CC1"/>
    <w:rsid w:val="003A3601"/>
    <w:rsid w:val="003E7C63"/>
    <w:rsid w:val="00415634"/>
    <w:rsid w:val="00431D8B"/>
    <w:rsid w:val="00437C28"/>
    <w:rsid w:val="004C346F"/>
    <w:rsid w:val="004D24D7"/>
    <w:rsid w:val="004E2693"/>
    <w:rsid w:val="004F1A3D"/>
    <w:rsid w:val="005017D6"/>
    <w:rsid w:val="00507B28"/>
    <w:rsid w:val="0054126E"/>
    <w:rsid w:val="0054439F"/>
    <w:rsid w:val="00550DBC"/>
    <w:rsid w:val="00561C5D"/>
    <w:rsid w:val="0058781A"/>
    <w:rsid w:val="005B064B"/>
    <w:rsid w:val="005D2566"/>
    <w:rsid w:val="005D39B1"/>
    <w:rsid w:val="005E0C1E"/>
    <w:rsid w:val="005E1C60"/>
    <w:rsid w:val="005F64DC"/>
    <w:rsid w:val="00614B29"/>
    <w:rsid w:val="00664FC4"/>
    <w:rsid w:val="006D1074"/>
    <w:rsid w:val="006E2C31"/>
    <w:rsid w:val="006F117E"/>
    <w:rsid w:val="00716BEA"/>
    <w:rsid w:val="0072088E"/>
    <w:rsid w:val="007369C4"/>
    <w:rsid w:val="0074445D"/>
    <w:rsid w:val="00762D94"/>
    <w:rsid w:val="00780B07"/>
    <w:rsid w:val="00796B15"/>
    <w:rsid w:val="007D41E6"/>
    <w:rsid w:val="007E36BC"/>
    <w:rsid w:val="00847582"/>
    <w:rsid w:val="00851F6D"/>
    <w:rsid w:val="008A6F86"/>
    <w:rsid w:val="008C2635"/>
    <w:rsid w:val="00912F55"/>
    <w:rsid w:val="00914FAB"/>
    <w:rsid w:val="009308CA"/>
    <w:rsid w:val="00975C7A"/>
    <w:rsid w:val="00983792"/>
    <w:rsid w:val="0099294C"/>
    <w:rsid w:val="00994533"/>
    <w:rsid w:val="009D6166"/>
    <w:rsid w:val="009F3C33"/>
    <w:rsid w:val="00AB218E"/>
    <w:rsid w:val="00AB3358"/>
    <w:rsid w:val="00AD37ED"/>
    <w:rsid w:val="00B44A5D"/>
    <w:rsid w:val="00B45E66"/>
    <w:rsid w:val="00B60403"/>
    <w:rsid w:val="00B67200"/>
    <w:rsid w:val="00B713F3"/>
    <w:rsid w:val="00B84A93"/>
    <w:rsid w:val="00B85F29"/>
    <w:rsid w:val="00BA0C39"/>
    <w:rsid w:val="00C25ECC"/>
    <w:rsid w:val="00CC1588"/>
    <w:rsid w:val="00D234B6"/>
    <w:rsid w:val="00D9284A"/>
    <w:rsid w:val="00DC3586"/>
    <w:rsid w:val="00E069EC"/>
    <w:rsid w:val="00E16A0F"/>
    <w:rsid w:val="00E261B3"/>
    <w:rsid w:val="00E561AF"/>
    <w:rsid w:val="00E61D5A"/>
    <w:rsid w:val="00E67B93"/>
    <w:rsid w:val="00E701A4"/>
    <w:rsid w:val="00E71CDD"/>
    <w:rsid w:val="00E80C54"/>
    <w:rsid w:val="00E85F9D"/>
    <w:rsid w:val="00EA0D75"/>
    <w:rsid w:val="00EF2E70"/>
    <w:rsid w:val="00F514FC"/>
    <w:rsid w:val="00F67A09"/>
    <w:rsid w:val="00FB361D"/>
    <w:rsid w:val="0A793231"/>
    <w:rsid w:val="101C46F4"/>
    <w:rsid w:val="1FCF007D"/>
    <w:rsid w:val="23567EC5"/>
    <w:rsid w:val="24AF0667"/>
    <w:rsid w:val="26CF0C80"/>
    <w:rsid w:val="39DE48F8"/>
    <w:rsid w:val="3B5A6639"/>
    <w:rsid w:val="3CC558EA"/>
    <w:rsid w:val="43276130"/>
    <w:rsid w:val="451B041F"/>
    <w:rsid w:val="464C2A7E"/>
    <w:rsid w:val="4A4B3921"/>
    <w:rsid w:val="5961282B"/>
    <w:rsid w:val="5AF60473"/>
    <w:rsid w:val="6E0871DC"/>
    <w:rsid w:val="73F460A9"/>
    <w:rsid w:val="7D9740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4">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rFonts w:ascii="Times New Roman" w:hAnsi="Times New Roman" w:cs="Times New Roman"/>
      <w:kern w:val="0"/>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qFormat/>
    <w:uiPriority w:val="0"/>
    <w:rPr>
      <w:rFonts w:ascii="Calibri" w:hAnsi="Calibri" w:eastAsia="宋体" w:cs="Calibr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7</Pages>
  <Words>457</Words>
  <Characters>2611</Characters>
  <Lines>21</Lines>
  <Paragraphs>6</Paragraphs>
  <TotalTime>6</TotalTime>
  <ScaleCrop>false</ScaleCrop>
  <LinksUpToDate>false</LinksUpToDate>
  <CharactersWithSpaces>3062</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2019-09-04T14:41:00Z</dcterms:created>
  <dc:creator>admin</dc:creator>
  <cp:lastModifiedBy>董小平</cp:lastModifiedBy>
  <dcterms:modified xsi:type="dcterms:W3CDTF">2020-02-12T02:56:17Z</dcterms:modified>
  <cp:revision>311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