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vertAlign w:val="baseline"/>
          <w:lang w:val="en-US" w:eastAsia="zh-CN"/>
        </w:rPr>
      </w:pPr>
      <w:bookmarkStart w:id="0" w:name="OLE_LINK1"/>
      <w:r>
        <w:rPr>
          <w:rFonts w:hint="eastAsia" w:ascii="方正小标宋_GBK" w:hAnsi="方正小标宋_GBK" w:eastAsia="方正小标宋_GBK" w:cs="方正小标宋_GBK"/>
          <w:sz w:val="44"/>
          <w:szCs w:val="44"/>
          <w:vertAlign w:val="baseline"/>
          <w:lang w:val="en-US" w:eastAsia="zh-CN"/>
        </w:rPr>
        <w:t>乡镇涉企行政检查事项清单</w:t>
      </w:r>
      <w:bookmarkStart w:id="1" w:name="_GoBack"/>
      <w:bookmarkEnd w:id="1"/>
    </w:p>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77"/>
        <w:gridCol w:w="2475"/>
        <w:gridCol w:w="170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w:t>
            </w: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47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bookmarkEnd w:id="0"/>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3eb4b1c0-230c-4f63-aa14-9d8f922802a2"/>
  </w:docVars>
  <w:rsids>
    <w:rsidRoot w:val="594E294F"/>
    <w:rsid w:val="093C2854"/>
    <w:rsid w:val="15DA03D5"/>
    <w:rsid w:val="1D786605"/>
    <w:rsid w:val="1F325E01"/>
    <w:rsid w:val="25F4702E"/>
    <w:rsid w:val="26434E25"/>
    <w:rsid w:val="2AB43A2A"/>
    <w:rsid w:val="2C377574"/>
    <w:rsid w:val="2ED82CCC"/>
    <w:rsid w:val="33E81E5A"/>
    <w:rsid w:val="39677CC5"/>
    <w:rsid w:val="3B154FEA"/>
    <w:rsid w:val="3B427E5C"/>
    <w:rsid w:val="40771302"/>
    <w:rsid w:val="4C3B072E"/>
    <w:rsid w:val="594E294F"/>
    <w:rsid w:val="674E3162"/>
    <w:rsid w:val="67A06958"/>
    <w:rsid w:val="68AB21C6"/>
    <w:rsid w:val="6B3C5974"/>
    <w:rsid w:val="6CF75CBA"/>
    <w:rsid w:val="7CCC04C5"/>
    <w:rsid w:val="7E99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9620</Words>
  <Characters>9959</Characters>
  <Lines>0</Lines>
  <Paragraphs>0</Paragraphs>
  <TotalTime>21</TotalTime>
  <ScaleCrop>false</ScaleCrop>
  <LinksUpToDate>false</LinksUpToDate>
  <CharactersWithSpaces>9962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2025-04-10T02:50:00Z</dcterms:created>
  <dc:creator>空白</dc:creator>
  <cp:lastModifiedBy>彭涛</cp:lastModifiedBy>
  <dcterms:modified xsi:type="dcterms:W3CDTF">2025-04-16T09:09:53Z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A698BB6C99494F529E029EAF85F103A2_11</vt:lpwstr>
  </property>
  <property fmtid="{D5CDD505-2E9C-101B-9397-08002B2CF9AE}" pid="4" name="KSOTemplateDocerSaveRecord">
    <vt:lpwstr>eyJoZGlkIjoiMzkwYzZmNzFjOWY0YTdjM2JmZmJmYjhmZDBlMGEyMDkiLCJ1c2VySWQiOiIzNDQ3MzM3MzgifQ==</vt:lpwstr>
  </property>
</Properties>
</file>