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1"/>
        <w:spacing w:before="0" w:beforeAutospacing="0"/>
        <w:jc w:val="center"/>
        <w:rPr>
          <w:rFonts w:hint="eastAsia" w:ascii="方正小标宋_GBK" w:hAnsi="宋体" w:eastAsia="方正小标宋_GBK" w:cs="方正小标宋_GBK"/>
          <w:b w:val="0"/>
          <w:bCs/>
          <w:sz w:val="44"/>
          <w:szCs w:val="44"/>
          <w:shd w:val="clear" w:fill="FFFFFF"/>
          <w:lang w:val="en-US"/>
        </w:rPr>
      </w:pPr>
      <w:r>
        <w:rPr>
          <w:rStyle w:val="54"/>
          <w:rFonts w:hint="eastAsia" w:ascii="方正小标宋_GBK" w:hAnsi="宋体" w:eastAsia="方正小标宋_GBK" w:cs="方正小标宋_GBK"/>
          <w:b w:val="0"/>
          <w:bCs/>
          <w:sz w:val="44"/>
          <w:szCs w:val="44"/>
          <w:shd w:val="clear" w:fill="FFFFFF"/>
          <w:lang w:eastAsia="zh-CN"/>
        </w:rPr>
        <w:t>丰都县三建乡人民政府</w:t>
      </w:r>
    </w:p>
    <w:p>
      <w:pPr>
        <w:pStyle w:val="41"/>
        <w:spacing w:before="0" w:beforeAutospacing="0"/>
        <w:jc w:val="center"/>
        <w:rPr>
          <w:b/>
          <w:bCs w:val="0"/>
          <w:lang w:val="en-US"/>
        </w:rPr>
      </w:pPr>
      <w:r>
        <w:rPr>
          <w:rStyle w:val="54"/>
          <w:rFonts w:hint="eastAsia" w:ascii="方正小标宋_GBK" w:hAnsi="方正小标宋_GBK" w:eastAsia="方正小标宋_GBK" w:cs="方正小标宋_GBK"/>
          <w:b w:val="0"/>
          <w:bCs/>
          <w:sz w:val="44"/>
          <w:szCs w:val="44"/>
          <w:shd w:val="clear" w:fill="FFFFFF"/>
          <w:lang w:val="en-US"/>
        </w:rPr>
        <w:t>2022</w:t>
      </w:r>
      <w:r>
        <w:rPr>
          <w:rStyle w:val="54"/>
          <w:rFonts w:hint="eastAsia" w:ascii="方正小标宋_GBK" w:hAnsi="宋体" w:eastAsia="方正小标宋_GBK" w:cs="方正小标宋_GBK"/>
          <w:b w:val="0"/>
          <w:bCs/>
          <w:sz w:val="44"/>
          <w:szCs w:val="44"/>
          <w:shd w:val="clear" w:fill="FFFFFF"/>
          <w:lang w:eastAsia="zh-CN"/>
        </w:rPr>
        <w:t>年度部门决算情况说明</w:t>
      </w:r>
    </w:p>
    <w:p>
      <w:pPr>
        <w:pStyle w:val="41"/>
        <w:snapToGrid w:val="0"/>
        <w:spacing w:before="0" w:beforeAutospacing="0" w:after="0" w:afterAutospacing="0"/>
        <w:ind w:left="0" w:right="0"/>
        <w:rPr>
          <w:rFonts w:eastAsia="方正仿宋_GBK"/>
          <w:sz w:val="32"/>
          <w:szCs w:val="32"/>
          <w:shd w:val="clear" w:fill="FFFFFF"/>
          <w:lang w:val="en-US"/>
        </w:rPr>
      </w:pPr>
    </w:p>
    <w:p>
      <w:pPr>
        <w:pStyle w:val="41"/>
        <w:adjustRightInd w:val="0"/>
        <w:snapToGrid w:val="0"/>
        <w:spacing w:before="0" w:beforeAutospacing="0" w:after="0" w:afterAutospacing="0"/>
        <w:ind w:left="0" w:right="0" w:firstLine="640" w:firstLineChars="200"/>
        <w:rPr>
          <w:rFonts w:hint="eastAsia" w:ascii="方正黑体_GBK" w:hAnsi="方正黑体_GBK" w:eastAsia="方正黑体_GBK" w:cs="方正黑体_GBK"/>
          <w:b w:val="0"/>
          <w:bCs/>
          <w:sz w:val="32"/>
          <w:szCs w:val="32"/>
          <w:shd w:val="clear" w:fill="FFFFFF"/>
          <w:lang w:val="en-US"/>
        </w:rPr>
      </w:pPr>
      <w:r>
        <w:rPr>
          <w:rStyle w:val="54"/>
          <w:rFonts w:hint="eastAsia" w:ascii="方正黑体_GBK" w:hAnsi="方正黑体_GBK" w:eastAsia="方正黑体_GBK" w:cs="方正黑体_GBK"/>
          <w:b w:val="0"/>
          <w:bCs/>
          <w:sz w:val="32"/>
          <w:szCs w:val="32"/>
          <w:shd w:val="clear" w:fill="FFFFFF"/>
          <w:lang w:eastAsia="zh-CN"/>
        </w:rPr>
        <w:t>一、部门基本情况</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lang w:val="en-US"/>
        </w:rPr>
      </w:pPr>
      <w:r>
        <w:rPr>
          <w:rStyle w:val="54"/>
          <w:rFonts w:hint="eastAsia" w:ascii="方正楷体_GBK" w:hAnsi="方正楷体_GBK" w:eastAsia="方正楷体_GBK" w:cs="方正楷体_GBK"/>
          <w:b w:val="0"/>
          <w:bCs/>
          <w:sz w:val="32"/>
          <w:szCs w:val="24"/>
          <w:shd w:val="clear" w:fill="FFFFFF"/>
          <w:lang w:eastAsia="zh-CN"/>
        </w:rPr>
        <w:t>（一）职能职责</w:t>
      </w:r>
    </w:p>
    <w:p>
      <w:pPr>
        <w:adjustRightInd w:val="0"/>
        <w:snapToGrid w:val="0"/>
        <w:spacing w:after="0" w:afterAutospacing="0"/>
        <w:ind w:left="0" w:firstLine="640" w:firstLineChars="200"/>
        <w:rPr>
          <w:rFonts w:hint="default" w:ascii="Times New Roman" w:hAnsi="Times New Roman" w:eastAsia="方正仿宋_GBK" w:cs="宋体"/>
          <w:bCs/>
          <w:sz w:val="32"/>
          <w:szCs w:val="24"/>
          <w:shd w:val="clear" w:fill="FFFFFF"/>
          <w:lang w:val="en-US"/>
        </w:rPr>
      </w:pPr>
      <w:r>
        <w:rPr>
          <w:rFonts w:hint="default" w:ascii="Times New Roman" w:hAnsi="Times New Roman" w:eastAsia="方正仿宋_GBK" w:cs="宋体"/>
          <w:color w:val="000000"/>
          <w:sz w:val="32"/>
          <w:szCs w:val="24"/>
          <w:lang w:val="en-US"/>
        </w:rPr>
        <w:t>1.</w:t>
      </w:r>
      <w:r>
        <w:rPr>
          <w:rFonts w:hint="eastAsia" w:ascii="Times New Roman" w:hAnsi="Times New Roman" w:eastAsia="方正仿宋_GBK" w:cs="方正仿宋_GBK"/>
          <w:color w:val="000000"/>
          <w:sz w:val="32"/>
          <w:szCs w:val="24"/>
          <w:lang w:eastAsia="zh-CN"/>
        </w:rPr>
        <w:t>执行本级人民代表大会决议以及上级国家行政机关的决定和命令；</w:t>
      </w:r>
      <w:r>
        <w:rPr>
          <w:rFonts w:hint="default" w:ascii="Times New Roman" w:hAnsi="Times New Roman" w:eastAsia="方正仿宋_GBK" w:cs="宋体"/>
          <w:color w:val="000000"/>
          <w:sz w:val="32"/>
          <w:szCs w:val="24"/>
          <w:lang w:val="en-US"/>
        </w:rPr>
        <w:t xml:space="preserve"> 2.</w:t>
      </w:r>
      <w:r>
        <w:rPr>
          <w:rFonts w:hint="eastAsia" w:ascii="Times New Roman" w:hAnsi="Times New Roman" w:eastAsia="方正仿宋_GBK" w:cs="方正仿宋_GBK"/>
          <w:color w:val="000000"/>
          <w:sz w:val="32"/>
          <w:szCs w:val="24"/>
          <w:lang w:eastAsia="zh-CN"/>
        </w:rPr>
        <w:t>执行全乡的社会和经济发展计划、预算，管理本乡内的经济、教育、科技、文化、卫生、体育事业和财政、民政、治安、人民调解、安全生产监督管理等行政工作；</w:t>
      </w:r>
      <w:r>
        <w:rPr>
          <w:rFonts w:hint="default" w:ascii="Times New Roman" w:hAnsi="Times New Roman" w:eastAsia="方正仿宋_GBK" w:cs="宋体"/>
          <w:color w:val="000000"/>
          <w:sz w:val="32"/>
          <w:szCs w:val="24"/>
          <w:lang w:val="en-US"/>
        </w:rPr>
        <w:t xml:space="preserve"> 3.</w:t>
      </w:r>
      <w:r>
        <w:rPr>
          <w:rFonts w:hint="eastAsia" w:ascii="Times New Roman" w:hAnsi="Times New Roman" w:eastAsia="方正仿宋_GBK" w:cs="方正仿宋_GBK"/>
          <w:color w:val="000000"/>
          <w:sz w:val="32"/>
          <w:szCs w:val="24"/>
          <w:lang w:eastAsia="zh-CN"/>
        </w:rPr>
        <w:t>保护社会主义的全民所有财产和劳动群众集体所有财产，保护公民私人所有的合法财产，维护社会秩序，保障公民的人身权利、民主权利和其他权利；</w:t>
      </w:r>
      <w:r>
        <w:rPr>
          <w:rFonts w:hint="default" w:ascii="Times New Roman" w:hAnsi="Times New Roman" w:eastAsia="方正仿宋_GBK" w:cs="宋体"/>
          <w:color w:val="000000"/>
          <w:sz w:val="32"/>
          <w:szCs w:val="24"/>
          <w:lang w:val="en-US"/>
        </w:rPr>
        <w:t xml:space="preserve"> 4.</w:t>
      </w:r>
      <w:r>
        <w:rPr>
          <w:rFonts w:hint="eastAsia" w:ascii="Times New Roman" w:hAnsi="Times New Roman" w:eastAsia="方正仿宋_GBK" w:cs="方正仿宋_GBK"/>
          <w:color w:val="000000"/>
          <w:sz w:val="32"/>
          <w:szCs w:val="24"/>
          <w:lang w:eastAsia="zh-CN"/>
        </w:rPr>
        <w:t>保护各种经济组织的合法权益；</w:t>
      </w:r>
      <w:r>
        <w:rPr>
          <w:rFonts w:hint="default" w:ascii="Times New Roman" w:hAnsi="Times New Roman" w:eastAsia="方正仿宋_GBK" w:cs="宋体"/>
          <w:color w:val="000000"/>
          <w:sz w:val="32"/>
          <w:szCs w:val="24"/>
          <w:lang w:val="en-US"/>
        </w:rPr>
        <w:t xml:space="preserve"> 5.</w:t>
      </w:r>
      <w:r>
        <w:rPr>
          <w:rFonts w:hint="eastAsia" w:ascii="Times New Roman" w:hAnsi="Times New Roman" w:eastAsia="方正仿宋_GBK" w:cs="方正仿宋_GBK"/>
          <w:color w:val="000000"/>
          <w:sz w:val="32"/>
          <w:szCs w:val="24"/>
          <w:lang w:eastAsia="zh-CN"/>
        </w:rPr>
        <w:t>保障宪法和法律赋予妇女的男女平等、婚姻自由等各项权利；</w:t>
      </w:r>
      <w:r>
        <w:rPr>
          <w:rFonts w:hint="default" w:ascii="Times New Roman" w:hAnsi="Times New Roman" w:eastAsia="方正仿宋_GBK" w:cs="宋体"/>
          <w:color w:val="000000"/>
          <w:sz w:val="32"/>
          <w:szCs w:val="24"/>
          <w:lang w:val="en-US"/>
        </w:rPr>
        <w:t xml:space="preserve"> 6.</w:t>
      </w:r>
      <w:r>
        <w:rPr>
          <w:rFonts w:hint="eastAsia" w:ascii="Times New Roman" w:hAnsi="Times New Roman" w:eastAsia="方正仿宋_GBK" w:cs="方正仿宋_GBK"/>
          <w:color w:val="000000"/>
          <w:sz w:val="32"/>
          <w:szCs w:val="24"/>
          <w:lang w:eastAsia="zh-CN"/>
        </w:rPr>
        <w:t>完成三建乡乡村振兴市级示范乡建设和场镇滑坡避险整体搬迁工作；</w:t>
      </w:r>
      <w:r>
        <w:rPr>
          <w:rFonts w:hint="default" w:ascii="Times New Roman" w:hAnsi="Times New Roman" w:eastAsia="方正仿宋_GBK" w:cs="宋体"/>
          <w:color w:val="000000"/>
          <w:sz w:val="32"/>
          <w:szCs w:val="24"/>
          <w:lang w:val="en-US"/>
        </w:rPr>
        <w:t>7.</w:t>
      </w:r>
      <w:r>
        <w:rPr>
          <w:rFonts w:hint="eastAsia" w:ascii="Times New Roman" w:hAnsi="Times New Roman" w:eastAsia="方正仿宋_GBK" w:cs="方正仿宋_GBK"/>
          <w:color w:val="000000"/>
          <w:sz w:val="32"/>
          <w:szCs w:val="24"/>
          <w:lang w:eastAsia="zh-CN"/>
        </w:rPr>
        <w:t>办理上级人民政府交办的其他事项。</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lang w:val="en-US"/>
        </w:rPr>
      </w:pPr>
      <w:r>
        <w:rPr>
          <w:rStyle w:val="54"/>
          <w:rFonts w:hint="eastAsia" w:ascii="方正楷体_GBK" w:hAnsi="方正楷体_GBK" w:eastAsia="方正楷体_GBK" w:cs="方正楷体_GBK"/>
          <w:b w:val="0"/>
          <w:bCs/>
          <w:sz w:val="32"/>
          <w:szCs w:val="24"/>
          <w:shd w:val="clear" w:fill="FFFFFF"/>
          <w:lang w:eastAsia="zh-CN"/>
        </w:rPr>
        <w:t>（二）机构设置</w:t>
      </w:r>
    </w:p>
    <w:p>
      <w:pPr>
        <w:adjustRightInd w:val="0"/>
        <w:snapToGrid w:val="0"/>
        <w:spacing w:after="0" w:afterAutospacing="0"/>
        <w:ind w:left="0" w:firstLine="640" w:firstLineChars="200"/>
        <w:rPr>
          <w:rFonts w:hint="default" w:ascii="Times New Roman" w:hAnsi="宋体" w:eastAsia="方正仿宋_GBK" w:cs="宋体"/>
          <w:sz w:val="32"/>
          <w:szCs w:val="24"/>
          <w:lang w:val="en-US"/>
        </w:rPr>
      </w:pPr>
      <w:r>
        <w:rPr>
          <w:rFonts w:hint="eastAsia" w:ascii="Times New Roman" w:hAnsi="Times New Roman" w:eastAsia="方正仿宋_GBK" w:cs="方正仿宋_GBK"/>
          <w:sz w:val="32"/>
          <w:szCs w:val="24"/>
          <w:lang w:eastAsia="zh-CN"/>
        </w:rPr>
        <w:t>行政机构十个：党政办公室、</w:t>
      </w:r>
      <w:r>
        <w:rPr>
          <w:rFonts w:hint="eastAsia" w:ascii="Times New Roman" w:hAnsi="Times New Roman" w:eastAsia="方正仿宋_GBK" w:cs="方正仿宋_GBK"/>
          <w:color w:val="000000"/>
          <w:sz w:val="32"/>
          <w:szCs w:val="24"/>
          <w:lang w:eastAsia="zh-CN"/>
        </w:rPr>
        <w:t>党群工作办公室、</w:t>
      </w:r>
      <w:r>
        <w:rPr>
          <w:rFonts w:hint="eastAsia" w:ascii="Times New Roman" w:hAnsi="Times New Roman" w:eastAsia="方正仿宋_GBK" w:cs="方正仿宋_GBK"/>
          <w:sz w:val="32"/>
          <w:szCs w:val="24"/>
          <w:lang w:eastAsia="zh-CN"/>
        </w:rPr>
        <w:t>经济发展办公室（挂统计办公室、农村经营管理办公室牌子）、</w:t>
      </w:r>
      <w:r>
        <w:rPr>
          <w:rFonts w:hint="default" w:ascii="Times New Roman" w:hAnsi="Times New Roman" w:eastAsia="方正仿宋_GBK" w:cs="宋体"/>
          <w:color w:val="000000"/>
          <w:sz w:val="32"/>
          <w:szCs w:val="24"/>
          <w:lang w:eastAsia="zh-CN"/>
        </w:rPr>
        <w:t xml:space="preserve"> </w:t>
      </w:r>
      <w:r>
        <w:rPr>
          <w:rFonts w:hint="eastAsia" w:ascii="Times New Roman" w:hAnsi="Times New Roman" w:eastAsia="方正仿宋_GBK" w:cs="方正仿宋_GBK"/>
          <w:color w:val="000000"/>
          <w:sz w:val="32"/>
          <w:szCs w:val="24"/>
          <w:lang w:eastAsia="zh-CN"/>
        </w:rPr>
        <w:t>民政和社会事务办公室（挂卫生健康办公室牌子）、</w:t>
      </w:r>
      <w:r>
        <w:rPr>
          <w:rFonts w:hint="default" w:ascii="Times New Roman" w:hAnsi="Times New Roman" w:eastAsia="方正仿宋_GBK" w:cs="宋体"/>
          <w:color w:val="000000"/>
          <w:sz w:val="32"/>
          <w:szCs w:val="24"/>
          <w:lang w:eastAsia="zh-CN"/>
        </w:rPr>
        <w:t xml:space="preserve"> </w:t>
      </w:r>
      <w:r>
        <w:rPr>
          <w:rFonts w:hint="eastAsia" w:ascii="Times New Roman" w:hAnsi="Times New Roman" w:eastAsia="方正仿宋_GBK" w:cs="方正仿宋_GBK"/>
          <w:color w:val="000000"/>
          <w:sz w:val="32"/>
          <w:szCs w:val="24"/>
          <w:lang w:eastAsia="zh-CN"/>
        </w:rPr>
        <w:t>平安建设办公室、</w:t>
      </w:r>
      <w:r>
        <w:rPr>
          <w:rFonts w:hint="default" w:ascii="Times New Roman" w:hAnsi="Times New Roman" w:eastAsia="方正仿宋_GBK" w:cs="宋体"/>
          <w:color w:val="000000"/>
          <w:sz w:val="32"/>
          <w:szCs w:val="24"/>
          <w:lang w:eastAsia="zh-CN"/>
        </w:rPr>
        <w:t xml:space="preserve"> </w:t>
      </w:r>
      <w:r>
        <w:rPr>
          <w:rFonts w:hint="eastAsia" w:ascii="Times New Roman" w:hAnsi="Times New Roman" w:eastAsia="方正仿宋_GBK" w:cs="方正仿宋_GBK"/>
          <w:color w:val="000000"/>
          <w:sz w:val="32"/>
          <w:szCs w:val="24"/>
          <w:lang w:eastAsia="zh-CN"/>
        </w:rPr>
        <w:t>规划建设管理环保办公室、</w:t>
      </w:r>
      <w:r>
        <w:rPr>
          <w:rFonts w:hint="eastAsia" w:ascii="Times New Roman" w:hAnsi="Times New Roman" w:eastAsia="方正仿宋_GBK" w:cs="方正仿宋_GBK"/>
          <w:sz w:val="32"/>
          <w:szCs w:val="24"/>
          <w:lang w:eastAsia="zh-CN"/>
        </w:rPr>
        <w:t>财政办公室、</w:t>
      </w:r>
      <w:r>
        <w:rPr>
          <w:rFonts w:hint="eastAsia" w:ascii="Times New Roman" w:hAnsi="Times New Roman" w:eastAsia="方正仿宋_GBK" w:cs="方正仿宋_GBK"/>
          <w:color w:val="000000"/>
          <w:sz w:val="32"/>
          <w:szCs w:val="24"/>
          <w:lang w:eastAsia="zh-CN"/>
        </w:rPr>
        <w:t>应急管理办公室、</w:t>
      </w:r>
      <w:r>
        <w:rPr>
          <w:rFonts w:hint="eastAsia" w:ascii="Times New Roman" w:hAnsi="Times New Roman" w:eastAsia="方正仿宋_GBK" w:cs="方正仿宋_GBK"/>
          <w:sz w:val="32"/>
          <w:szCs w:val="24"/>
          <w:lang w:eastAsia="zh-CN"/>
        </w:rPr>
        <w:t>人大办公室、综合行政执法办公室。</w:t>
      </w:r>
    </w:p>
    <w:p>
      <w:pPr>
        <w:adjustRightInd w:val="0"/>
        <w:snapToGrid w:val="0"/>
        <w:spacing w:after="0" w:afterAutospacing="0"/>
        <w:ind w:lef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lang w:eastAsia="zh-CN"/>
        </w:rPr>
        <w:t>事业机构五个：丰都县三建乡农业服务中心、丰都县三建乡文化服务中心、丰都县三建乡劳动就业和社会保障服务所、丰都县三建乡综合行政执法大队、丰都县三建乡退役军人服务站。</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（三）单位构成</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从预算单位构成看，纳入本部门</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年度决算编制的无二级预算单位。</w:t>
      </w:r>
    </w:p>
    <w:p>
      <w:pPr>
        <w:pStyle w:val="41"/>
        <w:adjustRightInd w:val="0"/>
        <w:snapToGrid w:val="0"/>
        <w:spacing w:before="0" w:beforeAutospacing="0" w:after="0" w:afterAutospacing="0"/>
        <w:ind w:left="0" w:right="0" w:firstLine="640" w:firstLineChars="200"/>
        <w:rPr>
          <w:rFonts w:hint="eastAsia" w:ascii="方正黑体_GBK" w:hAnsi="方正黑体_GBK" w:eastAsia="方正黑体_GBK" w:cs="方正黑体_GBK"/>
          <w:szCs w:val="32"/>
          <w:shd w:val="clear" w:fill="FFFFFF"/>
          <w:lang w:val="en-US"/>
        </w:rPr>
      </w:pPr>
      <w:r>
        <w:rPr>
          <w:rStyle w:val="54"/>
          <w:rFonts w:hint="eastAsia" w:ascii="方正黑体_GBK" w:hAnsi="方正黑体_GBK" w:eastAsia="方正黑体_GBK" w:cs="方正黑体_GBK"/>
          <w:b w:val="0"/>
          <w:bCs/>
          <w:sz w:val="32"/>
          <w:szCs w:val="32"/>
          <w:shd w:val="clear" w:fill="FFFFFF"/>
          <w:lang w:eastAsia="zh-CN"/>
        </w:rPr>
        <w:t>二、部门决算情况说明</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（一）收入支出决算总体情况说明。</w:t>
      </w:r>
    </w:p>
    <w:p>
      <w:pPr>
        <w:pStyle w:val="41"/>
        <w:adjustRightInd w:val="0"/>
        <w:snapToGrid w:val="0"/>
        <w:spacing w:before="0" w:beforeAutospacing="0" w:after="0" w:afterAutospacing="0"/>
        <w:ind w:left="0" w:right="0" w:firstLine="643" w:firstLineChars="200"/>
        <w:rPr>
          <w:rFonts w:hint="default" w:ascii="Times New Roman" w:hAnsi="宋体" w:eastAsia="方正仿宋_GBK" w:cs="宋体"/>
          <w:sz w:val="32"/>
          <w:szCs w:val="24"/>
          <w:lang w:val="en-US"/>
        </w:rPr>
      </w:pPr>
      <w:r>
        <w:rPr>
          <w:rStyle w:val="54"/>
          <w:rFonts w:eastAsia="方正仿宋_GBK"/>
          <w:sz w:val="32"/>
          <w:szCs w:val="24"/>
          <w:shd w:val="clear" w:fill="FFFFFF"/>
          <w:lang w:val="en-US"/>
        </w:rPr>
        <w:t>1.</w:t>
      </w:r>
      <w:r>
        <w:rPr>
          <w:rStyle w:val="54"/>
          <w:rFonts w:hint="eastAsia" w:ascii="Times New Roman" w:hAnsi="方正仿宋_GBK" w:eastAsia="方正仿宋_GBK" w:cs="方正仿宋_GBK"/>
          <w:sz w:val="32"/>
          <w:szCs w:val="24"/>
          <w:shd w:val="clear" w:fill="FFFFFF"/>
          <w:lang w:eastAsia="zh-CN"/>
        </w:rPr>
        <w:t>总体情况。</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年度收入总计</w:t>
      </w:r>
      <w:r>
        <w:rPr>
          <w:rFonts w:hint="default" w:ascii="Times New Roman" w:hAnsi="Times New Roman" w:eastAsia="方正仿宋_GBK" w:cs="宋体"/>
          <w:sz w:val="32"/>
          <w:szCs w:val="24"/>
          <w:shd w:val="clear" w:fill="FFFFFF"/>
          <w:lang w:val="en-US"/>
        </w:rPr>
        <w:t>9,446.87</w:t>
      </w:r>
      <w:r>
        <w:rPr>
          <w:rFonts w:hint="eastAsia" w:ascii="Times New Roman" w:hAnsi="Times New Roman" w:eastAsia="方正仿宋_GBK" w:cs="方正仿宋_GBK"/>
          <w:sz w:val="32"/>
          <w:szCs w:val="24"/>
          <w:shd w:val="clear" w:fill="FFFFFF"/>
          <w:lang w:eastAsia="zh-CN"/>
        </w:rPr>
        <w:t>万元，支出总计</w:t>
      </w:r>
      <w:r>
        <w:rPr>
          <w:rFonts w:hint="default" w:ascii="Times New Roman" w:hAnsi="Times New Roman" w:eastAsia="方正仿宋_GBK" w:cs="宋体"/>
          <w:sz w:val="32"/>
          <w:szCs w:val="24"/>
          <w:shd w:val="clear" w:fill="FFFFFF"/>
          <w:lang w:val="en-US"/>
        </w:rPr>
        <w:t>9,446.87</w:t>
      </w:r>
      <w:r>
        <w:rPr>
          <w:rFonts w:hint="eastAsia" w:ascii="Times New Roman" w:hAnsi="Times New Roman" w:eastAsia="方正仿宋_GBK" w:cs="方正仿宋_GBK"/>
          <w:sz w:val="32"/>
          <w:szCs w:val="24"/>
          <w:shd w:val="clear" w:fill="FFFFFF"/>
          <w:lang w:eastAsia="zh-CN"/>
        </w:rPr>
        <w:t>万元。收支较上年决算数减少</w:t>
      </w:r>
      <w:r>
        <w:rPr>
          <w:rFonts w:hint="default" w:ascii="Times New Roman" w:hAnsi="Times New Roman" w:eastAsia="方正仿宋_GBK" w:cs="宋体"/>
          <w:sz w:val="32"/>
          <w:szCs w:val="24"/>
          <w:shd w:val="clear" w:fill="FFFFFF"/>
          <w:lang w:val="en-US"/>
        </w:rPr>
        <w:t>9,060.95</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49%</w:t>
      </w:r>
      <w:r>
        <w:rPr>
          <w:rFonts w:hint="eastAsia" w:ascii="Times New Roman" w:hAnsi="Times New Roman" w:eastAsia="方正仿宋_GBK" w:cs="方正仿宋_GBK"/>
          <w:sz w:val="32"/>
          <w:szCs w:val="24"/>
          <w:shd w:val="clear" w:fill="FFFFFF"/>
          <w:lang w:eastAsia="zh-CN"/>
        </w:rPr>
        <w:t>，主要原因是</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年招商引资优惠政策产业补助项目收支比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8742.17</w:t>
      </w:r>
      <w:r>
        <w:rPr>
          <w:rFonts w:hint="eastAsia" w:ascii="Times New Roman" w:hAnsi="Times New Roman" w:eastAsia="方正仿宋_GBK" w:cs="方正仿宋_GBK"/>
          <w:sz w:val="32"/>
          <w:szCs w:val="24"/>
          <w:shd w:val="clear" w:fill="FFFFFF"/>
          <w:lang w:eastAsia="zh-CN"/>
        </w:rPr>
        <w:t>万元，扶贫产业精细化管护费</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年收支比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299.12</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3" w:firstLineChars="200"/>
        <w:rPr>
          <w:rFonts w:hint="default" w:ascii="Times New Roman" w:hAnsi="Times New Roman" w:eastAsia="方正仿宋_GBK" w:cs="宋体"/>
          <w:sz w:val="32"/>
          <w:szCs w:val="24"/>
          <w:lang w:val="en-US"/>
        </w:rPr>
      </w:pPr>
      <w:r>
        <w:rPr>
          <w:rStyle w:val="54"/>
          <w:rFonts w:eastAsia="方正仿宋_GBK"/>
          <w:sz w:val="32"/>
          <w:szCs w:val="24"/>
          <w:shd w:val="clear" w:fill="FFFFFF"/>
          <w:lang w:val="en-US"/>
        </w:rPr>
        <w:t>2.</w:t>
      </w:r>
      <w:r>
        <w:rPr>
          <w:rStyle w:val="54"/>
          <w:rFonts w:hint="eastAsia" w:ascii="Times New Roman" w:hAnsi="方正仿宋_GBK" w:eastAsia="方正仿宋_GBK" w:cs="方正仿宋_GBK"/>
          <w:sz w:val="32"/>
          <w:szCs w:val="24"/>
          <w:shd w:val="clear" w:fill="FFFFFF"/>
          <w:lang w:eastAsia="zh-CN"/>
        </w:rPr>
        <w:t>收入情况。</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年度收入合计</w:t>
      </w:r>
      <w:r>
        <w:rPr>
          <w:rFonts w:hint="default" w:ascii="Times New Roman" w:hAnsi="Times New Roman" w:eastAsia="方正仿宋_GBK" w:cs="宋体"/>
          <w:sz w:val="32"/>
          <w:szCs w:val="24"/>
          <w:shd w:val="clear" w:fill="FFFFFF"/>
          <w:lang w:val="en-US"/>
        </w:rPr>
        <w:t>8,975.70</w:t>
      </w:r>
      <w:r>
        <w:rPr>
          <w:rFonts w:hint="eastAsia" w:ascii="Times New Roman" w:hAnsi="Times New Roman" w:eastAsia="方正仿宋_GBK" w:cs="方正仿宋_GBK"/>
          <w:sz w:val="32"/>
          <w:szCs w:val="24"/>
          <w:shd w:val="clear" w:fill="FFFFFF"/>
          <w:lang w:eastAsia="zh-CN"/>
        </w:rPr>
        <w:t>万元，较上年决算数减少</w:t>
      </w:r>
      <w:r>
        <w:rPr>
          <w:rFonts w:hint="default" w:ascii="Times New Roman" w:hAnsi="Times New Roman" w:eastAsia="方正仿宋_GBK" w:cs="宋体"/>
          <w:sz w:val="32"/>
          <w:szCs w:val="24"/>
          <w:shd w:val="clear" w:fill="FFFFFF"/>
          <w:lang w:val="en-US"/>
        </w:rPr>
        <w:t>9,532.12</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51.5%</w:t>
      </w:r>
      <w:r>
        <w:rPr>
          <w:rFonts w:hint="eastAsia" w:ascii="Times New Roman" w:hAnsi="Times New Roman" w:eastAsia="方正仿宋_GBK" w:cs="方正仿宋_GBK"/>
          <w:sz w:val="32"/>
          <w:szCs w:val="24"/>
          <w:shd w:val="clear" w:fill="FFFFFF"/>
          <w:lang w:eastAsia="zh-CN"/>
        </w:rPr>
        <w:t>，主要原因是</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年招商引资优惠政策产业补助项目收入比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8742.17</w:t>
      </w:r>
      <w:r>
        <w:rPr>
          <w:rFonts w:hint="eastAsia" w:ascii="Times New Roman" w:hAnsi="Times New Roman" w:eastAsia="方正仿宋_GBK" w:cs="方正仿宋_GBK"/>
          <w:sz w:val="32"/>
          <w:szCs w:val="24"/>
          <w:shd w:val="clear" w:fill="FFFFFF"/>
          <w:lang w:eastAsia="zh-CN"/>
        </w:rPr>
        <w:t>万元，扶贫产业精细化管护费</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年收入比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299.12</w:t>
      </w:r>
      <w:r>
        <w:rPr>
          <w:rFonts w:hint="eastAsia" w:ascii="Times New Roman" w:hAnsi="Times New Roman" w:eastAsia="方正仿宋_GBK" w:cs="方正仿宋_GBK"/>
          <w:sz w:val="32"/>
          <w:szCs w:val="24"/>
          <w:shd w:val="clear" w:fill="FFFFFF"/>
          <w:lang w:eastAsia="zh-CN"/>
        </w:rPr>
        <w:t>万元。动用年初结转和结余</w:t>
      </w:r>
      <w:r>
        <w:rPr>
          <w:rFonts w:hint="default" w:ascii="Times New Roman" w:hAnsi="Times New Roman" w:eastAsia="方正仿宋_GBK" w:cs="宋体"/>
          <w:sz w:val="32"/>
          <w:szCs w:val="24"/>
          <w:shd w:val="clear" w:fill="FFFFFF"/>
          <w:lang w:val="en-US"/>
        </w:rPr>
        <w:t>471.17</w:t>
      </w:r>
      <w:r>
        <w:rPr>
          <w:rFonts w:hint="eastAsia" w:ascii="Times New Roman" w:hAnsi="Times New Roman" w:eastAsia="方正仿宋_GBK" w:cs="方正仿宋_GBK"/>
          <w:sz w:val="32"/>
          <w:szCs w:val="24"/>
          <w:shd w:val="clear" w:fill="FFFFFF"/>
          <w:lang w:eastAsia="zh-CN"/>
        </w:rPr>
        <w:t>万元。其中：财政拨款收入</w:t>
      </w:r>
      <w:r>
        <w:rPr>
          <w:rFonts w:hint="default" w:ascii="Times New Roman" w:hAnsi="Times New Roman" w:eastAsia="方正仿宋_GBK" w:cs="宋体"/>
          <w:sz w:val="32"/>
          <w:szCs w:val="24"/>
          <w:shd w:val="clear" w:fill="FFFFFF"/>
          <w:lang w:val="en-US"/>
        </w:rPr>
        <w:t>8,975.70</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100%</w:t>
      </w:r>
      <w:r>
        <w:rPr>
          <w:rFonts w:hint="eastAsia" w:ascii="Times New Roman" w:hAnsi="Times New Roman" w:eastAsia="方正仿宋_GBK" w:cs="方正仿宋_GBK"/>
          <w:sz w:val="32"/>
          <w:szCs w:val="24"/>
          <w:shd w:val="clear" w:fill="FFFFFF"/>
          <w:lang w:eastAsia="zh-CN"/>
        </w:rPr>
        <w:t>。此外，使用非财政拨款结余</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万元，年初结转和结余</w:t>
      </w:r>
      <w:r>
        <w:rPr>
          <w:rFonts w:hint="default" w:ascii="Times New Roman" w:hAnsi="Times New Roman" w:eastAsia="方正仿宋_GBK" w:cs="宋体"/>
          <w:sz w:val="32"/>
          <w:szCs w:val="24"/>
          <w:shd w:val="clear" w:fill="FFFFFF"/>
          <w:lang w:val="en-US"/>
        </w:rPr>
        <w:t>471.17</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3" w:firstLineChars="200"/>
        <w:rPr>
          <w:rFonts w:hint="default" w:ascii="Times New Roman" w:hAnsi="Times New Roman" w:eastAsia="方正仿宋_GBK" w:cs="宋体"/>
          <w:sz w:val="32"/>
          <w:szCs w:val="24"/>
          <w:lang w:val="en-US"/>
        </w:rPr>
      </w:pPr>
      <w:r>
        <w:rPr>
          <w:rStyle w:val="54"/>
          <w:rFonts w:eastAsia="方正仿宋_GBK"/>
          <w:sz w:val="32"/>
          <w:szCs w:val="24"/>
          <w:shd w:val="clear" w:fill="FFFFFF"/>
          <w:lang w:val="en-US"/>
        </w:rPr>
        <w:t>3.</w:t>
      </w:r>
      <w:r>
        <w:rPr>
          <w:rStyle w:val="54"/>
          <w:rFonts w:hint="eastAsia" w:ascii="Times New Roman" w:hAnsi="方正仿宋_GBK" w:eastAsia="方正仿宋_GBK" w:cs="方正仿宋_GBK"/>
          <w:sz w:val="32"/>
          <w:szCs w:val="24"/>
          <w:shd w:val="clear" w:fill="FFFFFF"/>
          <w:lang w:eastAsia="zh-CN"/>
        </w:rPr>
        <w:t>支出情况。</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年度支出合计</w:t>
      </w:r>
      <w:r>
        <w:rPr>
          <w:rFonts w:hint="default" w:ascii="Times New Roman" w:hAnsi="Times New Roman" w:eastAsia="方正仿宋_GBK" w:cs="宋体"/>
          <w:sz w:val="32"/>
          <w:szCs w:val="24"/>
          <w:shd w:val="clear" w:fill="FFFFFF"/>
          <w:lang w:val="en-US"/>
        </w:rPr>
        <w:t>9,446.87</w:t>
      </w:r>
      <w:r>
        <w:rPr>
          <w:rFonts w:hint="eastAsia" w:ascii="Times New Roman" w:hAnsi="Times New Roman" w:eastAsia="方正仿宋_GBK" w:cs="方正仿宋_GBK"/>
          <w:sz w:val="32"/>
          <w:szCs w:val="24"/>
          <w:shd w:val="clear" w:fill="FFFFFF"/>
          <w:lang w:eastAsia="zh-CN"/>
        </w:rPr>
        <w:t>万元，较上年决算减少</w:t>
      </w:r>
      <w:r>
        <w:rPr>
          <w:rFonts w:hint="default" w:ascii="Times New Roman" w:hAnsi="Times New Roman" w:eastAsia="方正仿宋_GBK" w:cs="宋体"/>
          <w:sz w:val="32"/>
          <w:szCs w:val="24"/>
          <w:shd w:val="clear" w:fill="FFFFFF"/>
          <w:lang w:val="en-US"/>
        </w:rPr>
        <w:t>9,060.95</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49%</w:t>
      </w:r>
      <w:r>
        <w:rPr>
          <w:rFonts w:hint="eastAsia" w:ascii="Times New Roman" w:hAnsi="Times New Roman" w:eastAsia="方正仿宋_GBK" w:cs="方正仿宋_GBK"/>
          <w:sz w:val="32"/>
          <w:szCs w:val="24"/>
          <w:shd w:val="clear" w:fill="FFFFFF"/>
          <w:lang w:eastAsia="zh-CN"/>
        </w:rPr>
        <w:t>，主要原因是</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年招商引资优惠政策产业补助项目支出比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8742.17</w:t>
      </w:r>
      <w:r>
        <w:rPr>
          <w:rFonts w:hint="eastAsia" w:ascii="Times New Roman" w:hAnsi="Times New Roman" w:eastAsia="方正仿宋_GBK" w:cs="方正仿宋_GBK"/>
          <w:sz w:val="32"/>
          <w:szCs w:val="24"/>
          <w:shd w:val="clear" w:fill="FFFFFF"/>
          <w:lang w:eastAsia="zh-CN"/>
        </w:rPr>
        <w:t>万元，扶贫产业精细化管护费</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年支出比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299.12</w:t>
      </w:r>
      <w:r>
        <w:rPr>
          <w:rFonts w:hint="eastAsia" w:ascii="Times New Roman" w:hAnsi="Times New Roman" w:eastAsia="方正仿宋_GBK" w:cs="方正仿宋_GBK"/>
          <w:sz w:val="32"/>
          <w:szCs w:val="24"/>
          <w:shd w:val="clear" w:fill="FFFFFF"/>
          <w:lang w:eastAsia="zh-CN"/>
        </w:rPr>
        <w:t>万元。其中：基本支出</w:t>
      </w:r>
      <w:r>
        <w:rPr>
          <w:rFonts w:hint="default" w:ascii="Times New Roman" w:hAnsi="Times New Roman" w:eastAsia="方正仿宋_GBK" w:cs="宋体"/>
          <w:sz w:val="32"/>
          <w:szCs w:val="24"/>
          <w:shd w:val="clear" w:fill="FFFFFF"/>
          <w:lang w:val="en-US"/>
        </w:rPr>
        <w:t>1,583.78</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16.8%</w:t>
      </w:r>
      <w:r>
        <w:rPr>
          <w:rFonts w:hint="eastAsia" w:ascii="Times New Roman" w:hAnsi="Times New Roman" w:eastAsia="方正仿宋_GBK" w:cs="方正仿宋_GBK"/>
          <w:sz w:val="32"/>
          <w:szCs w:val="24"/>
          <w:shd w:val="clear" w:fill="FFFFFF"/>
          <w:lang w:eastAsia="zh-CN"/>
        </w:rPr>
        <w:t>；项目支出</w:t>
      </w:r>
      <w:r>
        <w:rPr>
          <w:rFonts w:hint="default" w:ascii="Times New Roman" w:hAnsi="Times New Roman" w:eastAsia="方正仿宋_GBK" w:cs="宋体"/>
          <w:sz w:val="32"/>
          <w:szCs w:val="24"/>
          <w:shd w:val="clear" w:fill="FFFFFF"/>
          <w:lang w:val="en-US"/>
        </w:rPr>
        <w:t>7,863.09</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83.2%</w:t>
      </w:r>
      <w:r>
        <w:rPr>
          <w:rFonts w:hint="eastAsia" w:ascii="Times New Roman" w:hAnsi="Times New Roman" w:eastAsia="方正仿宋_GBK" w:cs="方正仿宋_GBK"/>
          <w:sz w:val="32"/>
          <w:szCs w:val="24"/>
          <w:shd w:val="clear" w:fill="FFFFFF"/>
          <w:lang w:eastAsia="zh-CN"/>
        </w:rPr>
        <w:t>。此外，结余分配资金</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3" w:firstLineChars="200"/>
        <w:rPr>
          <w:rFonts w:hint="default" w:ascii="Times New Roman" w:hAnsi="Times New Roman" w:eastAsia="方正仿宋_GBK" w:cs="宋体"/>
          <w:sz w:val="32"/>
          <w:szCs w:val="24"/>
          <w:lang w:val="en-US"/>
        </w:rPr>
      </w:pPr>
      <w:r>
        <w:rPr>
          <w:rStyle w:val="54"/>
          <w:rFonts w:eastAsia="方正仿宋_GBK"/>
          <w:sz w:val="32"/>
          <w:szCs w:val="24"/>
          <w:shd w:val="clear" w:fill="FFFFFF"/>
          <w:lang w:val="en-US"/>
        </w:rPr>
        <w:t>4.</w:t>
      </w:r>
      <w:r>
        <w:rPr>
          <w:rStyle w:val="54"/>
          <w:rFonts w:hint="eastAsia" w:ascii="Times New Roman" w:hAnsi="方正仿宋_GBK" w:eastAsia="方正仿宋_GBK" w:cs="方正仿宋_GBK"/>
          <w:sz w:val="32"/>
          <w:szCs w:val="24"/>
          <w:shd w:val="clear" w:fill="FFFFFF"/>
          <w:lang w:eastAsia="zh-CN"/>
        </w:rPr>
        <w:t>结转结余情况。</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年度年末结转和结余</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万元，与上年决算数持平。</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（二）财政拨款收入支出决算总体情况说明。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年度财政拨款收、支总计</w:t>
      </w:r>
      <w:r>
        <w:rPr>
          <w:rFonts w:hint="default" w:ascii="Times New Roman" w:hAnsi="Times New Roman" w:eastAsia="方正仿宋_GBK" w:cs="宋体"/>
          <w:sz w:val="32"/>
          <w:szCs w:val="24"/>
          <w:shd w:val="clear" w:fill="FFFFFF"/>
          <w:lang w:val="en-US"/>
        </w:rPr>
        <w:t>9,446.87</w:t>
      </w:r>
      <w:r>
        <w:rPr>
          <w:rFonts w:hint="eastAsia" w:ascii="Times New Roman" w:hAnsi="Times New Roman" w:eastAsia="方正仿宋_GBK" w:cs="方正仿宋_GBK"/>
          <w:sz w:val="32"/>
          <w:szCs w:val="24"/>
          <w:shd w:val="clear" w:fill="FFFFFF"/>
          <w:lang w:eastAsia="zh-CN"/>
        </w:rPr>
        <w:t>万元。与</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年相比，财政拨款收、支总计各减少</w:t>
      </w:r>
      <w:r>
        <w:rPr>
          <w:rFonts w:hint="default" w:ascii="Times New Roman" w:hAnsi="Times New Roman" w:eastAsia="方正仿宋_GBK" w:cs="宋体"/>
          <w:sz w:val="32"/>
          <w:szCs w:val="24"/>
          <w:shd w:val="clear" w:fill="FFFFFF"/>
          <w:lang w:val="en-US"/>
        </w:rPr>
        <w:t>9,060.95</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49%</w:t>
      </w:r>
      <w:r>
        <w:rPr>
          <w:rFonts w:hint="eastAsia" w:ascii="Times New Roman" w:hAnsi="Times New Roman" w:eastAsia="方正仿宋_GBK" w:cs="方正仿宋_GBK"/>
          <w:sz w:val="32"/>
          <w:szCs w:val="24"/>
          <w:shd w:val="clear" w:fill="FFFFFF"/>
          <w:lang w:eastAsia="zh-CN"/>
        </w:rPr>
        <w:t>。主要原因是</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年招商引资优惠政策产业补助项目收支比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8742.17</w:t>
      </w:r>
      <w:r>
        <w:rPr>
          <w:rFonts w:hint="eastAsia" w:ascii="Times New Roman" w:hAnsi="Times New Roman" w:eastAsia="方正仿宋_GBK" w:cs="方正仿宋_GBK"/>
          <w:sz w:val="32"/>
          <w:szCs w:val="24"/>
          <w:shd w:val="clear" w:fill="FFFFFF"/>
          <w:lang w:eastAsia="zh-CN"/>
        </w:rPr>
        <w:t>万元，扶贫产业精细化管护费</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年收支比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299.12</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（三）一般公共预算财政拨款收入支出决算情况说明。</w:t>
      </w:r>
    </w:p>
    <w:p>
      <w:pPr>
        <w:pStyle w:val="41"/>
        <w:adjustRightInd w:val="0"/>
        <w:snapToGrid w:val="0"/>
        <w:spacing w:before="0" w:beforeAutospacing="0" w:after="0" w:afterAutospacing="0"/>
        <w:ind w:left="0" w:right="0" w:firstLine="643" w:firstLineChars="200"/>
        <w:rPr>
          <w:rFonts w:hint="default" w:ascii="Times New Roman" w:hAnsi="宋体" w:eastAsia="方正仿宋_GBK" w:cs="宋体"/>
          <w:sz w:val="32"/>
          <w:szCs w:val="24"/>
          <w:lang w:val="en-US"/>
        </w:rPr>
      </w:pPr>
      <w:r>
        <w:rPr>
          <w:rStyle w:val="54"/>
          <w:rFonts w:eastAsia="方正仿宋_GBK"/>
          <w:sz w:val="32"/>
          <w:szCs w:val="24"/>
          <w:shd w:val="clear" w:fill="FFFFFF"/>
          <w:lang w:val="en-US"/>
        </w:rPr>
        <w:t>1.</w:t>
      </w:r>
      <w:r>
        <w:rPr>
          <w:rStyle w:val="54"/>
          <w:rFonts w:hint="eastAsia" w:ascii="Times New Roman" w:hAnsi="方正仿宋_GBK" w:eastAsia="方正仿宋_GBK" w:cs="方正仿宋_GBK"/>
          <w:sz w:val="32"/>
          <w:szCs w:val="24"/>
          <w:shd w:val="clear" w:fill="FFFFFF"/>
          <w:lang w:eastAsia="zh-CN"/>
        </w:rPr>
        <w:t>收入情况。</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年度一般公共预算财政拨款收入</w:t>
      </w:r>
      <w:r>
        <w:rPr>
          <w:rFonts w:hint="default" w:ascii="Times New Roman" w:hAnsi="Times New Roman" w:eastAsia="方正仿宋_GBK" w:cs="宋体"/>
          <w:sz w:val="32"/>
          <w:szCs w:val="24"/>
          <w:shd w:val="clear" w:fill="FFFFFF"/>
          <w:lang w:val="en-US"/>
        </w:rPr>
        <w:t>6,430.75</w:t>
      </w:r>
      <w:r>
        <w:rPr>
          <w:rFonts w:hint="eastAsia" w:ascii="Times New Roman" w:hAnsi="Times New Roman" w:eastAsia="方正仿宋_GBK" w:cs="方正仿宋_GBK"/>
          <w:sz w:val="32"/>
          <w:szCs w:val="24"/>
          <w:shd w:val="clear" w:fill="FFFFFF"/>
          <w:lang w:eastAsia="zh-CN"/>
        </w:rPr>
        <w:t>万元，较上年决算数减少</w:t>
      </w:r>
      <w:r>
        <w:rPr>
          <w:rFonts w:hint="default" w:ascii="Times New Roman" w:hAnsi="Times New Roman" w:eastAsia="方正仿宋_GBK" w:cs="宋体"/>
          <w:sz w:val="32"/>
          <w:szCs w:val="24"/>
          <w:shd w:val="clear" w:fill="FFFFFF"/>
          <w:lang w:val="en-US"/>
        </w:rPr>
        <w:t>11,516.65</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64.2%</w:t>
      </w:r>
      <w:r>
        <w:rPr>
          <w:rFonts w:hint="eastAsia" w:ascii="Times New Roman" w:hAnsi="Times New Roman" w:eastAsia="方正仿宋_GBK" w:cs="方正仿宋_GBK"/>
          <w:sz w:val="32"/>
          <w:szCs w:val="24"/>
          <w:shd w:val="clear" w:fill="FFFFFF"/>
          <w:lang w:eastAsia="zh-CN"/>
        </w:rPr>
        <w:t>。主要原因是</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年招商引资优惠政策产业补助项目收入比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8742.17</w:t>
      </w:r>
      <w:r>
        <w:rPr>
          <w:rFonts w:hint="eastAsia" w:ascii="Times New Roman" w:hAnsi="Times New Roman" w:eastAsia="方正仿宋_GBK" w:cs="方正仿宋_GBK"/>
          <w:sz w:val="32"/>
          <w:szCs w:val="24"/>
          <w:shd w:val="clear" w:fill="FFFFFF"/>
          <w:lang w:eastAsia="zh-CN"/>
        </w:rPr>
        <w:t>万元，扶贫产业精细化管护费</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年收入比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299.12</w:t>
      </w:r>
      <w:r>
        <w:rPr>
          <w:rFonts w:hint="eastAsia" w:ascii="Times New Roman" w:hAnsi="Times New Roman" w:eastAsia="方正仿宋_GBK" w:cs="方正仿宋_GBK"/>
          <w:sz w:val="32"/>
          <w:szCs w:val="24"/>
          <w:shd w:val="clear" w:fill="FFFFFF"/>
          <w:lang w:eastAsia="zh-CN"/>
        </w:rPr>
        <w:t>万元，</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年新场镇建设收入比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2240</w:t>
      </w:r>
      <w:r>
        <w:rPr>
          <w:rFonts w:hint="eastAsia" w:ascii="Times New Roman" w:hAnsi="Times New Roman" w:eastAsia="方正仿宋_GBK" w:cs="方正仿宋_GBK"/>
          <w:sz w:val="32"/>
          <w:szCs w:val="24"/>
          <w:shd w:val="clear" w:fill="FFFFFF"/>
          <w:lang w:eastAsia="zh-CN"/>
        </w:rPr>
        <w:t>万元。较年初预算数增加</w:t>
      </w:r>
      <w:r>
        <w:rPr>
          <w:rFonts w:hint="default" w:ascii="Times New Roman" w:hAnsi="Times New Roman" w:eastAsia="方正仿宋_GBK" w:cs="宋体"/>
          <w:sz w:val="32"/>
          <w:szCs w:val="24"/>
          <w:shd w:val="clear" w:fill="FFFFFF"/>
          <w:lang w:val="en-US"/>
        </w:rPr>
        <w:t>5,130.41</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394.5%</w:t>
      </w:r>
      <w:r>
        <w:rPr>
          <w:rFonts w:hint="eastAsia" w:ascii="Times New Roman" w:hAnsi="Times New Roman" w:eastAsia="方正仿宋_GBK" w:cs="方正仿宋_GBK"/>
          <w:sz w:val="32"/>
          <w:szCs w:val="24"/>
          <w:shd w:val="clear" w:fill="FFFFFF"/>
          <w:lang w:eastAsia="zh-CN"/>
        </w:rPr>
        <w:t>。主要原因是中途追加的扶贫及新场镇建设项目的预算数</w:t>
      </w:r>
      <w:r>
        <w:rPr>
          <w:rFonts w:hint="eastAsia" w:ascii="Times New Roman" w:hAnsi="Times New Roman" w:eastAsia="方正仿宋_GBK" w:cs="方正仿宋_GBK"/>
          <w:color w:val="000000"/>
          <w:sz w:val="32"/>
          <w:szCs w:val="24"/>
          <w:lang w:eastAsia="zh-CN"/>
        </w:rPr>
        <w:t>。</w:t>
      </w:r>
      <w:r>
        <w:rPr>
          <w:rFonts w:hint="eastAsia" w:ascii="Times New Roman" w:hAnsi="Times New Roman" w:eastAsia="方正仿宋_GBK" w:cs="方正仿宋_GBK"/>
          <w:color w:val="000000"/>
          <w:sz w:val="32"/>
          <w:szCs w:val="24"/>
          <w:shd w:val="clear" w:fill="FFFFFF"/>
          <w:lang w:eastAsia="zh-CN"/>
        </w:rPr>
        <w:t>此外，年初财政拨款结转和结余</w:t>
      </w:r>
      <w:r>
        <w:rPr>
          <w:rFonts w:hint="default" w:ascii="Times New Roman" w:hAnsi="Times New Roman" w:eastAsia="方正仿宋_GBK" w:cs="宋体"/>
          <w:color w:val="000000"/>
          <w:sz w:val="32"/>
          <w:szCs w:val="24"/>
          <w:shd w:val="clear" w:fill="FFFFFF"/>
          <w:lang w:val="en-US"/>
        </w:rPr>
        <w:t>471.17</w:t>
      </w:r>
      <w:r>
        <w:rPr>
          <w:rFonts w:hint="eastAsia" w:ascii="Times New Roman" w:hAnsi="Times New Roman" w:eastAsia="方正仿宋_GBK" w:cs="方正仿宋_GBK"/>
          <w:color w:val="000000"/>
          <w:sz w:val="32"/>
          <w:szCs w:val="24"/>
          <w:shd w:val="clear" w:fill="FFFFFF"/>
          <w:lang w:eastAsia="zh-CN"/>
        </w:rPr>
        <w:t>万元。</w:t>
      </w:r>
    </w:p>
    <w:p>
      <w:pPr>
        <w:pStyle w:val="41"/>
        <w:adjustRightInd w:val="0"/>
        <w:snapToGrid w:val="0"/>
        <w:spacing w:before="0" w:beforeAutospacing="0" w:after="0" w:afterAutospacing="0"/>
        <w:ind w:left="0" w:right="0" w:firstLine="643" w:firstLineChars="200"/>
        <w:rPr>
          <w:rFonts w:hint="default" w:ascii="Times New Roman" w:hAnsi="Times New Roman" w:eastAsia="方正仿宋_GBK" w:cs="宋体"/>
          <w:sz w:val="32"/>
          <w:szCs w:val="24"/>
          <w:lang w:val="en-US"/>
        </w:rPr>
      </w:pPr>
      <w:r>
        <w:rPr>
          <w:rStyle w:val="54"/>
          <w:rFonts w:eastAsia="方正仿宋_GBK"/>
          <w:sz w:val="32"/>
          <w:szCs w:val="24"/>
          <w:shd w:val="clear" w:fill="FFFFFF"/>
          <w:lang w:val="en-US"/>
        </w:rPr>
        <w:t>2.</w:t>
      </w:r>
      <w:r>
        <w:rPr>
          <w:rStyle w:val="54"/>
          <w:rFonts w:hint="eastAsia" w:ascii="Times New Roman" w:hAnsi="方正仿宋_GBK" w:eastAsia="方正仿宋_GBK" w:cs="方正仿宋_GBK"/>
          <w:sz w:val="32"/>
          <w:szCs w:val="24"/>
          <w:shd w:val="clear" w:fill="FFFFFF"/>
          <w:lang w:eastAsia="zh-CN"/>
        </w:rPr>
        <w:t>支出情况。</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年度一般公共预算财政拨款支出</w:t>
      </w:r>
      <w:r>
        <w:rPr>
          <w:rFonts w:hint="default" w:ascii="Times New Roman" w:hAnsi="Times New Roman" w:eastAsia="方正仿宋_GBK" w:cs="宋体"/>
          <w:sz w:val="32"/>
          <w:szCs w:val="24"/>
          <w:shd w:val="clear" w:fill="FFFFFF"/>
          <w:lang w:val="en-US"/>
        </w:rPr>
        <w:t>6,901.93</w:t>
      </w:r>
      <w:r>
        <w:rPr>
          <w:rFonts w:hint="eastAsia" w:ascii="Times New Roman" w:hAnsi="Times New Roman" w:eastAsia="方正仿宋_GBK" w:cs="方正仿宋_GBK"/>
          <w:sz w:val="32"/>
          <w:szCs w:val="24"/>
          <w:shd w:val="clear" w:fill="FFFFFF"/>
          <w:lang w:eastAsia="zh-CN"/>
        </w:rPr>
        <w:t>万元，较上年决算数减少</w:t>
      </w:r>
      <w:r>
        <w:rPr>
          <w:rFonts w:hint="default" w:ascii="Times New Roman" w:hAnsi="Times New Roman" w:eastAsia="方正仿宋_GBK" w:cs="宋体"/>
          <w:sz w:val="32"/>
          <w:szCs w:val="24"/>
          <w:shd w:val="clear" w:fill="FFFFFF"/>
          <w:lang w:val="en-US"/>
        </w:rPr>
        <w:t>11,045.47</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61.5%</w:t>
      </w:r>
      <w:r>
        <w:rPr>
          <w:rFonts w:hint="eastAsia" w:ascii="Times New Roman" w:hAnsi="Times New Roman" w:eastAsia="方正仿宋_GBK" w:cs="方正仿宋_GBK"/>
          <w:sz w:val="32"/>
          <w:szCs w:val="24"/>
          <w:shd w:val="clear" w:fill="FFFFFF"/>
          <w:lang w:eastAsia="zh-CN"/>
        </w:rPr>
        <w:t>。主要原因是</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年招商引资优惠政策产业补助项目支出比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8742.17</w:t>
      </w:r>
      <w:r>
        <w:rPr>
          <w:rFonts w:hint="eastAsia" w:ascii="Times New Roman" w:hAnsi="Times New Roman" w:eastAsia="方正仿宋_GBK" w:cs="方正仿宋_GBK"/>
          <w:sz w:val="32"/>
          <w:szCs w:val="24"/>
          <w:shd w:val="clear" w:fill="FFFFFF"/>
          <w:lang w:eastAsia="zh-CN"/>
        </w:rPr>
        <w:t>万元，扶贫产业精细化管护费</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年支出比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299.12</w:t>
      </w:r>
      <w:r>
        <w:rPr>
          <w:rFonts w:hint="eastAsia" w:ascii="Times New Roman" w:hAnsi="Times New Roman" w:eastAsia="方正仿宋_GBK" w:cs="方正仿宋_GBK"/>
          <w:sz w:val="32"/>
          <w:szCs w:val="24"/>
          <w:shd w:val="clear" w:fill="FFFFFF"/>
          <w:lang w:eastAsia="zh-CN"/>
        </w:rPr>
        <w:t>万元，</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年新场镇建设支出比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2240</w:t>
      </w:r>
      <w:r>
        <w:rPr>
          <w:rFonts w:hint="eastAsia" w:ascii="Times New Roman" w:hAnsi="Times New Roman" w:eastAsia="方正仿宋_GBK" w:cs="方正仿宋_GBK"/>
          <w:sz w:val="32"/>
          <w:szCs w:val="24"/>
          <w:shd w:val="clear" w:fill="FFFFFF"/>
          <w:lang w:eastAsia="zh-CN"/>
        </w:rPr>
        <w:t>万元。较年初预算数增加</w:t>
      </w:r>
      <w:r>
        <w:rPr>
          <w:rFonts w:hint="default" w:ascii="Times New Roman" w:hAnsi="Times New Roman" w:eastAsia="方正仿宋_GBK" w:cs="宋体"/>
          <w:sz w:val="32"/>
          <w:szCs w:val="24"/>
          <w:shd w:val="clear" w:fill="FFFFFF"/>
          <w:lang w:val="en-US"/>
        </w:rPr>
        <w:t>5,601.59</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430.8%</w:t>
      </w:r>
      <w:r>
        <w:rPr>
          <w:rFonts w:hint="eastAsia" w:ascii="Times New Roman" w:hAnsi="Times New Roman" w:eastAsia="方正仿宋_GBK" w:cs="方正仿宋_GBK"/>
          <w:sz w:val="32"/>
          <w:szCs w:val="24"/>
          <w:shd w:val="clear" w:fill="FFFFFF"/>
          <w:lang w:eastAsia="zh-CN"/>
        </w:rPr>
        <w:t>。主要原因是中途追加的扶贫项目等产生的支出。</w:t>
      </w:r>
    </w:p>
    <w:p>
      <w:pPr>
        <w:pStyle w:val="41"/>
        <w:adjustRightInd w:val="0"/>
        <w:snapToGrid w:val="0"/>
        <w:spacing w:before="0" w:beforeAutospacing="0" w:after="0" w:afterAutospacing="0"/>
        <w:ind w:left="0" w:right="0" w:firstLine="643" w:firstLineChars="200"/>
        <w:rPr>
          <w:rFonts w:hint="default" w:ascii="Times New Roman" w:hAnsi="Times New Roman" w:eastAsia="方正仿宋_GBK" w:cs="宋体"/>
          <w:sz w:val="32"/>
          <w:szCs w:val="24"/>
          <w:lang w:val="en-US"/>
        </w:rPr>
      </w:pPr>
      <w:r>
        <w:rPr>
          <w:rStyle w:val="54"/>
          <w:rFonts w:eastAsia="方正仿宋_GBK"/>
          <w:sz w:val="32"/>
          <w:szCs w:val="24"/>
          <w:shd w:val="clear" w:fill="FFFFFF"/>
          <w:lang w:val="en-US"/>
        </w:rPr>
        <w:t>3.</w:t>
      </w:r>
      <w:r>
        <w:rPr>
          <w:rStyle w:val="54"/>
          <w:rFonts w:hint="eastAsia" w:ascii="Times New Roman" w:hAnsi="方正仿宋_GBK" w:eastAsia="方正仿宋_GBK" w:cs="方正仿宋_GBK"/>
          <w:sz w:val="32"/>
          <w:szCs w:val="24"/>
          <w:shd w:val="clear" w:fill="FFFFFF"/>
          <w:lang w:eastAsia="zh-CN"/>
        </w:rPr>
        <w:t>结转结余情况。</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年度年末一般公共预算财政拨款结转和结余</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万元，较上年决算数增加</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w:t>
      </w:r>
      <w:r>
        <w:rPr>
          <w:rFonts w:hint="eastAsia" w:ascii="Times New Roman" w:hAnsi="Times New Roman" w:eastAsia="方正仿宋_GBK" w:cs="方正仿宋_GBK"/>
          <w:sz w:val="32"/>
          <w:szCs w:val="24"/>
          <w:shd w:val="clear" w:fill="FFFFFF"/>
          <w:lang w:eastAsia="zh-CN"/>
        </w:rPr>
        <w:t>，主要原因是乡镇一般都是收支相等，收入没支的上级收回，没有</w:t>
      </w:r>
      <w:r>
        <w:rPr>
          <w:rFonts w:hint="eastAsia" w:ascii="Times New Roman" w:hAnsi="Times New Roman" w:eastAsia="方正仿宋_GBK" w:cs="方正仿宋_GBK"/>
          <w:sz w:val="32"/>
          <w:szCs w:val="24"/>
          <w:shd w:val="clear" w:fill="FFFFFF"/>
          <w:lang w:val="en-US" w:eastAsia="zh-CN"/>
        </w:rPr>
        <w:t>做</w:t>
      </w:r>
      <w:r>
        <w:rPr>
          <w:rFonts w:hint="eastAsia" w:ascii="Times New Roman" w:hAnsi="Times New Roman" w:eastAsia="方正仿宋_GBK" w:cs="方正仿宋_GBK"/>
          <w:sz w:val="32"/>
          <w:szCs w:val="24"/>
          <w:shd w:val="clear" w:fill="FFFFFF"/>
          <w:lang w:eastAsia="zh-CN"/>
        </w:rPr>
        <w:t>乡镇的收入。</w:t>
      </w:r>
    </w:p>
    <w:p>
      <w:pPr>
        <w:pStyle w:val="41"/>
        <w:adjustRightInd w:val="0"/>
        <w:snapToGrid w:val="0"/>
        <w:spacing w:before="0" w:beforeAutospacing="0" w:after="0" w:afterAutospacing="0"/>
        <w:ind w:left="0" w:right="0" w:firstLine="643" w:firstLineChars="200"/>
        <w:rPr>
          <w:rFonts w:hint="default" w:ascii="Times New Roman" w:hAnsi="Times New Roman" w:eastAsia="方正仿宋_GBK" w:cs="宋体"/>
          <w:sz w:val="32"/>
          <w:szCs w:val="24"/>
          <w:lang w:val="en-US"/>
        </w:rPr>
      </w:pPr>
      <w:r>
        <w:rPr>
          <w:rStyle w:val="54"/>
          <w:rFonts w:eastAsia="方正仿宋_GBK"/>
          <w:sz w:val="32"/>
          <w:szCs w:val="24"/>
          <w:shd w:val="clear" w:fill="FFFFFF"/>
          <w:lang w:val="en-US"/>
        </w:rPr>
        <w:t>4.</w:t>
      </w:r>
      <w:r>
        <w:rPr>
          <w:rStyle w:val="54"/>
          <w:rFonts w:hint="eastAsia" w:ascii="Times New Roman" w:hAnsi="方正仿宋_GBK" w:eastAsia="方正仿宋_GBK" w:cs="方正仿宋_GBK"/>
          <w:sz w:val="32"/>
          <w:szCs w:val="24"/>
          <w:shd w:val="clear" w:fill="FFFFFF"/>
          <w:lang w:eastAsia="zh-CN"/>
        </w:rPr>
        <w:t>比较情况。</w:t>
      </w:r>
      <w:r>
        <w:rPr>
          <w:rFonts w:hint="eastAsia" w:ascii="Times New Roman" w:hAnsi="Times New Roman" w:eastAsia="方正仿宋_GBK" w:cs="方正仿宋_GBK"/>
          <w:sz w:val="32"/>
          <w:szCs w:val="24"/>
          <w:shd w:val="clear" w:fill="FFFFFF"/>
          <w:lang w:eastAsia="zh-CN"/>
        </w:rPr>
        <w:t>本部门</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年度一般公共预算财政拨款支出主要用于以下几个方面：</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1</w:t>
      </w:r>
      <w:r>
        <w:rPr>
          <w:rFonts w:hint="eastAsia" w:ascii="Times New Roman" w:hAnsi="Times New Roman" w:eastAsia="方正仿宋_GBK" w:cs="方正仿宋_GBK"/>
          <w:sz w:val="32"/>
          <w:szCs w:val="24"/>
          <w:shd w:val="clear" w:fill="FFFFFF"/>
          <w:lang w:eastAsia="zh-CN"/>
        </w:rPr>
        <w:t>）一般公共服务支出</w:t>
      </w:r>
      <w:r>
        <w:rPr>
          <w:rFonts w:hint="default" w:ascii="Times New Roman" w:hAnsi="Times New Roman" w:eastAsia="方正仿宋_GBK" w:cs="宋体"/>
          <w:sz w:val="32"/>
          <w:szCs w:val="24"/>
          <w:shd w:val="clear" w:fill="FFFFFF"/>
          <w:lang w:val="en-US"/>
        </w:rPr>
        <w:t>789.33</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11.4%</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300.31</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61.4%</w:t>
      </w:r>
      <w:r>
        <w:rPr>
          <w:rFonts w:hint="eastAsia" w:ascii="Times New Roman" w:hAnsi="Times New Roman" w:eastAsia="方正仿宋_GBK" w:cs="方正仿宋_GBK"/>
          <w:sz w:val="32"/>
          <w:szCs w:val="24"/>
          <w:shd w:val="clear" w:fill="FFFFFF"/>
          <w:lang w:eastAsia="zh-CN"/>
        </w:rPr>
        <w:t>，主要原因是人员调资及补发职工以前年度绩效等及公益</w:t>
      </w:r>
      <w:r>
        <w:rPr>
          <w:rFonts w:hint="eastAsia" w:ascii="Times New Roman" w:hAnsi="Times New Roman" w:eastAsia="方正仿宋_GBK" w:cs="方正仿宋_GBK"/>
          <w:sz w:val="32"/>
          <w:szCs w:val="24"/>
          <w:shd w:val="clear" w:fill="FFFFFF"/>
          <w:lang w:val="en-US" w:eastAsia="zh-CN"/>
        </w:rPr>
        <w:t>性</w:t>
      </w:r>
      <w:r>
        <w:rPr>
          <w:rFonts w:hint="eastAsia" w:ascii="Times New Roman" w:hAnsi="Times New Roman" w:eastAsia="方正仿宋_GBK" w:cs="方正仿宋_GBK"/>
          <w:sz w:val="32"/>
          <w:szCs w:val="24"/>
          <w:shd w:val="clear" w:fill="FFFFFF"/>
          <w:lang w:eastAsia="zh-CN"/>
        </w:rPr>
        <w:t>岗位人员部</w:t>
      </w:r>
      <w:r>
        <w:rPr>
          <w:rFonts w:hint="eastAsia" w:ascii="Times New Roman" w:hAnsi="Times New Roman" w:eastAsia="方正仿宋_GBK" w:cs="方正仿宋_GBK"/>
          <w:sz w:val="32"/>
          <w:szCs w:val="24"/>
          <w:shd w:val="clear" w:fill="FFFFFF"/>
          <w:lang w:val="en-US" w:eastAsia="zh-CN"/>
        </w:rPr>
        <w:t>分</w:t>
      </w:r>
      <w:r>
        <w:rPr>
          <w:rFonts w:hint="eastAsia" w:ascii="Times New Roman" w:hAnsi="Times New Roman" w:eastAsia="方正仿宋_GBK" w:cs="方正仿宋_GBK"/>
          <w:sz w:val="32"/>
          <w:szCs w:val="24"/>
          <w:shd w:val="clear" w:fill="FFFFFF"/>
          <w:lang w:eastAsia="zh-CN"/>
        </w:rPr>
        <w:t>工资。</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2</w:t>
      </w:r>
      <w:r>
        <w:rPr>
          <w:rFonts w:hint="eastAsia" w:ascii="Times New Roman" w:hAnsi="Times New Roman" w:eastAsia="方正仿宋_GBK" w:cs="方正仿宋_GBK"/>
          <w:sz w:val="32"/>
          <w:szCs w:val="24"/>
          <w:shd w:val="clear" w:fill="FFFFFF"/>
          <w:lang w:eastAsia="zh-CN"/>
        </w:rPr>
        <w:t>）国防支出</w:t>
      </w:r>
      <w:r>
        <w:rPr>
          <w:rFonts w:hint="default" w:ascii="Times New Roman" w:hAnsi="Times New Roman" w:eastAsia="方正仿宋_GBK" w:cs="宋体"/>
          <w:sz w:val="32"/>
          <w:szCs w:val="24"/>
          <w:shd w:val="clear" w:fill="FFFFFF"/>
          <w:lang w:val="en-US"/>
        </w:rPr>
        <w:t>0.38</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0.38</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w:t>
      </w:r>
      <w:r>
        <w:rPr>
          <w:rFonts w:hint="eastAsia" w:ascii="Times New Roman" w:hAnsi="Times New Roman" w:eastAsia="方正仿宋_GBK" w:cs="方正仿宋_GBK"/>
          <w:sz w:val="32"/>
          <w:szCs w:val="24"/>
          <w:shd w:val="clear" w:fill="FFFFFF"/>
          <w:lang w:eastAsia="zh-CN"/>
        </w:rPr>
        <w:t>，主要原因是征兵工作开支。</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3</w:t>
      </w:r>
      <w:r>
        <w:rPr>
          <w:rFonts w:hint="eastAsia" w:ascii="Times New Roman" w:hAnsi="Times New Roman" w:eastAsia="方正仿宋_GBK" w:cs="方正仿宋_GBK"/>
          <w:sz w:val="32"/>
          <w:szCs w:val="24"/>
          <w:shd w:val="clear" w:fill="FFFFFF"/>
          <w:lang w:eastAsia="zh-CN"/>
        </w:rPr>
        <w:t>）公共安全支出</w:t>
      </w:r>
      <w:r>
        <w:rPr>
          <w:rFonts w:hint="default" w:ascii="Times New Roman" w:hAnsi="Times New Roman" w:eastAsia="方正仿宋_GBK" w:cs="宋体"/>
          <w:sz w:val="32"/>
          <w:szCs w:val="24"/>
          <w:shd w:val="clear" w:fill="FFFFFF"/>
          <w:lang w:val="en-US"/>
        </w:rPr>
        <w:t>31.33</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0.5%</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31.33</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w:t>
      </w:r>
      <w:r>
        <w:rPr>
          <w:rFonts w:hint="eastAsia" w:ascii="Times New Roman" w:hAnsi="Times New Roman" w:eastAsia="方正仿宋_GBK" w:cs="方正仿宋_GBK"/>
          <w:sz w:val="32"/>
          <w:szCs w:val="24"/>
          <w:shd w:val="clear" w:fill="FFFFFF"/>
          <w:lang w:eastAsia="zh-CN"/>
        </w:rPr>
        <w:t>，主要原因是法律服务宣传支出</w:t>
      </w:r>
      <w:r>
        <w:rPr>
          <w:rFonts w:hint="default" w:ascii="Times New Roman" w:hAnsi="Times New Roman" w:eastAsia="方正仿宋_GBK" w:cs="宋体"/>
          <w:sz w:val="32"/>
          <w:szCs w:val="24"/>
          <w:shd w:val="clear" w:fill="FFFFFF"/>
          <w:lang w:val="en-US"/>
        </w:rPr>
        <w:t>16.59</w:t>
      </w:r>
      <w:r>
        <w:rPr>
          <w:rFonts w:hint="eastAsia" w:ascii="Times New Roman" w:hAnsi="Times New Roman" w:eastAsia="方正仿宋_GBK" w:cs="方正仿宋_GBK"/>
          <w:sz w:val="32"/>
          <w:szCs w:val="24"/>
          <w:shd w:val="clear" w:fill="FFFFFF"/>
          <w:lang w:eastAsia="zh-CN"/>
        </w:rPr>
        <w:t>万元，铁路护路人员支出</w:t>
      </w:r>
      <w:r>
        <w:rPr>
          <w:rFonts w:hint="default" w:ascii="Times New Roman" w:hAnsi="Times New Roman" w:eastAsia="方正仿宋_GBK" w:cs="宋体"/>
          <w:sz w:val="32"/>
          <w:szCs w:val="24"/>
          <w:shd w:val="clear" w:fill="FFFFFF"/>
          <w:lang w:val="en-US"/>
        </w:rPr>
        <w:t>13.82</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4</w:t>
      </w:r>
      <w:r>
        <w:rPr>
          <w:rFonts w:hint="eastAsia" w:ascii="Times New Roman" w:hAnsi="Times New Roman" w:eastAsia="方正仿宋_GBK" w:cs="方正仿宋_GBK"/>
          <w:sz w:val="32"/>
          <w:szCs w:val="24"/>
          <w:shd w:val="clear" w:fill="FFFFFF"/>
          <w:lang w:eastAsia="zh-CN"/>
        </w:rPr>
        <w:t>）文化旅游体育与传媒支出</w:t>
      </w:r>
      <w:r>
        <w:rPr>
          <w:rFonts w:hint="default" w:ascii="Times New Roman" w:hAnsi="Times New Roman" w:eastAsia="方正仿宋_GBK" w:cs="宋体"/>
          <w:sz w:val="32"/>
          <w:szCs w:val="24"/>
          <w:shd w:val="clear" w:fill="FFFFFF"/>
          <w:lang w:val="en-US"/>
        </w:rPr>
        <w:t>143.26</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2.1%</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102.70</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253.2%</w:t>
      </w:r>
      <w:r>
        <w:rPr>
          <w:rFonts w:hint="eastAsia" w:ascii="Times New Roman" w:hAnsi="Times New Roman" w:eastAsia="方正仿宋_GBK" w:cs="方正仿宋_GBK"/>
          <w:sz w:val="32"/>
          <w:szCs w:val="24"/>
          <w:shd w:val="clear" w:fill="FFFFFF"/>
          <w:lang w:eastAsia="zh-CN"/>
        </w:rPr>
        <w:t>，主要原因是中途追加预算支出新场镇文化服务中心建设款</w:t>
      </w:r>
      <w:r>
        <w:rPr>
          <w:rFonts w:hint="default" w:ascii="Times New Roman" w:hAnsi="Times New Roman" w:eastAsia="方正仿宋_GBK" w:cs="宋体"/>
          <w:sz w:val="32"/>
          <w:szCs w:val="24"/>
          <w:shd w:val="clear" w:fill="FFFFFF"/>
          <w:lang w:val="en-US"/>
        </w:rPr>
        <w:t>88.20</w:t>
      </w:r>
      <w:r>
        <w:rPr>
          <w:rFonts w:hint="eastAsia" w:ascii="Times New Roman" w:hAnsi="Times New Roman" w:eastAsia="方正仿宋_GBK" w:cs="方正仿宋_GBK"/>
          <w:sz w:val="32"/>
          <w:szCs w:val="24"/>
          <w:shd w:val="clear" w:fill="FFFFFF"/>
          <w:lang w:eastAsia="zh-CN"/>
        </w:rPr>
        <w:t>万元及绿春坝民宿项目等支出。</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5</w:t>
      </w:r>
      <w:r>
        <w:rPr>
          <w:rFonts w:hint="eastAsia" w:ascii="Times New Roman" w:hAnsi="Times New Roman" w:eastAsia="方正仿宋_GBK" w:cs="方正仿宋_GBK"/>
          <w:sz w:val="32"/>
          <w:szCs w:val="24"/>
          <w:shd w:val="clear" w:fill="FFFFFF"/>
          <w:lang w:eastAsia="zh-CN"/>
        </w:rPr>
        <w:t>）社会保障与就业支出</w:t>
      </w:r>
      <w:r>
        <w:rPr>
          <w:rFonts w:hint="default" w:ascii="Times New Roman" w:hAnsi="Times New Roman" w:eastAsia="方正仿宋_GBK" w:cs="宋体"/>
          <w:sz w:val="32"/>
          <w:szCs w:val="24"/>
          <w:shd w:val="clear" w:fill="FFFFFF"/>
          <w:lang w:val="en-US"/>
        </w:rPr>
        <w:t>338.21</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4.9%</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119.30</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54.5%</w:t>
      </w:r>
      <w:r>
        <w:rPr>
          <w:rFonts w:hint="eastAsia" w:ascii="Times New Roman" w:hAnsi="Times New Roman" w:eastAsia="方正仿宋_GBK" w:cs="方正仿宋_GBK"/>
          <w:sz w:val="32"/>
          <w:szCs w:val="24"/>
          <w:shd w:val="clear" w:fill="FFFFFF"/>
          <w:lang w:eastAsia="zh-CN"/>
        </w:rPr>
        <w:t>，主要原因是中途追加公益性岗位补贴</w:t>
      </w:r>
      <w:r>
        <w:rPr>
          <w:rFonts w:hint="default" w:ascii="Times New Roman" w:hAnsi="Times New Roman" w:eastAsia="方正仿宋_GBK" w:cs="宋体"/>
          <w:sz w:val="32"/>
          <w:szCs w:val="24"/>
          <w:shd w:val="clear" w:fill="FFFFFF"/>
          <w:lang w:val="en-US"/>
        </w:rPr>
        <w:t>122.06</w:t>
      </w:r>
      <w:r>
        <w:rPr>
          <w:rFonts w:hint="eastAsia" w:ascii="Times New Roman" w:hAnsi="Times New Roman" w:eastAsia="方正仿宋_GBK" w:cs="方正仿宋_GBK"/>
          <w:sz w:val="32"/>
          <w:szCs w:val="24"/>
          <w:shd w:val="clear" w:fill="FFFFFF"/>
          <w:lang w:eastAsia="zh-CN"/>
        </w:rPr>
        <w:t>万元及职工养老保险职业年金调整基数增加支出。</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6</w:t>
      </w:r>
      <w:r>
        <w:rPr>
          <w:rFonts w:hint="eastAsia" w:ascii="Times New Roman" w:hAnsi="Times New Roman" w:eastAsia="方正仿宋_GBK" w:cs="方正仿宋_GBK"/>
          <w:sz w:val="32"/>
          <w:szCs w:val="24"/>
          <w:shd w:val="clear" w:fill="FFFFFF"/>
          <w:lang w:eastAsia="zh-CN"/>
        </w:rPr>
        <w:t>）卫生健康支出</w:t>
      </w:r>
      <w:r>
        <w:rPr>
          <w:rFonts w:hint="default" w:ascii="Times New Roman" w:hAnsi="Times New Roman" w:eastAsia="方正仿宋_GBK" w:cs="宋体"/>
          <w:sz w:val="32"/>
          <w:szCs w:val="24"/>
          <w:shd w:val="clear" w:fill="FFFFFF"/>
          <w:lang w:val="en-US"/>
        </w:rPr>
        <w:t>83.64</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1.2%</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17.31</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26.1%</w:t>
      </w:r>
      <w:r>
        <w:rPr>
          <w:rFonts w:hint="eastAsia" w:ascii="Times New Roman" w:hAnsi="Times New Roman" w:eastAsia="方正仿宋_GBK" w:cs="方正仿宋_GBK"/>
          <w:sz w:val="32"/>
          <w:szCs w:val="24"/>
          <w:shd w:val="clear" w:fill="FFFFFF"/>
          <w:lang w:eastAsia="zh-CN"/>
        </w:rPr>
        <w:t>，主要原因是中途追加职工医保基数调标及新冠疫情增加支出。</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7</w:t>
      </w:r>
      <w:r>
        <w:rPr>
          <w:rFonts w:hint="eastAsia" w:ascii="Times New Roman" w:hAnsi="Times New Roman" w:eastAsia="方正仿宋_GBK" w:cs="方正仿宋_GBK"/>
          <w:sz w:val="32"/>
          <w:szCs w:val="24"/>
          <w:shd w:val="clear" w:fill="FFFFFF"/>
          <w:lang w:eastAsia="zh-CN"/>
        </w:rPr>
        <w:t>）节能环保支出</w:t>
      </w:r>
      <w:r>
        <w:rPr>
          <w:rFonts w:hint="default" w:ascii="Times New Roman" w:hAnsi="Times New Roman" w:eastAsia="方正仿宋_GBK" w:cs="宋体"/>
          <w:sz w:val="32"/>
          <w:szCs w:val="24"/>
          <w:shd w:val="clear" w:fill="FFFFFF"/>
          <w:lang w:val="en-US"/>
        </w:rPr>
        <w:t>1,131.69</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16.4%</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1,129.69</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56484.5%</w:t>
      </w:r>
      <w:r>
        <w:rPr>
          <w:rFonts w:hint="eastAsia" w:ascii="Times New Roman" w:hAnsi="Times New Roman" w:eastAsia="方正仿宋_GBK" w:cs="方正仿宋_GBK"/>
          <w:sz w:val="32"/>
          <w:szCs w:val="24"/>
          <w:shd w:val="clear" w:fill="FFFFFF"/>
          <w:lang w:eastAsia="zh-CN"/>
        </w:rPr>
        <w:t>，主要原因是中途追加废旧钢铁回收税收优惠补助</w:t>
      </w:r>
      <w:r>
        <w:rPr>
          <w:rFonts w:hint="default" w:ascii="Times New Roman" w:hAnsi="Times New Roman" w:eastAsia="方正仿宋_GBK" w:cs="宋体"/>
          <w:sz w:val="32"/>
          <w:szCs w:val="24"/>
          <w:shd w:val="clear" w:fill="FFFFFF"/>
          <w:lang w:val="en-US"/>
        </w:rPr>
        <w:t>808.65</w:t>
      </w:r>
      <w:r>
        <w:rPr>
          <w:rFonts w:hint="eastAsia" w:ascii="Times New Roman" w:hAnsi="Times New Roman" w:eastAsia="方正仿宋_GBK" w:cs="方正仿宋_GBK"/>
          <w:sz w:val="32"/>
          <w:szCs w:val="24"/>
          <w:shd w:val="clear" w:fill="FFFFFF"/>
          <w:lang w:eastAsia="zh-CN"/>
        </w:rPr>
        <w:t>万元及农村环境整治款</w:t>
      </w:r>
      <w:r>
        <w:rPr>
          <w:rFonts w:hint="default" w:ascii="Times New Roman" w:hAnsi="Times New Roman" w:eastAsia="方正仿宋_GBK" w:cs="宋体"/>
          <w:sz w:val="32"/>
          <w:szCs w:val="24"/>
          <w:shd w:val="clear" w:fill="FFFFFF"/>
          <w:lang w:val="en-US"/>
        </w:rPr>
        <w:t>322.22</w:t>
      </w:r>
      <w:r>
        <w:rPr>
          <w:rFonts w:hint="eastAsia" w:ascii="Times New Roman" w:hAnsi="Times New Roman" w:eastAsia="方正仿宋_GBK" w:cs="方正仿宋_GBK"/>
          <w:sz w:val="32"/>
          <w:szCs w:val="24"/>
          <w:shd w:val="clear" w:fill="FFFFFF"/>
          <w:lang w:eastAsia="zh-CN"/>
        </w:rPr>
        <w:t>万元增加支出。</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8</w:t>
      </w:r>
      <w:r>
        <w:rPr>
          <w:rFonts w:hint="eastAsia" w:ascii="Times New Roman" w:hAnsi="Times New Roman" w:eastAsia="方正仿宋_GBK" w:cs="方正仿宋_GBK"/>
          <w:sz w:val="32"/>
          <w:szCs w:val="24"/>
          <w:shd w:val="clear" w:fill="FFFFFF"/>
          <w:lang w:eastAsia="zh-CN"/>
        </w:rPr>
        <w:t>）城乡社区支出</w:t>
      </w:r>
      <w:r>
        <w:rPr>
          <w:rFonts w:hint="default" w:ascii="Times New Roman" w:hAnsi="Times New Roman" w:eastAsia="方正仿宋_GBK" w:cs="宋体"/>
          <w:sz w:val="32"/>
          <w:szCs w:val="24"/>
          <w:shd w:val="clear" w:fill="FFFFFF"/>
          <w:lang w:val="en-US"/>
        </w:rPr>
        <w:t>49.14</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0.7%</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16.88</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52.3%</w:t>
      </w:r>
      <w:r>
        <w:rPr>
          <w:rFonts w:hint="eastAsia" w:ascii="Times New Roman" w:hAnsi="Times New Roman" w:eastAsia="方正仿宋_GBK" w:cs="方正仿宋_GBK"/>
          <w:sz w:val="32"/>
          <w:szCs w:val="24"/>
          <w:shd w:val="clear" w:fill="FFFFFF"/>
          <w:lang w:eastAsia="zh-CN"/>
        </w:rPr>
        <w:t>，主要原因是中途增加人员及补发职工以前年度绩效增加支出。</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9</w:t>
      </w:r>
      <w:r>
        <w:rPr>
          <w:rFonts w:hint="eastAsia" w:ascii="Times New Roman" w:hAnsi="Times New Roman" w:eastAsia="方正仿宋_GBK" w:cs="方正仿宋_GBK"/>
          <w:sz w:val="32"/>
          <w:szCs w:val="24"/>
          <w:shd w:val="clear" w:fill="FFFFFF"/>
          <w:lang w:eastAsia="zh-CN"/>
        </w:rPr>
        <w:t>）农林水支出</w:t>
      </w:r>
      <w:r>
        <w:rPr>
          <w:rFonts w:hint="default" w:ascii="Times New Roman" w:hAnsi="Times New Roman" w:eastAsia="方正仿宋_GBK" w:cs="宋体"/>
          <w:sz w:val="32"/>
          <w:szCs w:val="24"/>
          <w:shd w:val="clear" w:fill="FFFFFF"/>
          <w:lang w:val="en-US"/>
        </w:rPr>
        <w:t>3,530.03</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51.1%</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3,146.84</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821.2%</w:t>
      </w:r>
      <w:r>
        <w:rPr>
          <w:rFonts w:hint="eastAsia" w:ascii="Times New Roman" w:hAnsi="Times New Roman" w:eastAsia="方正仿宋_GBK" w:cs="方正仿宋_GBK"/>
          <w:sz w:val="32"/>
          <w:szCs w:val="24"/>
          <w:shd w:val="clear" w:fill="FFFFFF"/>
          <w:lang w:eastAsia="zh-CN"/>
        </w:rPr>
        <w:t>，主要原因是中途追加病虫防治款</w:t>
      </w:r>
      <w:r>
        <w:rPr>
          <w:rFonts w:hint="default" w:ascii="Times New Roman" w:hAnsi="Times New Roman" w:eastAsia="方正仿宋_GBK" w:cs="宋体"/>
          <w:sz w:val="32"/>
          <w:szCs w:val="24"/>
          <w:shd w:val="clear" w:fill="FFFFFF"/>
          <w:lang w:val="en-US"/>
        </w:rPr>
        <w:t>24.44</w:t>
      </w:r>
      <w:r>
        <w:rPr>
          <w:rFonts w:hint="eastAsia" w:ascii="Times New Roman" w:hAnsi="Times New Roman" w:eastAsia="方正仿宋_GBK" w:cs="方正仿宋_GBK"/>
          <w:sz w:val="32"/>
          <w:szCs w:val="24"/>
          <w:shd w:val="clear" w:fill="FFFFFF"/>
          <w:lang w:eastAsia="zh-CN"/>
        </w:rPr>
        <w:t>万元，产业管护费</w:t>
      </w:r>
      <w:r>
        <w:rPr>
          <w:rFonts w:hint="default" w:ascii="Times New Roman" w:hAnsi="Times New Roman" w:eastAsia="方正仿宋_GBK" w:cs="宋体"/>
          <w:sz w:val="32"/>
          <w:szCs w:val="24"/>
          <w:shd w:val="clear" w:fill="FFFFFF"/>
          <w:lang w:val="en-US"/>
        </w:rPr>
        <w:t>1980.00</w:t>
      </w:r>
      <w:r>
        <w:rPr>
          <w:rFonts w:hint="eastAsia" w:ascii="Times New Roman" w:hAnsi="Times New Roman" w:eastAsia="方正仿宋_GBK" w:cs="方正仿宋_GBK"/>
          <w:sz w:val="32"/>
          <w:szCs w:val="24"/>
          <w:shd w:val="clear" w:fill="FFFFFF"/>
          <w:lang w:eastAsia="zh-CN"/>
        </w:rPr>
        <w:t>万元，农村人居环境整治、龙河流域示范河湖、松材线虫防治及石龙门水厂等</w:t>
      </w:r>
      <w:r>
        <w:rPr>
          <w:rFonts w:hint="default" w:ascii="Times New Roman" w:hAnsi="Times New Roman" w:eastAsia="方正仿宋_GBK" w:cs="宋体"/>
          <w:sz w:val="32"/>
          <w:szCs w:val="24"/>
          <w:shd w:val="clear" w:fill="FFFFFF"/>
          <w:lang w:val="en-US"/>
        </w:rPr>
        <w:t>1075</w:t>
      </w:r>
      <w:r>
        <w:rPr>
          <w:rFonts w:hint="eastAsia" w:ascii="Times New Roman" w:hAnsi="Times New Roman" w:eastAsia="方正仿宋_GBK" w:cs="方正仿宋_GBK"/>
          <w:sz w:val="32"/>
          <w:szCs w:val="24"/>
          <w:shd w:val="clear" w:fill="FFFFFF"/>
          <w:lang w:eastAsia="zh-CN"/>
        </w:rPr>
        <w:t>万元增加支出</w:t>
      </w:r>
      <w:r>
        <w:rPr>
          <w:rFonts w:hint="default" w:ascii="Times New Roman" w:hAnsi="Times New Roman" w:eastAsia="方正仿宋_GBK" w:cs="宋体"/>
          <w:sz w:val="32"/>
          <w:szCs w:val="24"/>
          <w:shd w:val="clear" w:fill="FFFFFF"/>
          <w:lang w:eastAsia="zh-CN"/>
        </w:rPr>
        <w:t xml:space="preserve"> </w:t>
      </w:r>
      <w:r>
        <w:rPr>
          <w:rFonts w:hint="eastAsia" w:ascii="Times New Roman" w:hAnsi="Times New Roman" w:eastAsia="方正仿宋_GBK" w:cs="方正仿宋_GBK"/>
          <w:sz w:val="32"/>
          <w:szCs w:val="24"/>
          <w:shd w:val="clear" w:fill="FFFFFF"/>
          <w:lang w:eastAsia="zh-CN"/>
        </w:rPr>
        <w:t>。</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shd w:val="clear" w:fill="FFFFFF"/>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10</w:t>
      </w:r>
      <w:r>
        <w:rPr>
          <w:rFonts w:hint="eastAsia" w:ascii="Times New Roman" w:hAnsi="Times New Roman" w:eastAsia="方正仿宋_GBK" w:cs="方正仿宋_GBK"/>
          <w:sz w:val="32"/>
          <w:szCs w:val="24"/>
          <w:shd w:val="clear" w:fill="FFFFFF"/>
          <w:lang w:eastAsia="zh-CN"/>
        </w:rPr>
        <w:t>）交通运输支出</w:t>
      </w:r>
      <w:r>
        <w:rPr>
          <w:rFonts w:hint="default" w:ascii="Times New Roman" w:hAnsi="Times New Roman" w:eastAsia="方正仿宋_GBK" w:cs="宋体"/>
          <w:sz w:val="32"/>
          <w:szCs w:val="24"/>
          <w:shd w:val="clear" w:fill="FFFFFF"/>
          <w:lang w:val="en-US"/>
        </w:rPr>
        <w:t>646.82</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9.4%</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646.82</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w:t>
      </w:r>
      <w:r>
        <w:rPr>
          <w:rFonts w:hint="eastAsia" w:ascii="Times New Roman" w:hAnsi="Times New Roman" w:eastAsia="方正仿宋_GBK" w:cs="方正仿宋_GBK"/>
          <w:sz w:val="32"/>
          <w:szCs w:val="24"/>
          <w:shd w:val="clear" w:fill="FFFFFF"/>
          <w:lang w:eastAsia="zh-CN"/>
        </w:rPr>
        <w:t>，主要原因是中途追加鱼泉子大桥建设款</w:t>
      </w:r>
      <w:r>
        <w:rPr>
          <w:rFonts w:hint="default" w:ascii="Times New Roman" w:hAnsi="Times New Roman" w:eastAsia="方正仿宋_GBK" w:cs="宋体"/>
          <w:sz w:val="32"/>
          <w:szCs w:val="24"/>
          <w:shd w:val="clear" w:fill="FFFFFF"/>
          <w:lang w:val="en-US"/>
        </w:rPr>
        <w:t>360</w:t>
      </w:r>
      <w:r>
        <w:rPr>
          <w:rFonts w:hint="eastAsia" w:ascii="Times New Roman" w:hAnsi="Times New Roman" w:eastAsia="方正仿宋_GBK" w:cs="方正仿宋_GBK"/>
          <w:sz w:val="32"/>
          <w:szCs w:val="24"/>
          <w:shd w:val="clear" w:fill="FFFFFF"/>
          <w:lang w:eastAsia="zh-CN"/>
        </w:rPr>
        <w:t>万元，公路整治提升等</w:t>
      </w:r>
      <w:r>
        <w:rPr>
          <w:rFonts w:hint="default" w:ascii="Times New Roman" w:hAnsi="Times New Roman" w:eastAsia="方正仿宋_GBK" w:cs="宋体"/>
          <w:sz w:val="32"/>
          <w:szCs w:val="24"/>
          <w:shd w:val="clear" w:fill="FFFFFF"/>
          <w:lang w:val="en-US"/>
        </w:rPr>
        <w:t>243.54</w:t>
      </w:r>
      <w:r>
        <w:rPr>
          <w:rFonts w:hint="eastAsia" w:ascii="Times New Roman" w:hAnsi="Times New Roman" w:eastAsia="方正仿宋_GBK" w:cs="方正仿宋_GBK"/>
          <w:sz w:val="32"/>
          <w:szCs w:val="24"/>
          <w:shd w:val="clear" w:fill="FFFFFF"/>
          <w:lang w:eastAsia="zh-CN"/>
        </w:rPr>
        <w:t>万元等增加支出。</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11</w:t>
      </w:r>
      <w:r>
        <w:rPr>
          <w:rFonts w:hint="eastAsia" w:ascii="Times New Roman" w:hAnsi="Times New Roman" w:eastAsia="方正仿宋_GBK" w:cs="方正仿宋_GBK"/>
          <w:sz w:val="32"/>
          <w:szCs w:val="24"/>
          <w:shd w:val="clear" w:fill="FFFFFF"/>
          <w:lang w:eastAsia="zh-CN"/>
        </w:rPr>
        <w:t>）自然资源海洋气象等支出</w:t>
      </w:r>
      <w:r>
        <w:rPr>
          <w:rFonts w:hint="default" w:ascii="Times New Roman" w:hAnsi="Times New Roman" w:eastAsia="方正仿宋_GBK" w:cs="宋体"/>
          <w:sz w:val="32"/>
          <w:szCs w:val="24"/>
          <w:shd w:val="clear" w:fill="FFFFFF"/>
          <w:lang w:val="en-US"/>
        </w:rPr>
        <w:t>37.40</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0.5%</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37.40</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w:t>
      </w:r>
      <w:r>
        <w:rPr>
          <w:rFonts w:hint="eastAsia" w:ascii="Times New Roman" w:hAnsi="Times New Roman" w:eastAsia="方正仿宋_GBK" w:cs="方正仿宋_GBK"/>
          <w:sz w:val="32"/>
          <w:szCs w:val="24"/>
          <w:shd w:val="clear" w:fill="FFFFFF"/>
          <w:lang w:eastAsia="zh-CN"/>
        </w:rPr>
        <w:t>，主要原因是中途追加大河坝玉制厂关停复绿款</w:t>
      </w:r>
      <w:r>
        <w:rPr>
          <w:rFonts w:hint="default" w:ascii="Times New Roman" w:hAnsi="Times New Roman" w:eastAsia="方正仿宋_GBK" w:cs="宋体"/>
          <w:sz w:val="32"/>
          <w:szCs w:val="24"/>
          <w:shd w:val="clear" w:fill="FFFFFF"/>
          <w:lang w:val="en-US"/>
        </w:rPr>
        <w:t>37.4</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12</w:t>
      </w:r>
      <w:r>
        <w:rPr>
          <w:rFonts w:hint="eastAsia" w:ascii="Times New Roman" w:hAnsi="Times New Roman" w:eastAsia="方正仿宋_GBK" w:cs="方正仿宋_GBK"/>
          <w:sz w:val="32"/>
          <w:szCs w:val="24"/>
          <w:shd w:val="clear" w:fill="FFFFFF"/>
          <w:lang w:eastAsia="zh-CN"/>
        </w:rPr>
        <w:t>）住房保障支出</w:t>
      </w:r>
      <w:r>
        <w:rPr>
          <w:rFonts w:hint="default" w:ascii="Times New Roman" w:hAnsi="Times New Roman" w:eastAsia="方正仿宋_GBK" w:cs="宋体"/>
          <w:sz w:val="32"/>
          <w:szCs w:val="24"/>
          <w:shd w:val="clear" w:fill="FFFFFF"/>
          <w:lang w:val="en-US"/>
        </w:rPr>
        <w:t>79.46</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1.2%</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31.31</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65%</w:t>
      </w:r>
      <w:r>
        <w:rPr>
          <w:rFonts w:hint="eastAsia" w:ascii="Times New Roman" w:hAnsi="Times New Roman" w:eastAsia="方正仿宋_GBK" w:cs="方正仿宋_GBK"/>
          <w:sz w:val="32"/>
          <w:szCs w:val="24"/>
          <w:shd w:val="clear" w:fill="FFFFFF"/>
          <w:lang w:eastAsia="zh-CN"/>
        </w:rPr>
        <w:t>，主要原因是中途追加</w:t>
      </w:r>
      <w:r>
        <w:rPr>
          <w:rFonts w:hint="default" w:ascii="Times New Roman" w:hAnsi="Times New Roman" w:eastAsia="方正仿宋_GBK" w:cs="宋体"/>
          <w:sz w:val="32"/>
          <w:szCs w:val="24"/>
          <w:shd w:val="clear" w:fill="FFFFFF"/>
          <w:lang w:val="en-US"/>
        </w:rPr>
        <w:t>D</w:t>
      </w:r>
      <w:r>
        <w:rPr>
          <w:rFonts w:hint="eastAsia" w:ascii="Times New Roman" w:hAnsi="Times New Roman" w:eastAsia="方正仿宋_GBK" w:cs="方正仿宋_GBK"/>
          <w:sz w:val="32"/>
          <w:szCs w:val="24"/>
          <w:shd w:val="clear" w:fill="FFFFFF"/>
          <w:lang w:eastAsia="zh-CN"/>
        </w:rPr>
        <w:t>房改造款</w:t>
      </w:r>
      <w:r>
        <w:rPr>
          <w:rFonts w:hint="default" w:ascii="Times New Roman" w:hAnsi="Times New Roman" w:eastAsia="方正仿宋_GBK" w:cs="宋体"/>
          <w:sz w:val="32"/>
          <w:szCs w:val="24"/>
          <w:shd w:val="clear" w:fill="FFFFFF"/>
          <w:lang w:val="en-US"/>
        </w:rPr>
        <w:t>33.6</w:t>
      </w:r>
      <w:r>
        <w:rPr>
          <w:rFonts w:hint="eastAsia" w:ascii="Times New Roman" w:hAnsi="Times New Roman" w:eastAsia="方正仿宋_GBK" w:cs="方正仿宋_GBK"/>
          <w:sz w:val="32"/>
          <w:szCs w:val="24"/>
          <w:shd w:val="clear" w:fill="FFFFFF"/>
          <w:lang w:eastAsia="zh-CN"/>
        </w:rPr>
        <w:t>万元增加支出。</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13</w:t>
      </w:r>
      <w:r>
        <w:rPr>
          <w:rFonts w:hint="eastAsia" w:ascii="Times New Roman" w:hAnsi="Times New Roman" w:eastAsia="方正仿宋_GBK" w:cs="方正仿宋_GBK"/>
          <w:sz w:val="32"/>
          <w:szCs w:val="24"/>
          <w:shd w:val="clear" w:fill="FFFFFF"/>
          <w:lang w:eastAsia="zh-CN"/>
        </w:rPr>
        <w:t>）灾害防治及应急管理支出</w:t>
      </w:r>
      <w:r>
        <w:rPr>
          <w:rFonts w:hint="default" w:ascii="Times New Roman" w:hAnsi="Times New Roman" w:eastAsia="方正仿宋_GBK" w:cs="宋体"/>
          <w:sz w:val="32"/>
          <w:szCs w:val="24"/>
          <w:shd w:val="clear" w:fill="FFFFFF"/>
          <w:lang w:val="en-US"/>
        </w:rPr>
        <w:t>41.23</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0.6%</w:t>
      </w:r>
      <w:r>
        <w:rPr>
          <w:rFonts w:hint="eastAsia" w:ascii="Times New Roman" w:hAnsi="Times New Roman" w:eastAsia="方正仿宋_GBK" w:cs="方正仿宋_GBK"/>
          <w:sz w:val="32"/>
          <w:szCs w:val="24"/>
          <w:shd w:val="clear" w:fill="FFFFFF"/>
          <w:lang w:eastAsia="zh-CN"/>
        </w:rPr>
        <w:t>，较年初预算数增加</w:t>
      </w:r>
      <w:r>
        <w:rPr>
          <w:rFonts w:hint="default" w:ascii="Times New Roman" w:hAnsi="Times New Roman" w:eastAsia="方正仿宋_GBK" w:cs="宋体"/>
          <w:sz w:val="32"/>
          <w:szCs w:val="24"/>
          <w:shd w:val="clear" w:fill="FFFFFF"/>
          <w:lang w:val="en-US"/>
        </w:rPr>
        <w:t>36.23</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724.6%</w:t>
      </w:r>
      <w:r>
        <w:rPr>
          <w:rFonts w:hint="eastAsia" w:ascii="Times New Roman" w:hAnsi="Times New Roman" w:eastAsia="方正仿宋_GBK" w:cs="方正仿宋_GBK"/>
          <w:sz w:val="32"/>
          <w:szCs w:val="24"/>
          <w:shd w:val="clear" w:fill="FFFFFF"/>
          <w:lang w:eastAsia="zh-CN"/>
        </w:rPr>
        <w:t>，主要原因是中途追加冬春救助、地灾应急及安全生产监管</w:t>
      </w:r>
      <w:r>
        <w:rPr>
          <w:rFonts w:hint="default" w:ascii="Times New Roman" w:hAnsi="Times New Roman" w:eastAsia="方正仿宋_GBK" w:cs="宋体"/>
          <w:sz w:val="32"/>
          <w:szCs w:val="24"/>
          <w:shd w:val="clear" w:fill="FFFFFF"/>
          <w:lang w:val="en-US"/>
        </w:rPr>
        <w:t>36.23</w:t>
      </w:r>
      <w:r>
        <w:rPr>
          <w:rFonts w:hint="eastAsia" w:ascii="Times New Roman" w:hAnsi="Times New Roman" w:eastAsia="方正仿宋_GBK" w:cs="方正仿宋_GBK"/>
          <w:sz w:val="32"/>
          <w:szCs w:val="24"/>
          <w:shd w:val="clear" w:fill="FFFFFF"/>
          <w:lang w:eastAsia="zh-CN"/>
        </w:rPr>
        <w:t>万元增加支出。</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color w:val="FF0000"/>
          <w:sz w:val="32"/>
          <w:szCs w:val="24"/>
          <w:lang w:val="en-US"/>
        </w:rPr>
      </w:pPr>
      <w:r>
        <w:rPr>
          <w:rFonts w:hint="eastAsia" w:ascii="Times New Roman" w:hAnsi="Times New Roman" w:eastAsia="方正仿宋_GBK" w:cs="方正仿宋_GBK"/>
          <w:sz w:val="32"/>
          <w:szCs w:val="24"/>
          <w:shd w:val="clear" w:fill="FFFFFF"/>
          <w:lang w:eastAsia="zh-CN"/>
        </w:rPr>
        <w:t>（</w:t>
      </w:r>
      <w:r>
        <w:rPr>
          <w:rFonts w:hint="default" w:ascii="Times New Roman" w:hAnsi="Times New Roman" w:eastAsia="方正仿宋_GBK" w:cs="宋体"/>
          <w:sz w:val="32"/>
          <w:szCs w:val="24"/>
          <w:shd w:val="clear" w:fill="FFFFFF"/>
          <w:lang w:val="en-US"/>
        </w:rPr>
        <w:t>14</w:t>
      </w:r>
      <w:r>
        <w:rPr>
          <w:rFonts w:hint="eastAsia" w:ascii="Times New Roman" w:hAnsi="Times New Roman" w:eastAsia="方正仿宋_GBK" w:cs="方正仿宋_GBK"/>
          <w:sz w:val="32"/>
          <w:szCs w:val="24"/>
          <w:shd w:val="clear" w:fill="FFFFFF"/>
          <w:lang w:eastAsia="zh-CN"/>
        </w:rPr>
        <w:t>）其他支出</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万元，占</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，较年初预算数减少</w:t>
      </w:r>
      <w:r>
        <w:rPr>
          <w:rFonts w:hint="default" w:ascii="Times New Roman" w:hAnsi="Times New Roman" w:eastAsia="方正仿宋_GBK" w:cs="宋体"/>
          <w:sz w:val="32"/>
          <w:szCs w:val="24"/>
          <w:shd w:val="clear" w:fill="FFFFFF"/>
          <w:lang w:val="en-US"/>
        </w:rPr>
        <w:t>14.91</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100%</w:t>
      </w:r>
      <w:r>
        <w:rPr>
          <w:rFonts w:hint="eastAsia" w:ascii="Times New Roman" w:hAnsi="Times New Roman" w:eastAsia="方正仿宋_GBK" w:cs="方正仿宋_GBK"/>
          <w:sz w:val="32"/>
          <w:szCs w:val="24"/>
          <w:shd w:val="clear" w:fill="FFFFFF"/>
          <w:lang w:eastAsia="zh-CN"/>
        </w:rPr>
        <w:t>，主要原因是年初的预备费是其他支出，中途将预备费调了功能科目。</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（四）一般公共预算财政拨款基本支出决算情况说明。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年度一般公共预算财政拨款基本支出</w:t>
      </w:r>
      <w:r>
        <w:rPr>
          <w:rFonts w:hint="default" w:ascii="Times New Roman" w:hAnsi="Times New Roman" w:eastAsia="方正仿宋_GBK" w:cs="宋体"/>
          <w:sz w:val="32"/>
          <w:szCs w:val="24"/>
          <w:shd w:val="clear" w:fill="FFFFFF"/>
          <w:lang w:val="en-US"/>
        </w:rPr>
        <w:t>1,583.78</w:t>
      </w:r>
      <w:r>
        <w:rPr>
          <w:rFonts w:hint="eastAsia" w:ascii="Times New Roman" w:hAnsi="Times New Roman" w:eastAsia="方正仿宋_GBK" w:cs="方正仿宋_GBK"/>
          <w:sz w:val="32"/>
          <w:szCs w:val="24"/>
          <w:shd w:val="clear" w:fill="FFFFFF"/>
          <w:lang w:eastAsia="zh-CN"/>
        </w:rPr>
        <w:t>万元。其中：人员经费</w:t>
      </w:r>
      <w:r>
        <w:rPr>
          <w:rFonts w:hint="default" w:ascii="Times New Roman" w:hAnsi="Times New Roman" w:eastAsia="方正仿宋_GBK" w:cs="宋体"/>
          <w:sz w:val="32"/>
          <w:szCs w:val="24"/>
          <w:shd w:val="clear" w:fill="FFFFFF"/>
          <w:lang w:val="en-US"/>
        </w:rPr>
        <w:t>1,331.50</w:t>
      </w:r>
      <w:r>
        <w:rPr>
          <w:rFonts w:hint="eastAsia" w:ascii="Times New Roman" w:hAnsi="Times New Roman" w:eastAsia="方正仿宋_GBK" w:cs="方正仿宋_GBK"/>
          <w:sz w:val="32"/>
          <w:szCs w:val="24"/>
          <w:shd w:val="clear" w:fill="FFFFFF"/>
          <w:lang w:eastAsia="zh-CN"/>
        </w:rPr>
        <w:t>万元，较上年决算数减少</w:t>
      </w:r>
      <w:r>
        <w:rPr>
          <w:rFonts w:hint="default" w:ascii="Times New Roman" w:hAnsi="Times New Roman" w:eastAsia="方正仿宋_GBK" w:cs="宋体"/>
          <w:sz w:val="32"/>
          <w:szCs w:val="24"/>
          <w:shd w:val="clear" w:fill="FFFFFF"/>
          <w:lang w:val="en-US"/>
        </w:rPr>
        <w:t>36.39</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2.7%</w:t>
      </w:r>
      <w:r>
        <w:rPr>
          <w:rFonts w:hint="eastAsia" w:ascii="Times New Roman" w:hAnsi="Times New Roman" w:eastAsia="方正仿宋_GBK" w:cs="方正仿宋_GBK"/>
          <w:sz w:val="32"/>
          <w:szCs w:val="24"/>
          <w:shd w:val="clear" w:fill="FFFFFF"/>
          <w:lang w:eastAsia="zh-CN"/>
        </w:rPr>
        <w:t>，主要原因是</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年没有发未休年休工资。人员经费用途主要包括在职工的工资、津贴、资金、绩效工资、五险一金及退休人员健康休养费等。公用经费</w:t>
      </w:r>
      <w:r>
        <w:rPr>
          <w:rFonts w:hint="default" w:ascii="Times New Roman" w:hAnsi="Times New Roman" w:eastAsia="方正仿宋_GBK" w:cs="宋体"/>
          <w:sz w:val="32"/>
          <w:szCs w:val="24"/>
          <w:shd w:val="clear" w:fill="FFFFFF"/>
          <w:lang w:val="en-US"/>
        </w:rPr>
        <w:t>252.28</w:t>
      </w:r>
      <w:r>
        <w:rPr>
          <w:rFonts w:hint="eastAsia" w:ascii="Times New Roman" w:hAnsi="Times New Roman" w:eastAsia="方正仿宋_GBK" w:cs="方正仿宋_GBK"/>
          <w:sz w:val="32"/>
          <w:szCs w:val="24"/>
          <w:shd w:val="clear" w:fill="FFFFFF"/>
          <w:lang w:eastAsia="zh-CN"/>
        </w:rPr>
        <w:t>万元，较上年决算数减少</w:t>
      </w:r>
      <w:r>
        <w:rPr>
          <w:rFonts w:hint="default" w:ascii="Times New Roman" w:hAnsi="Times New Roman" w:eastAsia="方正仿宋_GBK" w:cs="宋体"/>
          <w:sz w:val="32"/>
          <w:szCs w:val="24"/>
          <w:shd w:val="clear" w:fill="FFFFFF"/>
          <w:lang w:val="en-US"/>
        </w:rPr>
        <w:t>143.56</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36.3%</w:t>
      </w:r>
      <w:r>
        <w:rPr>
          <w:rFonts w:hint="eastAsia" w:ascii="Times New Roman" w:hAnsi="Times New Roman" w:eastAsia="方正仿宋_GBK" w:cs="方正仿宋_GBK"/>
          <w:sz w:val="32"/>
          <w:szCs w:val="24"/>
          <w:shd w:val="clear" w:fill="FFFFFF"/>
          <w:lang w:eastAsia="zh-CN"/>
        </w:rPr>
        <w:t>，主要原因是今年厉行节约、压减开支。公用经费用途主要包括办公费、电费、邮电费差旅费、公务接待费、劳务费、公务用车运行维护费及其他交通费用等。</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（五）政府性基金预算收支决算情况说明。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年度政府性基金预算财政拨款年初结转结余</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万元，年末结转结余</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万元。本年收入</w:t>
      </w:r>
      <w:r>
        <w:rPr>
          <w:rFonts w:hint="default" w:ascii="Times New Roman" w:hAnsi="Times New Roman" w:eastAsia="方正仿宋_GBK" w:cs="宋体"/>
          <w:sz w:val="32"/>
          <w:szCs w:val="24"/>
          <w:shd w:val="clear" w:fill="FFFFFF"/>
          <w:lang w:val="en-US"/>
        </w:rPr>
        <w:t>2,544.95</w:t>
      </w:r>
      <w:r>
        <w:rPr>
          <w:rFonts w:hint="eastAsia" w:ascii="Times New Roman" w:hAnsi="Times New Roman" w:eastAsia="方正仿宋_GBK" w:cs="方正仿宋_GBK"/>
          <w:sz w:val="32"/>
          <w:szCs w:val="24"/>
          <w:shd w:val="clear" w:fill="FFFFFF"/>
          <w:lang w:eastAsia="zh-CN"/>
        </w:rPr>
        <w:t>万元，较上年决算数增加</w:t>
      </w:r>
      <w:r>
        <w:rPr>
          <w:rFonts w:hint="default" w:ascii="Times New Roman" w:hAnsi="Times New Roman" w:eastAsia="方正仿宋_GBK" w:cs="宋体"/>
          <w:sz w:val="32"/>
          <w:szCs w:val="24"/>
          <w:shd w:val="clear" w:fill="FFFFFF"/>
          <w:lang w:val="en-US"/>
        </w:rPr>
        <w:t>1,984.53</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354.1%</w:t>
      </w:r>
      <w:r>
        <w:rPr>
          <w:rFonts w:hint="eastAsia" w:ascii="Times New Roman" w:hAnsi="Times New Roman" w:eastAsia="方正仿宋_GBK" w:cs="方正仿宋_GBK"/>
          <w:sz w:val="32"/>
          <w:szCs w:val="24"/>
          <w:shd w:val="clear" w:fill="FFFFFF"/>
          <w:lang w:eastAsia="zh-CN"/>
        </w:rPr>
        <w:t>，主要原因是中途追加三建新场镇建设款</w:t>
      </w:r>
      <w:r>
        <w:rPr>
          <w:rFonts w:hint="default" w:ascii="Times New Roman" w:hAnsi="Times New Roman" w:eastAsia="方正仿宋_GBK" w:cs="宋体"/>
          <w:sz w:val="32"/>
          <w:szCs w:val="24"/>
          <w:shd w:val="clear" w:fill="FFFFFF"/>
          <w:lang w:val="en-US"/>
        </w:rPr>
        <w:t>2231</w:t>
      </w:r>
      <w:r>
        <w:rPr>
          <w:rFonts w:hint="eastAsia" w:ascii="Times New Roman" w:hAnsi="Times New Roman" w:eastAsia="方正仿宋_GBK" w:cs="方正仿宋_GBK"/>
          <w:sz w:val="32"/>
          <w:szCs w:val="24"/>
          <w:shd w:val="clear" w:fill="FFFFFF"/>
          <w:lang w:eastAsia="zh-CN"/>
        </w:rPr>
        <w:t>元收入，人居环境整治比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209.45</w:t>
      </w:r>
      <w:r>
        <w:rPr>
          <w:rFonts w:hint="eastAsia" w:ascii="Times New Roman" w:hAnsi="Times New Roman" w:eastAsia="方正仿宋_GBK" w:cs="方正仿宋_GBK"/>
          <w:sz w:val="32"/>
          <w:szCs w:val="24"/>
          <w:shd w:val="clear" w:fill="FFFFFF"/>
          <w:lang w:eastAsia="zh-CN"/>
        </w:rPr>
        <w:t>万元的收入。本年支出</w:t>
      </w:r>
      <w:r>
        <w:rPr>
          <w:rFonts w:hint="default" w:ascii="Times New Roman" w:hAnsi="Times New Roman" w:eastAsia="方正仿宋_GBK" w:cs="宋体"/>
          <w:sz w:val="32"/>
          <w:szCs w:val="24"/>
          <w:shd w:val="clear" w:fill="FFFFFF"/>
          <w:lang w:val="en-US"/>
        </w:rPr>
        <w:t>2,544.95</w:t>
      </w:r>
      <w:r>
        <w:rPr>
          <w:rFonts w:hint="eastAsia" w:ascii="Times New Roman" w:hAnsi="Times New Roman" w:eastAsia="方正仿宋_GBK" w:cs="方正仿宋_GBK"/>
          <w:sz w:val="32"/>
          <w:szCs w:val="24"/>
          <w:shd w:val="clear" w:fill="FFFFFF"/>
          <w:lang w:eastAsia="zh-CN"/>
        </w:rPr>
        <w:t>万元，较上年决算数增加</w:t>
      </w:r>
      <w:r>
        <w:rPr>
          <w:rFonts w:hint="default" w:ascii="Times New Roman" w:hAnsi="Times New Roman" w:eastAsia="方正仿宋_GBK" w:cs="宋体"/>
          <w:sz w:val="32"/>
          <w:szCs w:val="24"/>
          <w:shd w:val="clear" w:fill="FFFFFF"/>
          <w:lang w:val="en-US"/>
        </w:rPr>
        <w:t>1,984.53</w:t>
      </w:r>
      <w:r>
        <w:rPr>
          <w:rFonts w:hint="eastAsia" w:ascii="Times New Roman" w:hAnsi="Times New Roman" w:eastAsia="方正仿宋_GBK" w:cs="方正仿宋_GBK"/>
          <w:sz w:val="32"/>
          <w:szCs w:val="24"/>
          <w:shd w:val="clear" w:fill="FFFFFF"/>
          <w:lang w:eastAsia="zh-CN"/>
        </w:rPr>
        <w:t>万元，增长</w:t>
      </w:r>
      <w:r>
        <w:rPr>
          <w:rFonts w:hint="default" w:ascii="Times New Roman" w:hAnsi="Times New Roman" w:eastAsia="方正仿宋_GBK" w:cs="宋体"/>
          <w:sz w:val="32"/>
          <w:szCs w:val="24"/>
          <w:shd w:val="clear" w:fill="FFFFFF"/>
          <w:lang w:val="en-US"/>
        </w:rPr>
        <w:t>354.1%</w:t>
      </w:r>
      <w:r>
        <w:rPr>
          <w:rFonts w:hint="eastAsia" w:ascii="Times New Roman" w:hAnsi="Times New Roman" w:eastAsia="方正仿宋_GBK" w:cs="方正仿宋_GBK"/>
          <w:sz w:val="32"/>
          <w:szCs w:val="24"/>
          <w:shd w:val="clear" w:fill="FFFFFF"/>
          <w:lang w:eastAsia="zh-CN"/>
        </w:rPr>
        <w:t>，主要原因是中途追加三建新场镇建设款</w:t>
      </w:r>
      <w:r>
        <w:rPr>
          <w:rFonts w:hint="default" w:ascii="Times New Roman" w:hAnsi="Times New Roman" w:eastAsia="方正仿宋_GBK" w:cs="宋体"/>
          <w:sz w:val="32"/>
          <w:szCs w:val="24"/>
          <w:shd w:val="clear" w:fill="FFFFFF"/>
          <w:lang w:val="en-US"/>
        </w:rPr>
        <w:t>2231</w:t>
      </w:r>
      <w:r>
        <w:rPr>
          <w:rFonts w:hint="eastAsia" w:ascii="Times New Roman" w:hAnsi="Times New Roman" w:eastAsia="方正仿宋_GBK" w:cs="方正仿宋_GBK"/>
          <w:sz w:val="32"/>
          <w:szCs w:val="24"/>
          <w:shd w:val="clear" w:fill="FFFFFF"/>
          <w:lang w:eastAsia="zh-CN"/>
        </w:rPr>
        <w:t>元增加支出，人居环境</w:t>
      </w:r>
      <w:r>
        <w:rPr>
          <w:rFonts w:hint="default" w:ascii="Times New Roman" w:hAnsi="Times New Roman" w:eastAsia="方正仿宋_GBK" w:cs="宋体"/>
          <w:sz w:val="32"/>
          <w:szCs w:val="24"/>
          <w:shd w:val="clear" w:fill="FFFFFF"/>
          <w:lang w:eastAsia="zh-CN"/>
        </w:rPr>
        <w:t xml:space="preserve"> </w:t>
      </w:r>
      <w:r>
        <w:rPr>
          <w:rFonts w:hint="eastAsia" w:ascii="Times New Roman" w:hAnsi="Times New Roman" w:eastAsia="方正仿宋_GBK" w:cs="方正仿宋_GBK"/>
          <w:sz w:val="32"/>
          <w:szCs w:val="24"/>
          <w:shd w:val="clear" w:fill="FFFFFF"/>
          <w:lang w:eastAsia="zh-CN"/>
        </w:rPr>
        <w:t>整治比</w:t>
      </w:r>
      <w:r>
        <w:rPr>
          <w:rFonts w:hint="default" w:ascii="Times New Roman" w:hAnsi="Times New Roman" w:eastAsia="方正仿宋_GBK" w:cs="宋体"/>
          <w:sz w:val="32"/>
          <w:szCs w:val="24"/>
          <w:shd w:val="clear" w:fill="FFFFFF"/>
          <w:lang w:val="en-US"/>
        </w:rPr>
        <w:t>2021</w:t>
      </w:r>
      <w:r>
        <w:rPr>
          <w:rFonts w:hint="eastAsia" w:ascii="Times New Roman" w:hAnsi="Times New Roman" w:eastAsia="方正仿宋_GBK" w:cs="方正仿宋_GBK"/>
          <w:sz w:val="32"/>
          <w:szCs w:val="24"/>
          <w:shd w:val="clear" w:fill="FFFFFF"/>
          <w:lang w:eastAsia="zh-CN"/>
        </w:rPr>
        <w:t>年少了</w:t>
      </w:r>
      <w:r>
        <w:rPr>
          <w:rFonts w:hint="default" w:ascii="Times New Roman" w:hAnsi="Times New Roman" w:eastAsia="方正仿宋_GBK" w:cs="宋体"/>
          <w:sz w:val="32"/>
          <w:szCs w:val="24"/>
          <w:shd w:val="clear" w:fill="FFFFFF"/>
          <w:lang w:val="en-US"/>
        </w:rPr>
        <w:t>209.45</w:t>
      </w:r>
      <w:r>
        <w:rPr>
          <w:rFonts w:hint="eastAsia" w:ascii="Times New Roman" w:hAnsi="Times New Roman" w:eastAsia="方正仿宋_GBK" w:cs="方正仿宋_GBK"/>
          <w:sz w:val="32"/>
          <w:szCs w:val="24"/>
          <w:shd w:val="clear" w:fill="FFFFFF"/>
          <w:lang w:eastAsia="zh-CN"/>
        </w:rPr>
        <w:t>万元的支出。</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（六）国有资本经营预算财政拨款支出决算情况说明。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本部门</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年度无国有资本经营预算财政拨款支出。</w:t>
      </w:r>
    </w:p>
    <w:p>
      <w:pPr>
        <w:pStyle w:val="41"/>
        <w:adjustRightInd w:val="0"/>
        <w:snapToGrid w:val="0"/>
        <w:spacing w:before="0" w:beforeAutospacing="0" w:after="0" w:afterAutospacing="0"/>
        <w:ind w:left="0" w:right="0" w:firstLine="640" w:firstLineChars="200"/>
        <w:rPr>
          <w:rFonts w:hint="eastAsia" w:ascii="方正黑体_GBK" w:hAnsi="方正黑体_GBK" w:eastAsia="方正黑体_GBK" w:cs="方正黑体_GBK"/>
          <w:szCs w:val="32"/>
          <w:shd w:val="clear" w:fill="FFFFFF"/>
          <w:lang w:val="en-US"/>
        </w:rPr>
      </w:pPr>
      <w:r>
        <w:rPr>
          <w:rStyle w:val="54"/>
          <w:rFonts w:hint="eastAsia" w:ascii="方正黑体_GBK" w:hAnsi="方正黑体_GBK" w:eastAsia="方正黑体_GBK" w:cs="方正黑体_GBK"/>
          <w:b w:val="0"/>
          <w:bCs/>
          <w:sz w:val="32"/>
          <w:szCs w:val="32"/>
          <w:shd w:val="clear" w:fill="FFFFFF"/>
          <w:lang w:eastAsia="zh-CN"/>
        </w:rPr>
        <w:t>三、</w:t>
      </w:r>
      <w:r>
        <w:rPr>
          <w:rStyle w:val="54"/>
          <w:rFonts w:ascii="方正黑体_GBK" w:eastAsia="方正黑体_GBK"/>
          <w:b w:val="0"/>
          <w:bCs/>
          <w:sz w:val="32"/>
          <w:szCs w:val="32"/>
          <w:shd w:val="clear" w:fill="FFFFFF"/>
          <w:lang w:val="en-US"/>
        </w:rPr>
        <w:t>“</w:t>
      </w:r>
      <w:r>
        <w:rPr>
          <w:rStyle w:val="54"/>
          <w:rFonts w:hint="eastAsia" w:ascii="方正黑体_GBK" w:hAnsi="方正黑体_GBK" w:eastAsia="方正黑体_GBK" w:cs="方正黑体_GBK"/>
          <w:b w:val="0"/>
          <w:bCs/>
          <w:sz w:val="32"/>
          <w:szCs w:val="32"/>
          <w:shd w:val="clear" w:fill="FFFFFF"/>
          <w:lang w:eastAsia="zh-CN"/>
        </w:rPr>
        <w:t>三公</w:t>
      </w:r>
      <w:r>
        <w:rPr>
          <w:rStyle w:val="54"/>
          <w:rFonts w:ascii="方正黑体_GBK" w:eastAsia="方正黑体_GBK"/>
          <w:b w:val="0"/>
          <w:bCs/>
          <w:sz w:val="32"/>
          <w:szCs w:val="32"/>
          <w:shd w:val="clear" w:fill="FFFFFF"/>
          <w:lang w:val="en-US"/>
        </w:rPr>
        <w:t>”</w:t>
      </w:r>
      <w:r>
        <w:rPr>
          <w:rStyle w:val="54"/>
          <w:rFonts w:hint="eastAsia" w:ascii="方正黑体_GBK" w:hAnsi="方正黑体_GBK" w:eastAsia="方正黑体_GBK" w:cs="方正黑体_GBK"/>
          <w:b w:val="0"/>
          <w:bCs/>
          <w:sz w:val="32"/>
          <w:szCs w:val="32"/>
          <w:shd w:val="clear" w:fill="FFFFFF"/>
          <w:lang w:eastAsia="zh-CN"/>
        </w:rPr>
        <w:t>经费情况说明</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（一）</w:t>
      </w:r>
      <w:r>
        <w:rPr>
          <w:rStyle w:val="54"/>
          <w:rFonts w:ascii="方正楷体_GBK" w:eastAsia="方正楷体_GBK"/>
          <w:b w:val="0"/>
          <w:bCs/>
          <w:sz w:val="32"/>
          <w:szCs w:val="24"/>
          <w:shd w:val="clear" w:fill="FFFFFF"/>
          <w:lang w:val="en-US"/>
        </w:rPr>
        <w:t>“</w:t>
      </w:r>
      <w:r>
        <w:rPr>
          <w:rStyle w:val="54"/>
          <w:rFonts w:hint="eastAsia" w:ascii="方正楷体_GBK" w:hAnsi="方正楷体_GBK" w:eastAsia="方正楷体_GBK" w:cs="方正楷体_GBK"/>
          <w:b w:val="0"/>
          <w:bCs/>
          <w:sz w:val="32"/>
          <w:szCs w:val="24"/>
          <w:shd w:val="clear" w:fill="FFFFFF"/>
          <w:lang w:eastAsia="zh-CN"/>
        </w:rPr>
        <w:t>三公</w:t>
      </w:r>
      <w:r>
        <w:rPr>
          <w:rStyle w:val="54"/>
          <w:rFonts w:ascii="方正楷体_GBK" w:eastAsia="方正楷体_GBK"/>
          <w:b w:val="0"/>
          <w:bCs/>
          <w:sz w:val="32"/>
          <w:szCs w:val="24"/>
          <w:shd w:val="clear" w:fill="FFFFFF"/>
          <w:lang w:val="en-US"/>
        </w:rPr>
        <w:t>”</w:t>
      </w:r>
      <w:r>
        <w:rPr>
          <w:rStyle w:val="54"/>
          <w:rFonts w:hint="eastAsia" w:ascii="方正楷体_GBK" w:hAnsi="方正楷体_GBK" w:eastAsia="方正楷体_GBK" w:cs="方正楷体_GBK"/>
          <w:b w:val="0"/>
          <w:bCs/>
          <w:sz w:val="32"/>
          <w:szCs w:val="24"/>
          <w:shd w:val="clear" w:fill="FFFFFF"/>
          <w:lang w:eastAsia="zh-CN"/>
        </w:rPr>
        <w:t>经费支出总体情况说明。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年度“三公”经费支出共计</w:t>
      </w:r>
      <w:r>
        <w:rPr>
          <w:rFonts w:hint="default" w:ascii="Times New Roman" w:hAnsi="Times New Roman" w:eastAsia="方正仿宋_GBK" w:cs="宋体"/>
          <w:sz w:val="32"/>
          <w:szCs w:val="24"/>
          <w:shd w:val="clear" w:fill="FFFFFF"/>
          <w:lang w:val="en-US"/>
        </w:rPr>
        <w:t>31.73</w:t>
      </w:r>
      <w:r>
        <w:rPr>
          <w:rFonts w:hint="eastAsia" w:ascii="Times New Roman" w:hAnsi="Times New Roman" w:eastAsia="方正仿宋_GBK" w:cs="方正仿宋_GBK"/>
          <w:sz w:val="32"/>
          <w:szCs w:val="24"/>
          <w:shd w:val="clear" w:fill="FFFFFF"/>
          <w:lang w:eastAsia="zh-CN"/>
        </w:rPr>
        <w:t>万元，较年初预算数减少</w:t>
      </w:r>
      <w:r>
        <w:rPr>
          <w:rFonts w:hint="default" w:ascii="Times New Roman" w:hAnsi="Times New Roman" w:eastAsia="方正仿宋_GBK" w:cs="宋体"/>
          <w:sz w:val="32"/>
          <w:szCs w:val="24"/>
          <w:shd w:val="clear" w:fill="FFFFFF"/>
          <w:lang w:val="en-US"/>
        </w:rPr>
        <w:t>12.47</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28.2%</w:t>
      </w:r>
      <w:r>
        <w:rPr>
          <w:rFonts w:hint="eastAsia" w:ascii="Times New Roman" w:hAnsi="Times New Roman" w:eastAsia="方正仿宋_GBK" w:cs="方正仿宋_GBK"/>
          <w:sz w:val="32"/>
          <w:szCs w:val="24"/>
          <w:shd w:val="clear" w:fill="FFFFFF"/>
          <w:lang w:eastAsia="zh-CN"/>
        </w:rPr>
        <w:t>，主要原因是今年厉行节约、压减开支，所以比预算数下降了</w:t>
      </w:r>
      <w:r>
        <w:rPr>
          <w:rFonts w:hint="default" w:ascii="Times New Roman" w:hAnsi="Times New Roman" w:eastAsia="方正仿宋_GBK" w:cs="宋体"/>
          <w:sz w:val="32"/>
          <w:szCs w:val="24"/>
          <w:shd w:val="clear" w:fill="FFFFFF"/>
          <w:lang w:val="en-US"/>
        </w:rPr>
        <w:t>12.47</w:t>
      </w:r>
      <w:r>
        <w:rPr>
          <w:rFonts w:hint="eastAsia" w:ascii="Times New Roman" w:hAnsi="Times New Roman" w:eastAsia="方正仿宋_GBK" w:cs="方正仿宋_GBK"/>
          <w:sz w:val="32"/>
          <w:szCs w:val="24"/>
          <w:shd w:val="clear" w:fill="FFFFFF"/>
          <w:lang w:eastAsia="zh-CN"/>
        </w:rPr>
        <w:t>万元。较上年支出数减少</w:t>
      </w:r>
      <w:r>
        <w:rPr>
          <w:rFonts w:hint="default" w:ascii="Times New Roman" w:hAnsi="Times New Roman" w:eastAsia="方正仿宋_GBK" w:cs="宋体"/>
          <w:sz w:val="32"/>
          <w:szCs w:val="24"/>
          <w:shd w:val="clear" w:fill="FFFFFF"/>
          <w:lang w:val="en-US"/>
        </w:rPr>
        <w:t>16.02</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33.5%</w:t>
      </w:r>
      <w:r>
        <w:rPr>
          <w:rFonts w:hint="eastAsia" w:ascii="Times New Roman" w:hAnsi="Times New Roman" w:eastAsia="方正仿宋_GBK" w:cs="方正仿宋_GBK"/>
          <w:sz w:val="32"/>
          <w:szCs w:val="24"/>
          <w:shd w:val="clear" w:fill="FFFFFF"/>
          <w:lang w:eastAsia="zh-CN"/>
        </w:rPr>
        <w:t>，主要原因是今年厉行节约、压减开支，所以比上年支出下降了</w:t>
      </w:r>
      <w:r>
        <w:rPr>
          <w:rFonts w:hint="default" w:ascii="Times New Roman" w:hAnsi="Times New Roman" w:eastAsia="方正仿宋_GBK" w:cs="宋体"/>
          <w:sz w:val="32"/>
          <w:szCs w:val="24"/>
          <w:shd w:val="clear" w:fill="FFFFFF"/>
          <w:lang w:val="en-US"/>
        </w:rPr>
        <w:t>16.02</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（二）</w:t>
      </w:r>
      <w:r>
        <w:rPr>
          <w:rStyle w:val="54"/>
          <w:rFonts w:ascii="方正楷体_GBK" w:eastAsia="方正楷体_GBK"/>
          <w:b w:val="0"/>
          <w:bCs/>
          <w:sz w:val="32"/>
          <w:szCs w:val="24"/>
          <w:shd w:val="clear" w:fill="FFFFFF"/>
          <w:lang w:val="en-US"/>
        </w:rPr>
        <w:t>“</w:t>
      </w:r>
      <w:r>
        <w:rPr>
          <w:rStyle w:val="54"/>
          <w:rFonts w:hint="eastAsia" w:ascii="方正楷体_GBK" w:hAnsi="方正楷体_GBK" w:eastAsia="方正楷体_GBK" w:cs="方正楷体_GBK"/>
          <w:b w:val="0"/>
          <w:bCs/>
          <w:sz w:val="32"/>
          <w:szCs w:val="24"/>
          <w:shd w:val="clear" w:fill="FFFFFF"/>
          <w:lang w:eastAsia="zh-CN"/>
        </w:rPr>
        <w:t>三公</w:t>
      </w:r>
      <w:r>
        <w:rPr>
          <w:rStyle w:val="54"/>
          <w:rFonts w:ascii="方正楷体_GBK" w:eastAsia="方正楷体_GBK"/>
          <w:b w:val="0"/>
          <w:bCs/>
          <w:sz w:val="32"/>
          <w:szCs w:val="24"/>
          <w:shd w:val="clear" w:fill="FFFFFF"/>
          <w:lang w:val="en-US"/>
        </w:rPr>
        <w:t>”</w:t>
      </w:r>
      <w:r>
        <w:rPr>
          <w:rStyle w:val="54"/>
          <w:rFonts w:hint="eastAsia" w:ascii="方正楷体_GBK" w:hAnsi="方正楷体_GBK" w:eastAsia="方正楷体_GBK" w:cs="方正楷体_GBK"/>
          <w:b w:val="0"/>
          <w:bCs/>
          <w:sz w:val="32"/>
          <w:szCs w:val="24"/>
          <w:shd w:val="clear" w:fill="FFFFFF"/>
          <w:lang w:eastAsia="zh-CN"/>
        </w:rPr>
        <w:t>经费分项支出情况。</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年度本部门因公出国（境）费用</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万元，本单位</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年度未发生因公出国（境）费用，与上年持平。</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shd w:val="clear" w:fill="FFFFFF"/>
          <w:lang w:val="en-US"/>
        </w:rPr>
      </w:pPr>
      <w:r>
        <w:rPr>
          <w:rFonts w:hint="eastAsia" w:ascii="Times New Roman" w:hAnsi="Times New Roman" w:eastAsia="方正仿宋_GBK" w:cs="方正仿宋_GBK"/>
          <w:sz w:val="32"/>
          <w:szCs w:val="24"/>
          <w:shd w:val="clear" w:fill="FFFFFF"/>
          <w:lang w:eastAsia="zh-CN"/>
        </w:rPr>
        <w:t>公务车购置费</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万元，本单位</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年度未发生公务车购置费，与上年持平。</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公务车运行维护费</w:t>
      </w:r>
      <w:r>
        <w:rPr>
          <w:rFonts w:hint="default" w:ascii="Times New Roman" w:hAnsi="Times New Roman" w:eastAsia="方正仿宋_GBK" w:cs="宋体"/>
          <w:sz w:val="32"/>
          <w:szCs w:val="24"/>
          <w:shd w:val="clear" w:fill="FFFFFF"/>
          <w:lang w:val="en-US"/>
        </w:rPr>
        <w:t>12.10</w:t>
      </w:r>
      <w:r>
        <w:rPr>
          <w:rFonts w:hint="eastAsia" w:ascii="Times New Roman" w:hAnsi="Times New Roman" w:eastAsia="方正仿宋_GBK" w:cs="方正仿宋_GBK"/>
          <w:sz w:val="32"/>
          <w:szCs w:val="24"/>
          <w:shd w:val="clear" w:fill="FFFFFF"/>
          <w:lang w:eastAsia="zh-CN"/>
        </w:rPr>
        <w:t>万元，主要用于扶贫工作、政府职工下村及至市县衔接工作开支公务车燃油费、维修费、保险费和路桥费。费用支出较年初预算数减少</w:t>
      </w:r>
      <w:r>
        <w:rPr>
          <w:rFonts w:hint="default" w:ascii="Times New Roman" w:hAnsi="Times New Roman" w:eastAsia="方正仿宋_GBK" w:cs="宋体"/>
          <w:sz w:val="32"/>
          <w:szCs w:val="24"/>
          <w:shd w:val="clear" w:fill="FFFFFF"/>
          <w:lang w:val="en-US"/>
        </w:rPr>
        <w:t>3.90</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24.4%</w:t>
      </w:r>
      <w:r>
        <w:rPr>
          <w:rFonts w:hint="eastAsia" w:ascii="Times New Roman" w:hAnsi="Times New Roman" w:eastAsia="方正仿宋_GBK" w:cs="方正仿宋_GBK"/>
          <w:sz w:val="32"/>
          <w:szCs w:val="24"/>
          <w:shd w:val="clear" w:fill="FFFFFF"/>
          <w:lang w:eastAsia="zh-CN"/>
        </w:rPr>
        <w:t>，主要原因是今年厉行节约、压减开支，所以比预算数减少了</w:t>
      </w:r>
      <w:r>
        <w:rPr>
          <w:rFonts w:hint="default" w:ascii="Times New Roman" w:hAnsi="Times New Roman" w:eastAsia="方正仿宋_GBK" w:cs="宋体"/>
          <w:sz w:val="32"/>
          <w:szCs w:val="24"/>
          <w:shd w:val="clear" w:fill="FFFFFF"/>
          <w:lang w:val="en-US"/>
        </w:rPr>
        <w:t>3.90</w:t>
      </w:r>
      <w:r>
        <w:rPr>
          <w:rFonts w:hint="eastAsia" w:ascii="Times New Roman" w:hAnsi="Times New Roman" w:eastAsia="方正仿宋_GBK" w:cs="方正仿宋_GBK"/>
          <w:sz w:val="32"/>
          <w:szCs w:val="24"/>
          <w:shd w:val="clear" w:fill="FFFFFF"/>
          <w:lang w:eastAsia="zh-CN"/>
        </w:rPr>
        <w:t>万元。较上年支出数减少</w:t>
      </w:r>
      <w:r>
        <w:rPr>
          <w:rFonts w:hint="default" w:ascii="Times New Roman" w:hAnsi="Times New Roman" w:eastAsia="方正仿宋_GBK" w:cs="宋体"/>
          <w:sz w:val="32"/>
          <w:szCs w:val="24"/>
          <w:shd w:val="clear" w:fill="FFFFFF"/>
          <w:lang w:val="en-US"/>
        </w:rPr>
        <w:t>4.02</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24.9%</w:t>
      </w:r>
      <w:r>
        <w:rPr>
          <w:rFonts w:hint="eastAsia" w:ascii="Times New Roman" w:hAnsi="Times New Roman" w:eastAsia="方正仿宋_GBK" w:cs="方正仿宋_GBK"/>
          <w:sz w:val="32"/>
          <w:szCs w:val="24"/>
          <w:shd w:val="clear" w:fill="FFFFFF"/>
          <w:lang w:eastAsia="zh-CN"/>
        </w:rPr>
        <w:t>，主要原因是今年厉行节约、压减开支，所以比上年数减少了</w:t>
      </w:r>
      <w:r>
        <w:rPr>
          <w:rFonts w:hint="default" w:ascii="Times New Roman" w:hAnsi="Times New Roman" w:eastAsia="方正仿宋_GBK" w:cs="宋体"/>
          <w:sz w:val="32"/>
          <w:szCs w:val="24"/>
          <w:shd w:val="clear" w:fill="FFFFFF"/>
          <w:lang w:val="en-US"/>
        </w:rPr>
        <w:t>4.02</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公务接待费</w:t>
      </w:r>
      <w:r>
        <w:rPr>
          <w:rFonts w:hint="default" w:ascii="Times New Roman" w:hAnsi="Times New Roman" w:eastAsia="方正仿宋_GBK" w:cs="宋体"/>
          <w:sz w:val="32"/>
          <w:szCs w:val="24"/>
          <w:shd w:val="clear" w:fill="FFFFFF"/>
          <w:lang w:val="en-US"/>
        </w:rPr>
        <w:t>19.64</w:t>
      </w:r>
      <w:r>
        <w:rPr>
          <w:rFonts w:hint="eastAsia" w:ascii="Times New Roman" w:hAnsi="Times New Roman" w:eastAsia="方正仿宋_GBK" w:cs="方正仿宋_GBK"/>
          <w:sz w:val="32"/>
          <w:szCs w:val="24"/>
          <w:shd w:val="clear" w:fill="FFFFFF"/>
          <w:lang w:eastAsia="zh-CN"/>
        </w:rPr>
        <w:t>万元，主要用于接待县级和市部门检查指导工作。费用支出较年初预算数减少</w:t>
      </w:r>
      <w:r>
        <w:rPr>
          <w:rFonts w:hint="default" w:ascii="Times New Roman" w:hAnsi="Times New Roman" w:eastAsia="方正仿宋_GBK" w:cs="宋体"/>
          <w:sz w:val="32"/>
          <w:szCs w:val="24"/>
          <w:shd w:val="clear" w:fill="FFFFFF"/>
          <w:lang w:val="en-US"/>
        </w:rPr>
        <w:t>8.56</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30.4%</w:t>
      </w:r>
      <w:r>
        <w:rPr>
          <w:rFonts w:hint="eastAsia" w:ascii="Times New Roman" w:hAnsi="Times New Roman" w:eastAsia="方正仿宋_GBK" w:cs="方正仿宋_GBK"/>
          <w:sz w:val="32"/>
          <w:szCs w:val="24"/>
          <w:shd w:val="clear" w:fill="FFFFFF"/>
          <w:lang w:eastAsia="zh-CN"/>
        </w:rPr>
        <w:t>，主要原因是今年厉行节约、压减开支，所以比预算数减少了</w:t>
      </w:r>
      <w:r>
        <w:rPr>
          <w:rFonts w:hint="default" w:ascii="Times New Roman" w:hAnsi="Times New Roman" w:eastAsia="方正仿宋_GBK" w:cs="宋体"/>
          <w:sz w:val="32"/>
          <w:szCs w:val="24"/>
          <w:shd w:val="clear" w:fill="FFFFFF"/>
          <w:lang w:val="en-US"/>
        </w:rPr>
        <w:t>8.56</w:t>
      </w:r>
      <w:r>
        <w:rPr>
          <w:rFonts w:hint="eastAsia" w:ascii="Times New Roman" w:hAnsi="Times New Roman" w:eastAsia="方正仿宋_GBK" w:cs="方正仿宋_GBK"/>
          <w:sz w:val="32"/>
          <w:szCs w:val="24"/>
          <w:shd w:val="clear" w:fill="FFFFFF"/>
          <w:lang w:eastAsia="zh-CN"/>
        </w:rPr>
        <w:t>万元。较上年支出数减少</w:t>
      </w:r>
      <w:r>
        <w:rPr>
          <w:rFonts w:hint="default" w:ascii="Times New Roman" w:hAnsi="Times New Roman" w:eastAsia="方正仿宋_GBK" w:cs="宋体"/>
          <w:sz w:val="32"/>
          <w:szCs w:val="24"/>
          <w:shd w:val="clear" w:fill="FFFFFF"/>
          <w:lang w:val="en-US"/>
        </w:rPr>
        <w:t>11.99</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37.9%</w:t>
      </w:r>
      <w:r>
        <w:rPr>
          <w:rFonts w:hint="eastAsia" w:ascii="Times New Roman" w:hAnsi="Times New Roman" w:eastAsia="方正仿宋_GBK" w:cs="方正仿宋_GBK"/>
          <w:sz w:val="32"/>
          <w:szCs w:val="24"/>
          <w:shd w:val="clear" w:fill="FFFFFF"/>
          <w:lang w:eastAsia="zh-CN"/>
        </w:rPr>
        <w:t>，主要原因是今年厉行节约、压减开支，所以比上年数减少了</w:t>
      </w:r>
      <w:r>
        <w:rPr>
          <w:rFonts w:hint="default" w:ascii="Times New Roman" w:hAnsi="Times New Roman" w:eastAsia="方正仿宋_GBK" w:cs="宋体"/>
          <w:sz w:val="32"/>
          <w:szCs w:val="24"/>
          <w:shd w:val="clear" w:fill="FFFFFF"/>
          <w:lang w:val="en-US"/>
        </w:rPr>
        <w:t>11.99</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（三）</w:t>
      </w:r>
      <w:r>
        <w:rPr>
          <w:rStyle w:val="54"/>
          <w:rFonts w:ascii="方正楷体_GBK" w:eastAsia="方正楷体_GBK"/>
          <w:b w:val="0"/>
          <w:bCs/>
          <w:sz w:val="32"/>
          <w:szCs w:val="24"/>
          <w:shd w:val="clear" w:fill="FFFFFF"/>
          <w:lang w:val="en-US"/>
        </w:rPr>
        <w:t>“</w:t>
      </w:r>
      <w:r>
        <w:rPr>
          <w:rStyle w:val="54"/>
          <w:rFonts w:hint="eastAsia" w:ascii="方正楷体_GBK" w:hAnsi="方正楷体_GBK" w:eastAsia="方正楷体_GBK" w:cs="方正楷体_GBK"/>
          <w:b w:val="0"/>
          <w:bCs/>
          <w:sz w:val="32"/>
          <w:szCs w:val="24"/>
          <w:shd w:val="clear" w:fill="FFFFFF"/>
          <w:lang w:eastAsia="zh-CN"/>
        </w:rPr>
        <w:t>三公</w:t>
      </w:r>
      <w:r>
        <w:rPr>
          <w:rStyle w:val="54"/>
          <w:rFonts w:ascii="方正楷体_GBK" w:eastAsia="方正楷体_GBK"/>
          <w:b w:val="0"/>
          <w:bCs/>
          <w:sz w:val="32"/>
          <w:szCs w:val="24"/>
          <w:shd w:val="clear" w:fill="FFFFFF"/>
          <w:lang w:val="en-US"/>
        </w:rPr>
        <w:t>”</w:t>
      </w:r>
      <w:r>
        <w:rPr>
          <w:rStyle w:val="54"/>
          <w:rFonts w:hint="eastAsia" w:ascii="方正楷体_GBK" w:hAnsi="方正楷体_GBK" w:eastAsia="方正楷体_GBK" w:cs="方正楷体_GBK"/>
          <w:b w:val="0"/>
          <w:bCs/>
          <w:sz w:val="32"/>
          <w:szCs w:val="24"/>
          <w:shd w:val="clear" w:fill="FFFFFF"/>
          <w:lang w:eastAsia="zh-CN"/>
        </w:rPr>
        <w:t>经费实物量情况。</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年度本部门因公出国（境）共计</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个团组，</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人；公务用车购置</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辆，公务车保有量为</w:t>
      </w:r>
      <w:r>
        <w:rPr>
          <w:rFonts w:hint="default" w:ascii="Times New Roman" w:hAnsi="Times New Roman" w:eastAsia="方正仿宋_GBK" w:cs="宋体"/>
          <w:sz w:val="32"/>
          <w:szCs w:val="24"/>
          <w:shd w:val="clear" w:fill="FFFFFF"/>
          <w:lang w:val="en-US"/>
        </w:rPr>
        <w:t>5</w:t>
      </w:r>
      <w:r>
        <w:rPr>
          <w:rFonts w:hint="eastAsia" w:ascii="Times New Roman" w:hAnsi="Times New Roman" w:eastAsia="方正仿宋_GBK" w:cs="方正仿宋_GBK"/>
          <w:sz w:val="32"/>
          <w:szCs w:val="24"/>
          <w:shd w:val="clear" w:fill="FFFFFF"/>
          <w:lang w:eastAsia="zh-CN"/>
        </w:rPr>
        <w:t>辆；国内公务接待</w:t>
      </w:r>
      <w:r>
        <w:rPr>
          <w:rFonts w:hint="default" w:ascii="Times New Roman" w:hAnsi="Times New Roman" w:eastAsia="方正仿宋_GBK" w:cs="宋体"/>
          <w:sz w:val="32"/>
          <w:szCs w:val="24"/>
          <w:shd w:val="clear" w:fill="FFFFFF"/>
          <w:lang w:val="en-US"/>
        </w:rPr>
        <w:t>285</w:t>
      </w:r>
      <w:r>
        <w:rPr>
          <w:rFonts w:hint="eastAsia" w:ascii="Times New Roman" w:hAnsi="Times New Roman" w:eastAsia="方正仿宋_GBK" w:cs="方正仿宋_GBK"/>
          <w:sz w:val="32"/>
          <w:szCs w:val="24"/>
          <w:shd w:val="clear" w:fill="FFFFFF"/>
          <w:lang w:eastAsia="zh-CN"/>
        </w:rPr>
        <w:t>批次</w:t>
      </w:r>
      <w:r>
        <w:rPr>
          <w:rFonts w:hint="default" w:ascii="Times New Roman" w:hAnsi="Times New Roman" w:eastAsia="方正仿宋_GBK" w:cs="宋体"/>
          <w:sz w:val="32"/>
          <w:szCs w:val="24"/>
          <w:shd w:val="clear" w:fill="FFFFFF"/>
          <w:lang w:val="en-US"/>
        </w:rPr>
        <w:t>2,845</w:t>
      </w:r>
      <w:r>
        <w:rPr>
          <w:rFonts w:hint="eastAsia" w:ascii="Times New Roman" w:hAnsi="Times New Roman" w:eastAsia="方正仿宋_GBK" w:cs="方正仿宋_GBK"/>
          <w:sz w:val="32"/>
          <w:szCs w:val="24"/>
          <w:shd w:val="clear" w:fill="FFFFFF"/>
          <w:lang w:eastAsia="zh-CN"/>
        </w:rPr>
        <w:t>人，其中：国内外事接待</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批次，</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人；国（境）外公务接待</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批次，</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人。</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年本部门人均接待费</w:t>
      </w:r>
      <w:r>
        <w:rPr>
          <w:rFonts w:hint="default" w:ascii="Times New Roman" w:hAnsi="Times New Roman" w:eastAsia="方正仿宋_GBK" w:cs="宋体"/>
          <w:sz w:val="32"/>
          <w:szCs w:val="24"/>
          <w:shd w:val="clear" w:fill="FFFFFF"/>
          <w:lang w:val="en-US"/>
        </w:rPr>
        <w:t>69.02</w:t>
      </w:r>
      <w:r>
        <w:rPr>
          <w:rFonts w:hint="eastAsia" w:ascii="Times New Roman" w:hAnsi="Times New Roman" w:eastAsia="方正仿宋_GBK" w:cs="方正仿宋_GBK"/>
          <w:sz w:val="32"/>
          <w:szCs w:val="24"/>
          <w:shd w:val="clear" w:fill="FFFFFF"/>
          <w:lang w:eastAsia="zh-CN"/>
        </w:rPr>
        <w:t>元，车均购置费</w:t>
      </w:r>
      <w:r>
        <w:rPr>
          <w:rFonts w:hint="default" w:ascii="Times New Roman" w:hAnsi="Times New Roman" w:eastAsia="方正仿宋_GBK" w:cs="宋体"/>
          <w:sz w:val="32"/>
          <w:szCs w:val="24"/>
          <w:shd w:val="clear" w:fill="FFFFFF"/>
          <w:lang w:val="en-US"/>
        </w:rPr>
        <w:t>0.00</w:t>
      </w:r>
      <w:r>
        <w:rPr>
          <w:rFonts w:hint="eastAsia" w:ascii="Times New Roman" w:hAnsi="Times New Roman" w:eastAsia="方正仿宋_GBK" w:cs="方正仿宋_GBK"/>
          <w:sz w:val="32"/>
          <w:szCs w:val="24"/>
          <w:shd w:val="clear" w:fill="FFFFFF"/>
          <w:lang w:eastAsia="zh-CN"/>
        </w:rPr>
        <w:t>万元，车均维护费</w:t>
      </w:r>
      <w:r>
        <w:rPr>
          <w:rFonts w:hint="default" w:ascii="Times New Roman" w:hAnsi="Times New Roman" w:eastAsia="方正仿宋_GBK" w:cs="宋体"/>
          <w:sz w:val="32"/>
          <w:szCs w:val="24"/>
          <w:shd w:val="clear" w:fill="FFFFFF"/>
          <w:lang w:val="en-US"/>
        </w:rPr>
        <w:t>2.42</w:t>
      </w:r>
      <w:r>
        <w:rPr>
          <w:rFonts w:hint="eastAsia" w:ascii="Times New Roman" w:hAnsi="Times New Roman" w:eastAsia="方正仿宋_GBK" w:cs="方正仿宋_GBK"/>
          <w:sz w:val="32"/>
          <w:szCs w:val="24"/>
          <w:shd w:val="clear" w:fill="FFFFFF"/>
          <w:lang w:eastAsia="zh-CN"/>
        </w:rPr>
        <w:t>万元。</w:t>
      </w:r>
    </w:p>
    <w:p>
      <w:pPr>
        <w:pStyle w:val="41"/>
        <w:adjustRightInd w:val="0"/>
        <w:snapToGrid w:val="0"/>
        <w:spacing w:before="0" w:beforeAutospacing="0" w:after="0" w:afterAutospacing="0"/>
        <w:ind w:left="0" w:right="0" w:firstLine="640" w:firstLineChars="200"/>
        <w:rPr>
          <w:rFonts w:hint="eastAsia" w:ascii="方正黑体_GBK" w:hAnsi="方正黑体_GBK" w:eastAsia="方正黑体_GBK" w:cs="方正黑体_GBK"/>
          <w:szCs w:val="32"/>
          <w:shd w:val="clear" w:fill="FFFFFF"/>
          <w:lang w:val="en-US"/>
        </w:rPr>
      </w:pPr>
      <w:r>
        <w:rPr>
          <w:rStyle w:val="54"/>
          <w:rFonts w:hint="eastAsia" w:ascii="方正黑体_GBK" w:hAnsi="方正黑体_GBK" w:eastAsia="方正黑体_GBK" w:cs="方正黑体_GBK"/>
          <w:b w:val="0"/>
          <w:bCs/>
          <w:sz w:val="32"/>
          <w:szCs w:val="32"/>
          <w:shd w:val="clear" w:fill="FFFFFF"/>
          <w:lang w:eastAsia="zh-CN"/>
        </w:rPr>
        <w:t>四、其他需要说明的事项</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（一）财政拨款会议费和培训费情况说明。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本年度会议费支出</w:t>
      </w:r>
      <w:r>
        <w:rPr>
          <w:rFonts w:hint="default" w:ascii="Times New Roman" w:hAnsi="Times New Roman" w:eastAsia="方正仿宋_GBK" w:cs="宋体"/>
          <w:sz w:val="32"/>
          <w:szCs w:val="24"/>
          <w:shd w:val="clear" w:fill="FFFFFF"/>
          <w:lang w:val="en-US"/>
        </w:rPr>
        <w:t>0.29</w:t>
      </w:r>
      <w:r>
        <w:rPr>
          <w:rFonts w:hint="eastAsia" w:ascii="Times New Roman" w:hAnsi="Times New Roman" w:eastAsia="方正仿宋_GBK" w:cs="方正仿宋_GBK"/>
          <w:sz w:val="32"/>
          <w:szCs w:val="24"/>
          <w:shd w:val="clear" w:fill="FFFFFF"/>
          <w:lang w:eastAsia="zh-CN"/>
        </w:rPr>
        <w:t>万元，较上年决算数减少</w:t>
      </w:r>
      <w:r>
        <w:rPr>
          <w:rFonts w:hint="default" w:ascii="Times New Roman" w:hAnsi="Times New Roman" w:eastAsia="方正仿宋_GBK" w:cs="宋体"/>
          <w:sz w:val="32"/>
          <w:szCs w:val="24"/>
          <w:shd w:val="clear" w:fill="FFFFFF"/>
          <w:lang w:val="en-US"/>
        </w:rPr>
        <w:t>0.78</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72.9%</w:t>
      </w:r>
      <w:r>
        <w:rPr>
          <w:rFonts w:hint="eastAsia" w:ascii="Times New Roman" w:hAnsi="Times New Roman" w:eastAsia="方正仿宋_GBK" w:cs="方正仿宋_GBK"/>
          <w:sz w:val="32"/>
          <w:szCs w:val="24"/>
          <w:shd w:val="clear" w:fill="FFFFFF"/>
          <w:lang w:eastAsia="zh-CN"/>
        </w:rPr>
        <w:t>，主要原因是本年会议比去年少。本年度培训费支出</w:t>
      </w:r>
      <w:r>
        <w:rPr>
          <w:rFonts w:hint="default" w:ascii="Times New Roman" w:hAnsi="Times New Roman" w:eastAsia="方正仿宋_GBK" w:cs="宋体"/>
          <w:sz w:val="32"/>
          <w:szCs w:val="24"/>
          <w:shd w:val="clear" w:fill="FFFFFF"/>
          <w:lang w:val="en-US"/>
        </w:rPr>
        <w:t>3.25</w:t>
      </w:r>
      <w:r>
        <w:rPr>
          <w:rFonts w:hint="eastAsia" w:ascii="Times New Roman" w:hAnsi="Times New Roman" w:eastAsia="方正仿宋_GBK" w:cs="方正仿宋_GBK"/>
          <w:sz w:val="32"/>
          <w:szCs w:val="24"/>
          <w:shd w:val="clear" w:fill="FFFFFF"/>
          <w:lang w:eastAsia="zh-CN"/>
        </w:rPr>
        <w:t>万元，较上年决算数减少</w:t>
      </w:r>
      <w:r>
        <w:rPr>
          <w:rFonts w:hint="default" w:ascii="Times New Roman" w:hAnsi="Times New Roman" w:eastAsia="方正仿宋_GBK" w:cs="宋体"/>
          <w:sz w:val="32"/>
          <w:szCs w:val="24"/>
          <w:shd w:val="clear" w:fill="FFFFFF"/>
          <w:lang w:val="en-US"/>
        </w:rPr>
        <w:t>4.12</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55.9%</w:t>
      </w:r>
      <w:r>
        <w:rPr>
          <w:rFonts w:hint="eastAsia" w:ascii="Times New Roman" w:hAnsi="Times New Roman" w:eastAsia="方正仿宋_GBK" w:cs="方正仿宋_GBK"/>
          <w:sz w:val="32"/>
          <w:szCs w:val="24"/>
          <w:shd w:val="clear" w:fill="FFFFFF"/>
          <w:lang w:eastAsia="zh-CN"/>
        </w:rPr>
        <w:t>，主要原因是本年培训比去年少。</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（二）机关运行经费支出情况说明。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年度本部门机关运行经费支出</w:t>
      </w:r>
      <w:r>
        <w:rPr>
          <w:rFonts w:hint="default" w:ascii="Times New Roman" w:hAnsi="Times New Roman" w:eastAsia="方正仿宋_GBK" w:cs="宋体"/>
          <w:sz w:val="32"/>
          <w:szCs w:val="24"/>
          <w:shd w:val="clear" w:fill="FFFFFF"/>
          <w:lang w:val="en-US"/>
        </w:rPr>
        <w:t>217.52</w:t>
      </w:r>
      <w:r>
        <w:rPr>
          <w:rFonts w:hint="eastAsia" w:ascii="Times New Roman" w:hAnsi="Times New Roman" w:eastAsia="方正仿宋_GBK" w:cs="方正仿宋_GBK"/>
          <w:sz w:val="32"/>
          <w:szCs w:val="24"/>
          <w:shd w:val="clear" w:fill="FFFFFF"/>
          <w:lang w:eastAsia="zh-CN"/>
        </w:rPr>
        <w:t>万元，主要用于开支办公费、电费、邮电费差旅费、公务接待费、劳务费、公务用车运行维护费及其他交通费用等。机关运行经费较上年决算数减少</w:t>
      </w:r>
      <w:r>
        <w:rPr>
          <w:rFonts w:hint="default" w:ascii="Times New Roman" w:hAnsi="Times New Roman" w:eastAsia="方正仿宋_GBK" w:cs="宋体"/>
          <w:sz w:val="32"/>
          <w:szCs w:val="24"/>
          <w:shd w:val="clear" w:fill="FFFFFF"/>
          <w:lang w:val="en-US"/>
        </w:rPr>
        <w:t>143.77</w:t>
      </w:r>
      <w:r>
        <w:rPr>
          <w:rFonts w:hint="eastAsia" w:ascii="Times New Roman" w:hAnsi="Times New Roman" w:eastAsia="方正仿宋_GBK" w:cs="方正仿宋_GBK"/>
          <w:sz w:val="32"/>
          <w:szCs w:val="24"/>
          <w:shd w:val="clear" w:fill="FFFFFF"/>
          <w:lang w:eastAsia="zh-CN"/>
        </w:rPr>
        <w:t>万元，下降</w:t>
      </w:r>
      <w:r>
        <w:rPr>
          <w:rFonts w:hint="default" w:ascii="Times New Roman" w:hAnsi="Times New Roman" w:eastAsia="方正仿宋_GBK" w:cs="宋体"/>
          <w:sz w:val="32"/>
          <w:szCs w:val="24"/>
          <w:shd w:val="clear" w:fill="FFFFFF"/>
          <w:lang w:val="en-US"/>
        </w:rPr>
        <w:t>39.8%</w:t>
      </w:r>
      <w:r>
        <w:rPr>
          <w:rFonts w:hint="eastAsia" w:ascii="Times New Roman" w:hAnsi="Times New Roman" w:eastAsia="方正仿宋_GBK" w:cs="方正仿宋_GBK"/>
          <w:sz w:val="32"/>
          <w:szCs w:val="24"/>
          <w:shd w:val="clear" w:fill="FFFFFF"/>
          <w:lang w:eastAsia="zh-CN"/>
        </w:rPr>
        <w:t>，主要原因是今年厉行节约、压减开支。</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（三）国有资产占用情况说明。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截至</w:t>
      </w: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w:t>
      </w:r>
      <w:r>
        <w:rPr>
          <w:rFonts w:hint="default" w:ascii="Times New Roman" w:hAnsi="Times New Roman" w:eastAsia="方正仿宋_GBK" w:cs="宋体"/>
          <w:sz w:val="32"/>
          <w:szCs w:val="24"/>
          <w:shd w:val="clear" w:fill="FFFFFF"/>
          <w:lang w:val="en-US"/>
        </w:rPr>
        <w:t>12</w:t>
      </w:r>
      <w:r>
        <w:rPr>
          <w:rFonts w:hint="eastAsia" w:ascii="Times New Roman" w:hAnsi="Times New Roman" w:eastAsia="方正仿宋_GBK" w:cs="方正仿宋_GBK"/>
          <w:sz w:val="32"/>
          <w:szCs w:val="24"/>
          <w:shd w:val="clear" w:fill="FFFFFF"/>
          <w:lang w:eastAsia="zh-CN"/>
        </w:rPr>
        <w:t>月</w:t>
      </w:r>
      <w:r>
        <w:rPr>
          <w:rFonts w:hint="default" w:ascii="Times New Roman" w:hAnsi="Times New Roman" w:eastAsia="方正仿宋_GBK" w:cs="宋体"/>
          <w:sz w:val="32"/>
          <w:szCs w:val="24"/>
          <w:shd w:val="clear" w:fill="FFFFFF"/>
          <w:lang w:val="en-US"/>
        </w:rPr>
        <w:t>31</w:t>
      </w:r>
      <w:r>
        <w:rPr>
          <w:rFonts w:hint="eastAsia" w:ascii="Times New Roman" w:hAnsi="Times New Roman" w:eastAsia="方正仿宋_GBK" w:cs="方正仿宋_GBK"/>
          <w:sz w:val="32"/>
          <w:szCs w:val="24"/>
          <w:shd w:val="clear" w:fill="FFFFFF"/>
          <w:lang w:eastAsia="zh-CN"/>
        </w:rPr>
        <w:t>日，本部门共有车辆</w:t>
      </w:r>
      <w:r>
        <w:rPr>
          <w:rFonts w:hint="default" w:ascii="Times New Roman" w:hAnsi="Times New Roman" w:eastAsia="方正仿宋_GBK" w:cs="宋体"/>
          <w:sz w:val="32"/>
          <w:szCs w:val="24"/>
          <w:shd w:val="clear" w:fill="FFFFFF"/>
          <w:lang w:val="en-US"/>
        </w:rPr>
        <w:t>5</w:t>
      </w:r>
      <w:r>
        <w:rPr>
          <w:rFonts w:hint="eastAsia" w:ascii="Times New Roman" w:hAnsi="Times New Roman" w:eastAsia="方正仿宋_GBK" w:cs="方正仿宋_GBK"/>
          <w:sz w:val="32"/>
          <w:szCs w:val="24"/>
          <w:shd w:val="clear" w:fill="FFFFFF"/>
          <w:lang w:eastAsia="zh-CN"/>
        </w:rPr>
        <w:t>辆，其中，副部（省）级及以上领导用车</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辆、主要领导干部用车</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辆、机要通信用车</w:t>
      </w:r>
      <w:r>
        <w:rPr>
          <w:rFonts w:hint="default" w:ascii="Times New Roman" w:hAnsi="Times New Roman" w:eastAsia="方正仿宋_GBK" w:cs="宋体"/>
          <w:sz w:val="32"/>
          <w:szCs w:val="24"/>
          <w:shd w:val="clear" w:fill="FFFFFF"/>
          <w:lang w:val="en-US"/>
        </w:rPr>
        <w:t>2</w:t>
      </w:r>
      <w:r>
        <w:rPr>
          <w:rFonts w:hint="eastAsia" w:ascii="Times New Roman" w:hAnsi="Times New Roman" w:eastAsia="方正仿宋_GBK" w:cs="方正仿宋_GBK"/>
          <w:sz w:val="32"/>
          <w:szCs w:val="24"/>
          <w:shd w:val="clear" w:fill="FFFFFF"/>
          <w:lang w:eastAsia="zh-CN"/>
        </w:rPr>
        <w:t>辆、应急保障用车</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辆、执法执勤用车</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辆，特种专业技术用车</w:t>
      </w:r>
      <w:r>
        <w:rPr>
          <w:rFonts w:hint="default" w:ascii="Times New Roman" w:hAnsi="Times New Roman" w:eastAsia="方正仿宋_GBK" w:cs="宋体"/>
          <w:sz w:val="32"/>
          <w:szCs w:val="24"/>
          <w:shd w:val="clear" w:fill="FFFFFF"/>
          <w:lang w:val="en-US"/>
        </w:rPr>
        <w:t>3</w:t>
      </w:r>
      <w:r>
        <w:rPr>
          <w:rFonts w:hint="eastAsia" w:ascii="Times New Roman" w:hAnsi="Times New Roman" w:eastAsia="方正仿宋_GBK" w:cs="方正仿宋_GBK"/>
          <w:sz w:val="32"/>
          <w:szCs w:val="24"/>
          <w:shd w:val="clear" w:fill="FFFFFF"/>
          <w:lang w:eastAsia="zh-CN"/>
        </w:rPr>
        <w:t>辆，离退休干部用车</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辆，其他用车</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辆，单价</w:t>
      </w:r>
      <w:r>
        <w:rPr>
          <w:rFonts w:hint="eastAsia" w:ascii="Times New Roman" w:hAnsi="Times New Roman" w:eastAsia="方正仿宋_GBK" w:cs="宋体"/>
          <w:sz w:val="32"/>
          <w:szCs w:val="24"/>
          <w:shd w:val="clear" w:fill="FFFFFF"/>
          <w:lang w:val="en-US" w:eastAsia="zh-CN"/>
        </w:rPr>
        <w:t>100</w:t>
      </w:r>
      <w:r>
        <w:rPr>
          <w:rFonts w:hint="eastAsia" w:ascii="Times New Roman" w:hAnsi="Times New Roman" w:eastAsia="方正仿宋_GBK" w:cs="方正仿宋_GBK"/>
          <w:sz w:val="32"/>
          <w:szCs w:val="24"/>
          <w:shd w:val="clear" w:fill="FFFFFF"/>
          <w:lang w:eastAsia="zh-CN"/>
        </w:rPr>
        <w:t>万元（含）以上设备（不含车辆）</w:t>
      </w:r>
      <w:r>
        <w:rPr>
          <w:rFonts w:hint="default" w:ascii="Times New Roman" w:hAnsi="Times New Roman" w:eastAsia="方正仿宋_GBK" w:cs="宋体"/>
          <w:sz w:val="32"/>
          <w:szCs w:val="24"/>
          <w:shd w:val="clear" w:fill="FFFFFF"/>
          <w:lang w:val="en-US"/>
        </w:rPr>
        <w:t>0</w:t>
      </w:r>
      <w:r>
        <w:rPr>
          <w:rFonts w:hint="eastAsia" w:ascii="Times New Roman" w:hAnsi="Times New Roman" w:eastAsia="方正仿宋_GBK" w:cs="方正仿宋_GBK"/>
          <w:sz w:val="32"/>
          <w:szCs w:val="24"/>
          <w:shd w:val="clear" w:fill="FFFFFF"/>
          <w:lang w:eastAsia="zh-CN"/>
        </w:rPr>
        <w:t>台（套）。</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（四）政府采购支出说明。</w:t>
      </w:r>
    </w:p>
    <w:p>
      <w:pPr>
        <w:pStyle w:val="41"/>
        <w:adjustRightInd w:val="0"/>
        <w:snapToGrid w:val="0"/>
        <w:spacing w:before="0" w:beforeAutospacing="0" w:after="0" w:afterAutospacing="0"/>
        <w:ind w:left="0" w:right="0" w:firstLine="640" w:firstLineChars="200"/>
        <w:rPr>
          <w:rFonts w:hint="default" w:ascii="Times New Roman" w:hAnsi="宋体" w:eastAsia="方正仿宋_GBK" w:cs="宋体"/>
          <w:sz w:val="32"/>
          <w:szCs w:val="24"/>
          <w:lang w:val="en-US"/>
        </w:rPr>
      </w:pPr>
      <w:r>
        <w:rPr>
          <w:rFonts w:hint="default" w:ascii="Times New Roman" w:hAnsi="Times New Roman" w:eastAsia="方正仿宋_GBK" w:cs="宋体"/>
          <w:sz w:val="32"/>
          <w:szCs w:val="24"/>
          <w:shd w:val="clear" w:fill="FFFFFF"/>
          <w:lang w:val="en-US"/>
        </w:rPr>
        <w:t>2022</w:t>
      </w:r>
      <w:r>
        <w:rPr>
          <w:rFonts w:hint="eastAsia" w:ascii="Times New Roman" w:hAnsi="Times New Roman" w:eastAsia="方正仿宋_GBK" w:cs="方正仿宋_GBK"/>
          <w:sz w:val="32"/>
          <w:szCs w:val="24"/>
          <w:shd w:val="clear" w:fill="FFFFFF"/>
          <w:lang w:eastAsia="zh-CN"/>
        </w:rPr>
        <w:t>年度我单位未发生政府采购事项，无相关经费支出。</w:t>
      </w:r>
    </w:p>
    <w:p>
      <w:pPr>
        <w:pStyle w:val="41"/>
        <w:adjustRightInd w:val="0"/>
        <w:snapToGrid w:val="0"/>
        <w:spacing w:before="0" w:beforeAutospacing="0" w:after="0" w:afterAutospacing="0"/>
        <w:ind w:left="0" w:right="0" w:firstLine="640" w:firstLineChars="200"/>
        <w:rPr>
          <w:rFonts w:hint="eastAsia" w:ascii="方正黑体_GBK" w:hAnsi="方正黑体_GBK" w:eastAsia="方正黑体_GBK" w:cs="方正黑体_GBK"/>
          <w:szCs w:val="32"/>
          <w:shd w:val="clear" w:fill="FFFFFF"/>
          <w:lang w:val="en-US"/>
        </w:rPr>
      </w:pPr>
      <w:r>
        <w:rPr>
          <w:rStyle w:val="54"/>
          <w:rFonts w:hint="eastAsia" w:ascii="方正黑体_GBK" w:hAnsi="方正黑体_GBK" w:eastAsia="方正黑体_GBK" w:cs="方正黑体_GBK"/>
          <w:b w:val="0"/>
          <w:bCs/>
          <w:sz w:val="32"/>
          <w:szCs w:val="32"/>
          <w:shd w:val="clear" w:fill="FFFFFF"/>
          <w:lang w:eastAsia="zh-CN"/>
        </w:rPr>
        <w:t>五、预算绩效管理情况说明</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（一）预算绩效管理工作开展情况</w:t>
      </w:r>
    </w:p>
    <w:p>
      <w:pPr>
        <w:adjustRightInd w:val="0"/>
        <w:snapToGrid w:val="0"/>
        <w:spacing w:after="0" w:afterAutospacing="0"/>
        <w:ind w:left="0" w:firstLine="640" w:firstLineChars="200"/>
        <w:rPr>
          <w:rFonts w:hint="default" w:ascii="Times New Roman" w:hAnsi="宋体" w:eastAsia="方正仿宋_GBK" w:cs="宋体"/>
          <w:color w:val="000000"/>
          <w:sz w:val="32"/>
          <w:szCs w:val="24"/>
          <w:lang w:val="en-US"/>
        </w:rPr>
      </w:pPr>
      <w:r>
        <w:rPr>
          <w:rFonts w:hint="eastAsia" w:ascii="Times New Roman" w:hAnsi="Times New Roman" w:eastAsia="方正仿宋_GBK" w:cs="方正仿宋_GBK"/>
          <w:color w:val="000000"/>
          <w:sz w:val="32"/>
          <w:szCs w:val="24"/>
          <w:lang w:eastAsia="zh-CN"/>
        </w:rPr>
        <w:t>我乡成立了由乡长任组长，分管领导为副组长，财政办及项目承办的站办所相关人员为成员的三建乡预算绩效评价工作组，全面负责三建乡</w:t>
      </w:r>
      <w:r>
        <w:rPr>
          <w:rFonts w:hint="default" w:ascii="Times New Roman" w:hAnsi="Times New Roman" w:eastAsia="方正仿宋_GBK" w:cs="宋体"/>
          <w:color w:val="000000"/>
          <w:sz w:val="32"/>
          <w:szCs w:val="24"/>
          <w:lang w:val="en-US"/>
        </w:rPr>
        <w:t>2022</w:t>
      </w:r>
      <w:r>
        <w:rPr>
          <w:rFonts w:hint="eastAsia" w:ascii="Times New Roman" w:hAnsi="Times New Roman" w:eastAsia="方正仿宋_GBK" w:cs="方正仿宋_GBK"/>
          <w:color w:val="000000"/>
          <w:sz w:val="32"/>
          <w:szCs w:val="24"/>
          <w:lang w:eastAsia="zh-CN"/>
        </w:rPr>
        <w:t>年预算绩效评价工作。同时，进一步明确目标任务，以县财政大平台应评项目为评价对象，通过梳理年度绩效目标指标、实地查证项目实施进度、财务查询资金拨付进度、走访群众了解效益发挥情况，逐个项目开展绩效评价工作。</w:t>
      </w:r>
    </w:p>
    <w:p>
      <w:pPr>
        <w:pStyle w:val="41"/>
        <w:adjustRightInd w:val="0"/>
        <w:snapToGrid w:val="0"/>
        <w:spacing w:before="0" w:beforeAutospacing="0" w:after="0" w:afterAutospacing="0"/>
        <w:ind w:left="0" w:right="0" w:firstLine="640" w:firstLineChars="200"/>
        <w:rPr>
          <w:rFonts w:hint="default" w:ascii="Times New Roman" w:hAnsi="Times New Roman" w:eastAsia="方正仿宋_GBK" w:cs="宋体"/>
          <w:sz w:val="32"/>
          <w:szCs w:val="24"/>
          <w:lang w:val="en-US"/>
        </w:rPr>
      </w:pPr>
      <w:r>
        <w:rPr>
          <w:rFonts w:hint="eastAsia" w:ascii="Times New Roman" w:hAnsi="Times New Roman" w:eastAsia="方正仿宋_GBK" w:cs="方正仿宋_GBK"/>
          <w:sz w:val="32"/>
          <w:szCs w:val="24"/>
          <w:shd w:val="clear" w:fill="FFFFFF"/>
          <w:lang w:eastAsia="zh-CN"/>
        </w:rPr>
        <w:t>根据预算绩效管理要求，我乡对部门整体和</w:t>
      </w:r>
      <w:r>
        <w:rPr>
          <w:rFonts w:hint="default" w:ascii="Times New Roman" w:hAnsi="Times New Roman" w:eastAsia="方正仿宋_GBK" w:cs="宋体"/>
          <w:sz w:val="32"/>
          <w:szCs w:val="24"/>
          <w:shd w:val="clear" w:fill="FFFFFF"/>
          <w:lang w:val="en-US"/>
        </w:rPr>
        <w:t>123</w:t>
      </w:r>
      <w:r>
        <w:rPr>
          <w:rFonts w:hint="eastAsia" w:ascii="Times New Roman" w:hAnsi="Times New Roman" w:eastAsia="方正仿宋_GBK" w:cs="方正仿宋_GBK"/>
          <w:sz w:val="32"/>
          <w:szCs w:val="24"/>
          <w:shd w:val="clear" w:fill="FFFFFF"/>
          <w:lang w:eastAsia="zh-CN"/>
        </w:rPr>
        <w:t>个项目开展了绩效自评，其中，以填报自评表形式开展自评</w:t>
      </w:r>
      <w:r>
        <w:rPr>
          <w:rFonts w:hint="default" w:ascii="Times New Roman" w:hAnsi="Times New Roman" w:eastAsia="方正仿宋_GBK" w:cs="宋体"/>
          <w:sz w:val="32"/>
          <w:szCs w:val="24"/>
          <w:shd w:val="clear" w:fill="FFFFFF"/>
          <w:lang w:val="en-US"/>
        </w:rPr>
        <w:t>123</w:t>
      </w:r>
      <w:r>
        <w:rPr>
          <w:rFonts w:hint="eastAsia" w:ascii="Times New Roman" w:hAnsi="Times New Roman" w:eastAsia="方正仿宋_GBK" w:cs="方正仿宋_GBK"/>
          <w:sz w:val="32"/>
          <w:szCs w:val="24"/>
          <w:shd w:val="clear" w:fill="FFFFFF"/>
          <w:lang w:eastAsia="zh-CN"/>
        </w:rPr>
        <w:t>项，涉及资金</w:t>
      </w:r>
      <w:r>
        <w:rPr>
          <w:rFonts w:hint="default" w:ascii="Times New Roman" w:hAnsi="Times New Roman" w:eastAsia="方正仿宋_GBK" w:cs="宋体"/>
          <w:sz w:val="32"/>
          <w:szCs w:val="24"/>
          <w:shd w:val="clear" w:fill="FFFFFF"/>
          <w:lang w:val="en-US"/>
        </w:rPr>
        <w:t>8322.80</w:t>
      </w:r>
      <w:r>
        <w:rPr>
          <w:rFonts w:hint="eastAsia" w:ascii="Times New Roman" w:hAnsi="Times New Roman" w:eastAsia="方正仿宋_GBK" w:cs="方正仿宋_GBK"/>
          <w:sz w:val="32"/>
          <w:szCs w:val="24"/>
          <w:shd w:val="clear" w:fill="FFFFFF"/>
          <w:lang w:eastAsia="zh-CN"/>
        </w:rPr>
        <w:t>万元。从评价情况来看，项目立项较为规范，绩效目标明确，预算编制合理，管理科学规范，资金到位及时，总体完成情况较好，有力保障了项目的圆满完成，项目基本达到了预期绩效目标。</w:t>
      </w:r>
    </w:p>
    <w:p>
      <w:pPr>
        <w:pStyle w:val="41"/>
        <w:adjustRightInd w:val="0"/>
        <w:snapToGrid w:val="0"/>
        <w:spacing w:before="0" w:beforeAutospacing="0" w:after="0" w:afterAutospacing="0"/>
        <w:ind w:left="0" w:right="0" w:firstLine="640" w:firstLineChars="200"/>
        <w:rPr>
          <w:rFonts w:hint="eastAsia" w:ascii="方正楷体_GBK" w:hAnsi="方正楷体_GBK" w:eastAsia="方正楷体_GBK" w:cs="方正楷体_GBK"/>
          <w:shd w:val="clear" w:fill="FFFFFF"/>
          <w:lang w:val="en-US"/>
        </w:rPr>
      </w:pPr>
      <w:r>
        <w:rPr>
          <w:rStyle w:val="54"/>
          <w:rFonts w:hint="eastAsia" w:ascii="方正楷体_GBK" w:hAnsi="方正楷体_GBK" w:eastAsia="方正楷体_GBK" w:cs="方正楷体_GBK"/>
          <w:b w:val="0"/>
          <w:bCs/>
          <w:sz w:val="32"/>
          <w:szCs w:val="24"/>
          <w:shd w:val="clear" w:fill="FFFFFF"/>
          <w:lang w:eastAsia="zh-CN"/>
        </w:rPr>
        <w:t>（二）绩效自评结果。</w:t>
      </w:r>
    </w:p>
    <w:p>
      <w:pPr>
        <w:pStyle w:val="41"/>
        <w:spacing w:before="0" w:beforeAutospacing="0"/>
        <w:ind w:left="0" w:firstLine="640" w:firstLineChars="200"/>
        <w:rPr>
          <w:rFonts w:hint="default" w:ascii="Times New Roman" w:hAnsi="宋体" w:eastAsia="方正仿宋_GBK" w:cs="宋体"/>
          <w:sz w:val="32"/>
          <w:szCs w:val="24"/>
          <w:lang w:val="en-US"/>
        </w:rPr>
      </w:pPr>
      <w:r>
        <w:rPr>
          <w:rStyle w:val="54"/>
          <w:rFonts w:eastAsia="方正仿宋_GBK"/>
          <w:b w:val="0"/>
          <w:bCs/>
          <w:sz w:val="32"/>
          <w:szCs w:val="24"/>
          <w:shd w:val="clear" w:fill="FFFFFF"/>
          <w:lang w:val="en-US"/>
        </w:rPr>
        <w:t>1.</w:t>
      </w:r>
      <w:r>
        <w:rPr>
          <w:rStyle w:val="54"/>
          <w:rFonts w:hint="eastAsia" w:ascii="Times New Roman" w:hAnsi="宋体" w:eastAsia="方正仿宋_GBK" w:cs="方正仿宋_GBK"/>
          <w:b w:val="0"/>
          <w:bCs/>
          <w:sz w:val="32"/>
          <w:szCs w:val="24"/>
          <w:shd w:val="clear" w:fill="FFFFFF"/>
          <w:lang w:eastAsia="zh-CN"/>
        </w:rPr>
        <w:t>绩效目标自评表。</w:t>
      </w:r>
    </w:p>
    <w:tbl>
      <w:tblPr>
        <w:tblStyle w:val="12"/>
        <w:tblW w:w="7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52"/>
        <w:gridCol w:w="112"/>
        <w:gridCol w:w="635"/>
        <w:gridCol w:w="613"/>
        <w:gridCol w:w="610"/>
        <w:gridCol w:w="751"/>
        <w:gridCol w:w="513"/>
        <w:gridCol w:w="848"/>
        <w:gridCol w:w="453"/>
        <w:gridCol w:w="340"/>
        <w:gridCol w:w="45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491"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000000"/>
                <w:lang w:val="en-US"/>
              </w:rPr>
            </w:pPr>
            <w:r>
              <w:rPr>
                <w:rFonts w:ascii="微软雅黑" w:hAnsi="微软雅黑" w:eastAsia="微软雅黑" w:cs="Times New Roman"/>
                <w:b/>
                <w:bCs/>
                <w:color w:val="000000"/>
                <w:lang w:val="en-US"/>
              </w:rPr>
              <w:t>2022</w:t>
            </w:r>
            <w:r>
              <w:rPr>
                <w:rFonts w:hint="eastAsia" w:ascii="微软雅黑" w:hAnsi="微软雅黑" w:eastAsia="微软雅黑" w:cs="Times New Roman"/>
                <w:b/>
                <w:bCs/>
                <w:color w:val="000000"/>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9"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r>
              <w:rPr>
                <w:rFonts w:cs="Times New Roman"/>
                <w:b/>
                <w:bCs/>
                <w:color w:val="000000"/>
              </w:rPr>
              <w:t>项目名称：</w:t>
            </w:r>
          </w:p>
        </w:tc>
        <w:tc>
          <w:tcPr>
            <w:tcW w:w="1125" w:type="dxa"/>
            <w:gridSpan w:val="3"/>
            <w:tcBorders>
              <w:top w:val="nil"/>
              <w:left w:val="nil"/>
              <w:bottom w:val="single" w:color="auto" w:sz="4" w:space="0"/>
              <w:right w:val="single" w:color="auto" w:sz="4" w:space="0"/>
            </w:tcBorders>
            <w:shd w:val="clear" w:color="auto" w:fill="auto"/>
            <w:noWrap/>
            <w:vAlign w:val="center"/>
          </w:tcPr>
          <w:p>
            <w:pPr>
              <w:spacing w:line="240" w:lineRule="exact"/>
              <w:rPr>
                <w:rFonts w:cs="Times New Roman"/>
                <w:color w:val="000000"/>
                <w:lang w:val="en-US"/>
              </w:rPr>
            </w:pPr>
            <w:r>
              <w:rPr>
                <w:rFonts w:cs="Times New Roman"/>
                <w:color w:val="000000"/>
              </w:rPr>
              <w:t>丰都县三建乡整体自评</w:t>
            </w:r>
          </w:p>
        </w:tc>
        <w:tc>
          <w:tcPr>
            <w:tcW w:w="766" w:type="dxa"/>
            <w:tcBorders>
              <w:top w:val="nil"/>
              <w:left w:val="nil"/>
              <w:bottom w:val="single" w:color="auto" w:sz="4" w:space="0"/>
              <w:right w:val="single" w:color="auto" w:sz="4" w:space="0"/>
            </w:tcBorders>
            <w:shd w:val="clear" w:color="auto" w:fill="auto"/>
            <w:noWrap/>
            <w:vAlign w:val="center"/>
          </w:tcPr>
          <w:p>
            <w:pPr>
              <w:spacing w:line="240" w:lineRule="exact"/>
              <w:jc w:val="left"/>
              <w:rPr>
                <w:rFonts w:cs="Times New Roman"/>
                <w:b/>
                <w:bCs/>
                <w:color w:val="000000"/>
                <w:lang w:val="en-US"/>
              </w:rPr>
            </w:pPr>
            <w:r>
              <w:rPr>
                <w:rFonts w:cs="Times New Roman"/>
                <w:b/>
                <w:bCs/>
                <w:color w:val="000000"/>
              </w:rPr>
              <w:t>项目编码：</w:t>
            </w:r>
          </w:p>
        </w:tc>
        <w:tc>
          <w:tcPr>
            <w:tcW w:w="1702" w:type="dxa"/>
            <w:gridSpan w:val="2"/>
            <w:tcBorders>
              <w:top w:val="nil"/>
              <w:left w:val="nil"/>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lang w:val="en-US"/>
              </w:rPr>
              <w:t xml:space="preserve"> 50023000022P000095</w:t>
            </w:r>
          </w:p>
        </w:tc>
        <w:tc>
          <w:tcPr>
            <w:tcW w:w="642" w:type="dxa"/>
            <w:tcBorders>
              <w:top w:val="nil"/>
              <w:left w:val="nil"/>
              <w:bottom w:val="single" w:color="auto" w:sz="4" w:space="0"/>
              <w:right w:val="single" w:color="auto" w:sz="4" w:space="0"/>
            </w:tcBorders>
            <w:shd w:val="clear" w:color="auto" w:fill="auto"/>
            <w:noWrap/>
            <w:vAlign w:val="center"/>
          </w:tcPr>
          <w:p>
            <w:pPr>
              <w:spacing w:line="240" w:lineRule="exact"/>
              <w:jc w:val="left"/>
              <w:rPr>
                <w:rFonts w:cs="Times New Roman"/>
                <w:b/>
                <w:bCs/>
                <w:color w:val="000000"/>
                <w:lang w:val="en-US"/>
              </w:rPr>
            </w:pPr>
            <w:r>
              <w:rPr>
                <w:rFonts w:cs="Times New Roman"/>
                <w:b/>
                <w:bCs/>
                <w:color w:val="000000"/>
              </w:rPr>
              <w:t>自评总分：</w:t>
            </w:r>
          </w:p>
        </w:tc>
        <w:tc>
          <w:tcPr>
            <w:tcW w:w="1626"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cs="Times New Roman"/>
                <w:color w:val="000000"/>
                <w:lang w:val="en-US"/>
              </w:rPr>
            </w:pPr>
            <w:r>
              <w:rPr>
                <w:rFonts w:cs="Times New Roman"/>
                <w:color w:val="000000"/>
                <w:lang w:val="en-US"/>
              </w:rPr>
              <w:t>97.3</w:t>
            </w:r>
          </w:p>
        </w:tc>
        <w:tc>
          <w:tcPr>
            <w:tcW w:w="425"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p>
        </w:tc>
        <w:tc>
          <w:tcPr>
            <w:tcW w:w="2084" w:type="dxa"/>
            <w:gridSpan w:val="2"/>
            <w:tcBorders>
              <w:top w:val="nil"/>
              <w:left w:val="nil"/>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5"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r>
              <w:rPr>
                <w:rFonts w:cs="Times New Roman"/>
                <w:b/>
                <w:bCs/>
                <w:color w:val="000000"/>
              </w:rPr>
              <w:t>项目主管部门：</w:t>
            </w:r>
          </w:p>
        </w:tc>
        <w:tc>
          <w:tcPr>
            <w:tcW w:w="1125"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left"/>
              <w:rPr>
                <w:rFonts w:cs="Times New Roman"/>
                <w:color w:val="000000"/>
                <w:lang w:val="en-US"/>
              </w:rPr>
            </w:pPr>
            <w:r>
              <w:rPr>
                <w:rFonts w:cs="Times New Roman"/>
                <w:color w:val="000000"/>
              </w:rPr>
              <w:t>丰都县三建乡</w:t>
            </w:r>
          </w:p>
        </w:tc>
        <w:tc>
          <w:tcPr>
            <w:tcW w:w="76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r>
              <w:rPr>
                <w:rFonts w:cs="Times New Roman"/>
                <w:b/>
                <w:bCs/>
                <w:color w:val="000000"/>
              </w:rPr>
              <w:t>财政归口处室：</w:t>
            </w:r>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cs="Times New Roman"/>
                <w:color w:val="000000"/>
                <w:lang w:val="en-US"/>
              </w:rPr>
            </w:pPr>
            <w:r>
              <w:rPr>
                <w:rFonts w:cs="Times New Roman"/>
                <w:color w:val="000000"/>
              </w:rPr>
              <w:t>基财科</w:t>
            </w:r>
          </w:p>
        </w:tc>
        <w:tc>
          <w:tcPr>
            <w:tcW w:w="642" w:type="dxa"/>
            <w:tcBorders>
              <w:top w:val="nil"/>
              <w:left w:val="nil"/>
              <w:bottom w:val="single" w:color="auto" w:sz="4" w:space="0"/>
              <w:right w:val="single" w:color="auto" w:sz="4" w:space="0"/>
            </w:tcBorders>
            <w:shd w:val="clear" w:color="auto" w:fill="auto"/>
            <w:noWrap/>
            <w:vAlign w:val="center"/>
          </w:tcPr>
          <w:p>
            <w:pPr>
              <w:spacing w:line="240" w:lineRule="exact"/>
              <w:ind w:right="483"/>
              <w:jc w:val="center"/>
              <w:rPr>
                <w:rFonts w:cs="Times New Roman"/>
                <w:b/>
                <w:bCs/>
                <w:color w:val="000000"/>
                <w:lang w:val="en-US"/>
              </w:rPr>
            </w:pPr>
            <w:r>
              <w:rPr>
                <w:rFonts w:cs="Times New Roman"/>
                <w:b/>
                <w:bCs/>
                <w:color w:val="000000"/>
              </w:rPr>
              <w:t>部门联系人：</w:t>
            </w:r>
          </w:p>
        </w:tc>
        <w:tc>
          <w:tcPr>
            <w:tcW w:w="162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cs="Times New Roman"/>
                <w:color w:val="000000"/>
                <w:lang w:val="en-US"/>
              </w:rPr>
            </w:pPr>
            <w:r>
              <w:rPr>
                <w:rFonts w:cs="Times New Roman"/>
                <w:color w:val="000000"/>
              </w:rPr>
              <w:t>何永平</w:t>
            </w:r>
          </w:p>
        </w:tc>
        <w:tc>
          <w:tcPr>
            <w:tcW w:w="425" w:type="dxa"/>
            <w:tcBorders>
              <w:top w:val="nil"/>
              <w:left w:val="nil"/>
              <w:bottom w:val="single" w:color="auto" w:sz="4" w:space="0"/>
              <w:right w:val="single" w:color="auto" w:sz="4" w:space="0"/>
            </w:tcBorders>
            <w:shd w:val="clear" w:color="auto" w:fill="auto"/>
            <w:noWrap/>
            <w:vAlign w:val="center"/>
          </w:tcPr>
          <w:p>
            <w:pPr>
              <w:spacing w:line="240" w:lineRule="exact"/>
              <w:ind w:right="181"/>
              <w:jc w:val="center"/>
              <w:rPr>
                <w:rFonts w:cs="Times New Roman"/>
                <w:b/>
                <w:bCs/>
                <w:color w:val="000000"/>
                <w:lang w:val="en-US"/>
              </w:rPr>
            </w:pPr>
            <w:r>
              <w:rPr>
                <w:rFonts w:cs="Times New Roman"/>
                <w:b/>
                <w:bCs/>
                <w:color w:val="000000"/>
              </w:rPr>
              <w:t>联系电话</w:t>
            </w:r>
          </w:p>
        </w:tc>
        <w:tc>
          <w:tcPr>
            <w:tcW w:w="2084"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lang w:val="en-US"/>
              </w:rPr>
              <w:t xml:space="preserve"> 15923727488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9491"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lang w:val="en-US"/>
              </w:rPr>
            </w:pPr>
            <w:r>
              <w:rPr>
                <w:rFonts w:hint="eastAsia" w:ascii="微软雅黑" w:hAnsi="微软雅黑" w:eastAsia="微软雅黑" w:cs="Times New Roman"/>
                <w:b/>
                <w:bCs/>
                <w:color w:val="808080"/>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0" w:hRule="atLeast"/>
          <w:jc w:val="center"/>
        </w:trPr>
        <w:tc>
          <w:tcPr>
            <w:tcW w:w="131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cs="Times New Roman"/>
                <w:color w:val="000000"/>
                <w:lang w:val="en-US"/>
              </w:rPr>
            </w:pPr>
            <w:r>
              <w:rPr>
                <w:rFonts w:cs="Times New Roman"/>
                <w:color w:val="000000"/>
              </w:rPr>
              <w:t>　</w:t>
            </w:r>
          </w:p>
        </w:tc>
        <w:tc>
          <w:tcPr>
            <w:tcW w:w="1702" w:type="dxa"/>
            <w:gridSpan w:val="3"/>
            <w:tcBorders>
              <w:top w:val="single" w:color="auto" w:sz="4" w:space="0"/>
              <w:left w:val="nil"/>
              <w:bottom w:val="single" w:color="auto" w:sz="4" w:space="0"/>
              <w:right w:val="single" w:color="000000" w:sz="4" w:space="0"/>
            </w:tcBorders>
            <w:shd w:val="clear" w:color="auto" w:fill="auto"/>
            <w:noWrap/>
            <w:vAlign w:val="center"/>
          </w:tcPr>
          <w:p>
            <w:pPr>
              <w:ind w:right="724"/>
              <w:jc w:val="center"/>
              <w:rPr>
                <w:rFonts w:cs="Times New Roman"/>
                <w:b/>
                <w:bCs/>
                <w:color w:val="000000"/>
                <w:lang w:val="en-US"/>
              </w:rPr>
            </w:pPr>
            <w:r>
              <w:rPr>
                <w:rFonts w:cs="Times New Roman"/>
                <w:b/>
                <w:bCs/>
                <w:color w:val="000000"/>
              </w:rPr>
              <w:t>年初预算数</w:t>
            </w:r>
          </w:p>
        </w:tc>
        <w:tc>
          <w:tcPr>
            <w:tcW w:w="1702"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cs="Times New Roman"/>
                <w:b/>
                <w:bCs/>
                <w:color w:val="000000"/>
                <w:lang w:val="en-US"/>
              </w:rPr>
            </w:pPr>
            <w:r>
              <w:rPr>
                <w:rFonts w:cs="Times New Roman"/>
                <w:b/>
                <w:bCs/>
                <w:color w:val="000000"/>
              </w:rPr>
              <w:t>全年（调整）</w:t>
            </w:r>
          </w:p>
          <w:p>
            <w:pPr>
              <w:jc w:val="center"/>
              <w:rPr>
                <w:rFonts w:cs="Times New Roman"/>
                <w:b/>
                <w:bCs/>
                <w:color w:val="000000"/>
                <w:lang w:val="en-US"/>
              </w:rPr>
            </w:pPr>
            <w:r>
              <w:rPr>
                <w:rFonts w:cs="Times New Roman"/>
                <w:b/>
                <w:bCs/>
                <w:color w:val="000000"/>
              </w:rPr>
              <w:t>预算数</w:t>
            </w:r>
          </w:p>
        </w:tc>
        <w:tc>
          <w:tcPr>
            <w:tcW w:w="1702" w:type="dxa"/>
            <w:gridSpan w:val="2"/>
            <w:tcBorders>
              <w:top w:val="single" w:color="auto" w:sz="4" w:space="0"/>
              <w:left w:val="nil"/>
              <w:bottom w:val="single" w:color="auto" w:sz="4" w:space="0"/>
              <w:right w:val="single" w:color="000000" w:sz="4" w:space="0"/>
            </w:tcBorders>
            <w:shd w:val="clear" w:color="auto" w:fill="auto"/>
            <w:noWrap/>
            <w:vAlign w:val="center"/>
          </w:tcPr>
          <w:p>
            <w:pPr>
              <w:ind w:right="161"/>
              <w:jc w:val="left"/>
              <w:rPr>
                <w:rFonts w:cs="Times New Roman"/>
                <w:b/>
                <w:bCs/>
                <w:color w:val="000000"/>
                <w:lang w:val="en-US"/>
              </w:rPr>
            </w:pPr>
            <w:r>
              <w:rPr>
                <w:rFonts w:cs="Times New Roman"/>
                <w:b/>
                <w:bCs/>
                <w:color w:val="000000"/>
              </w:rPr>
              <w:t>全年执行数</w:t>
            </w:r>
          </w:p>
        </w:tc>
        <w:tc>
          <w:tcPr>
            <w:tcW w:w="992" w:type="dxa"/>
            <w:gridSpan w:val="2"/>
            <w:tcBorders>
              <w:top w:val="single" w:color="auto" w:sz="4" w:space="0"/>
              <w:left w:val="nil"/>
              <w:bottom w:val="single" w:color="auto" w:sz="4" w:space="0"/>
              <w:right w:val="single" w:color="000000" w:sz="4" w:space="0"/>
            </w:tcBorders>
            <w:shd w:val="clear" w:color="auto" w:fill="auto"/>
            <w:noWrap/>
            <w:vAlign w:val="center"/>
          </w:tcPr>
          <w:p>
            <w:pPr>
              <w:ind w:right="322"/>
              <w:jc w:val="center"/>
              <w:rPr>
                <w:rFonts w:cs="Times New Roman"/>
                <w:b/>
                <w:bCs/>
                <w:color w:val="000000"/>
                <w:lang w:val="en-US"/>
              </w:rPr>
            </w:pPr>
            <w:r>
              <w:rPr>
                <w:rFonts w:cs="Times New Roman"/>
                <w:b/>
                <w:bCs/>
                <w:color w:val="000000"/>
              </w:rPr>
              <w:t>执行率</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执行率</w:t>
            </w:r>
          </w:p>
          <w:p>
            <w:pPr>
              <w:jc w:val="center"/>
              <w:rPr>
                <w:rFonts w:cs="Times New Roman"/>
                <w:b/>
                <w:bCs/>
                <w:color w:val="000000"/>
                <w:lang w:val="en-US"/>
              </w:rPr>
            </w:pPr>
            <w:r>
              <w:rPr>
                <w:rFonts w:cs="Times New Roman"/>
                <w:b/>
                <w:bCs/>
                <w:color w:val="000000"/>
              </w:rPr>
              <w:t>权重</w:t>
            </w:r>
          </w:p>
        </w:tc>
        <w:tc>
          <w:tcPr>
            <w:tcW w:w="1517"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执行率</w:t>
            </w:r>
          </w:p>
          <w:p>
            <w:pPr>
              <w:jc w:val="center"/>
              <w:rPr>
                <w:rFonts w:cs="Times New Roman"/>
                <w:b/>
                <w:bCs/>
                <w:color w:val="000000"/>
                <w:lang w:val="en-US"/>
              </w:rPr>
            </w:pPr>
            <w:r>
              <w:rPr>
                <w:rFonts w:cs="Times New Roman"/>
                <w:b/>
                <w:bCs/>
                <w:color w:val="00000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13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center"/>
              <w:rPr>
                <w:rFonts w:cs="Times New Roman"/>
                <w:color w:val="000000"/>
                <w:lang w:val="en-US"/>
              </w:rPr>
            </w:pPr>
            <w:r>
              <w:rPr>
                <w:rFonts w:cs="Times New Roman"/>
                <w:color w:val="000000"/>
              </w:rPr>
              <w:t>年度总金额</w:t>
            </w:r>
          </w:p>
        </w:tc>
        <w:tc>
          <w:tcPr>
            <w:tcW w:w="1702" w:type="dxa"/>
            <w:gridSpan w:val="3"/>
            <w:tcBorders>
              <w:top w:val="single" w:color="auto" w:sz="4" w:space="0"/>
              <w:left w:val="nil"/>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lang w:val="en-US"/>
              </w:rPr>
              <w:t>21003378.91</w:t>
            </w:r>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lang w:val="en-US"/>
              </w:rPr>
              <w:t>129985307.26</w:t>
            </w:r>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lang w:val="en-US"/>
              </w:rPr>
              <w:t>94468731.27</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left"/>
              <w:rPr>
                <w:rFonts w:cs="Times New Roman"/>
                <w:color w:val="000000"/>
                <w:lang w:val="en-US"/>
              </w:rPr>
            </w:pPr>
            <w:r>
              <w:rPr>
                <w:rFonts w:cs="Times New Roman"/>
                <w:color w:val="000000"/>
                <w:lang w:val="en-US"/>
              </w:rPr>
              <w:t>73</w:t>
            </w:r>
          </w:p>
        </w:tc>
        <w:tc>
          <w:tcPr>
            <w:tcW w:w="567" w:type="dxa"/>
            <w:tcBorders>
              <w:top w:val="nil"/>
              <w:left w:val="nil"/>
              <w:bottom w:val="single" w:color="auto" w:sz="4" w:space="0"/>
              <w:right w:val="single" w:color="auto" w:sz="4" w:space="0"/>
            </w:tcBorders>
            <w:shd w:val="clear" w:color="auto" w:fill="auto"/>
            <w:noWrap/>
            <w:vAlign w:val="center"/>
          </w:tcPr>
          <w:p>
            <w:pPr>
              <w:spacing w:line="240" w:lineRule="exact"/>
              <w:jc w:val="left"/>
              <w:rPr>
                <w:rFonts w:cs="Times New Roman"/>
                <w:lang w:val="en-US"/>
              </w:rPr>
            </w:pPr>
            <w:r>
              <w:rPr>
                <w:rFonts w:cs="Times New Roman"/>
                <w:lang w:val="en-US"/>
              </w:rPr>
              <w:t>10</w:t>
            </w:r>
          </w:p>
        </w:tc>
        <w:tc>
          <w:tcPr>
            <w:tcW w:w="1517" w:type="dxa"/>
            <w:tcBorders>
              <w:top w:val="nil"/>
              <w:left w:val="nil"/>
              <w:bottom w:val="single" w:color="auto" w:sz="4" w:space="0"/>
              <w:right w:val="single" w:color="auto" w:sz="4" w:space="0"/>
            </w:tcBorders>
            <w:shd w:val="clear" w:color="auto" w:fill="auto"/>
            <w:noWrap/>
            <w:vAlign w:val="center"/>
          </w:tcPr>
          <w:p>
            <w:pPr>
              <w:spacing w:line="240" w:lineRule="exact"/>
              <w:ind w:left="0" w:firstLine="240" w:firstLineChars="100"/>
              <w:jc w:val="left"/>
              <w:rPr>
                <w:rFonts w:cs="Times New Roman"/>
                <w:lang w:val="en-US"/>
              </w:rPr>
            </w:pPr>
            <w:r>
              <w:rPr>
                <w:rFonts w:cs="Times New Roman"/>
                <w:lang w:val="en-US"/>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3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center"/>
              <w:rPr>
                <w:rFonts w:cs="Times New Roman"/>
                <w:color w:val="000000"/>
                <w:lang w:val="en-US"/>
              </w:rPr>
            </w:pPr>
            <w:r>
              <w:rPr>
                <w:rFonts w:cs="Times New Roman"/>
                <w:color w:val="000000"/>
              </w:rPr>
              <w:t>其中：财政拨款</w:t>
            </w:r>
          </w:p>
        </w:tc>
        <w:tc>
          <w:tcPr>
            <w:tcW w:w="1702" w:type="dxa"/>
            <w:gridSpan w:val="3"/>
            <w:tcBorders>
              <w:top w:val="single" w:color="auto" w:sz="4" w:space="0"/>
              <w:left w:val="nil"/>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lang w:val="en-US"/>
              </w:rPr>
              <w:t>21003378.91</w:t>
            </w:r>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lang w:val="en-US"/>
              </w:rPr>
              <w:t>129985307.26</w:t>
            </w:r>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lang w:val="en-US"/>
              </w:rPr>
              <w:t>94468731.27</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left"/>
              <w:rPr>
                <w:rFonts w:cs="Times New Roman"/>
                <w:color w:val="000000"/>
                <w:lang w:val="en-US"/>
              </w:rPr>
            </w:pPr>
            <w:r>
              <w:rPr>
                <w:rFonts w:cs="Times New Roman"/>
                <w:color w:val="000000"/>
                <w:lang w:val="en-US"/>
              </w:rPr>
              <w:t>73</w:t>
            </w:r>
          </w:p>
        </w:tc>
        <w:tc>
          <w:tcPr>
            <w:tcW w:w="567" w:type="dxa"/>
            <w:tcBorders>
              <w:top w:val="nil"/>
              <w:left w:val="nil"/>
              <w:bottom w:val="single" w:color="auto" w:sz="4" w:space="0"/>
              <w:right w:val="single" w:color="auto" w:sz="4" w:space="0"/>
            </w:tcBorders>
            <w:shd w:val="clear" w:color="auto" w:fill="auto"/>
            <w:noWrap/>
            <w:vAlign w:val="center"/>
          </w:tcPr>
          <w:p>
            <w:pPr>
              <w:spacing w:line="240" w:lineRule="exact"/>
              <w:jc w:val="left"/>
              <w:rPr>
                <w:rFonts w:cs="Times New Roman"/>
                <w:lang w:val="en-US"/>
              </w:rPr>
            </w:pPr>
            <w:r>
              <w:rPr>
                <w:rFonts w:cs="Times New Roman"/>
                <w:lang w:val="en-US"/>
              </w:rPr>
              <w:t>10</w:t>
            </w:r>
          </w:p>
        </w:tc>
        <w:tc>
          <w:tcPr>
            <w:tcW w:w="1517" w:type="dxa"/>
            <w:tcBorders>
              <w:top w:val="nil"/>
              <w:left w:val="nil"/>
              <w:bottom w:val="single" w:color="auto" w:sz="4" w:space="0"/>
              <w:right w:val="single" w:color="auto" w:sz="4" w:space="0"/>
            </w:tcBorders>
            <w:shd w:val="clear" w:color="auto" w:fill="auto"/>
            <w:noWrap/>
            <w:vAlign w:val="center"/>
          </w:tcPr>
          <w:p>
            <w:pPr>
              <w:spacing w:line="240" w:lineRule="exact"/>
              <w:ind w:left="0" w:firstLine="240" w:firstLineChars="100"/>
              <w:jc w:val="left"/>
              <w:rPr>
                <w:rFonts w:cs="Times New Roman"/>
                <w:lang w:val="en-US"/>
              </w:rPr>
            </w:pPr>
            <w:r>
              <w:rPr>
                <w:rFonts w:cs="Times New Roman"/>
                <w:lang w:val="en-US"/>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9491"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lang w:val="en-US"/>
              </w:rPr>
            </w:pPr>
            <w:r>
              <w:rPr>
                <w:rFonts w:hint="eastAsia" w:ascii="微软雅黑" w:hAnsi="微软雅黑" w:eastAsia="微软雅黑" w:cs="Times New Roman"/>
                <w:b/>
                <w:bCs/>
                <w:color w:val="808080"/>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30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年初绩效目标</w:t>
            </w:r>
          </w:p>
        </w:tc>
        <w:tc>
          <w:tcPr>
            <w:tcW w:w="3404"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全年（调整）绩效目标</w:t>
            </w:r>
          </w:p>
        </w:tc>
        <w:tc>
          <w:tcPr>
            <w:tcW w:w="307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4" w:hRule="atLeast"/>
          <w:jc w:val="center"/>
        </w:trPr>
        <w:tc>
          <w:tcPr>
            <w:tcW w:w="301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rPr>
                <w:rFonts w:cs="Times New Roman"/>
                <w:color w:val="000000"/>
                <w:lang w:val="en-US"/>
              </w:rPr>
            </w:pPr>
            <w:r>
              <w:rPr>
                <w:rFonts w:cs="Times New Roman"/>
                <w:color w:val="000000"/>
              </w:rPr>
              <w:t>　</w:t>
            </w:r>
          </w:p>
          <w:tbl>
            <w:tblPr>
              <w:tblStyle w:val="12"/>
              <w:tblW w:w="230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textAlignment w:val="top"/>
                    <w:rPr>
                      <w:rFonts w:cs="Times New Roman"/>
                      <w:color w:val="000000"/>
                      <w:lang w:val="en-US"/>
                    </w:rPr>
                  </w:pPr>
                  <w:r>
                    <w:rPr>
                      <w:rFonts w:cs="Times New Roman"/>
                      <w:color w:val="000000"/>
                    </w:rPr>
                    <w:t>负责辖区内退役军人保障服务工作，做好关系转接、信息采集、情况反映、慰问帮扶等工作</w:t>
                  </w:r>
                  <w:r>
                    <w:rPr>
                      <w:rFonts w:hint="eastAsia" w:cs="Times New Roman"/>
                      <w:color w:val="000000"/>
                      <w:lang w:eastAsia="zh-CN"/>
                    </w:rPr>
                    <w:t>；</w:t>
                  </w:r>
                  <w:r>
                    <w:rPr>
                      <w:rFonts w:cs="Times New Roman"/>
                      <w:color w:val="000000"/>
                    </w:rPr>
                    <w:t>主要承担农技、农机、林业、水利水保、水产、畜牧兽医等方面的技术推广、信息、资源环境保护、灾害防治、水利工程等服务工作</w:t>
                  </w:r>
                  <w:r>
                    <w:rPr>
                      <w:rFonts w:hint="eastAsia" w:cs="Times New Roman"/>
                      <w:color w:val="000000"/>
                      <w:lang w:eastAsia="zh-CN"/>
                    </w:rPr>
                    <w:t>；</w:t>
                  </w:r>
                  <w:r>
                    <w:rPr>
                      <w:rFonts w:cs="Times New Roman"/>
                      <w:color w:val="000000"/>
                    </w:rPr>
                    <w:t>主要承担文化、宣传、广播电视、体育、乡村旅游、科技培训等方面服务工作</w:t>
                  </w:r>
                  <w:r>
                    <w:rPr>
                      <w:rFonts w:hint="eastAsia" w:cs="Times New Roman"/>
                      <w:color w:val="000000"/>
                      <w:lang w:eastAsia="zh-CN"/>
                    </w:rPr>
                    <w:t>；</w:t>
                  </w:r>
                  <w:r>
                    <w:rPr>
                      <w:rFonts w:cs="Times New Roman"/>
                      <w:color w:val="000000"/>
                    </w:rPr>
                    <w:t>全面完成县委</w:t>
                  </w:r>
                  <w:r>
                    <w:rPr>
                      <w:rFonts w:hint="eastAsia" w:cs="Times New Roman"/>
                      <w:color w:val="000000"/>
                      <w:lang w:val="en-US" w:eastAsia="zh-CN"/>
                    </w:rPr>
                    <w:t>县</w:t>
                  </w:r>
                  <w:r>
                    <w:rPr>
                      <w:rFonts w:cs="Times New Roman"/>
                      <w:color w:val="000000"/>
                    </w:rPr>
                    <w:t>政府下达的各项经济社会事业发展目标</w:t>
                  </w:r>
                  <w:r>
                    <w:rPr>
                      <w:rFonts w:hint="eastAsia" w:cs="Times New Roman"/>
                      <w:color w:val="000000"/>
                      <w:lang w:eastAsia="zh-CN"/>
                    </w:rPr>
                    <w:t>；</w:t>
                  </w:r>
                  <w:r>
                    <w:rPr>
                      <w:rFonts w:cs="Times New Roman"/>
                      <w:color w:val="000000"/>
                    </w:rPr>
                    <w:t>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r>
                    <w:rPr>
                      <w:rFonts w:hint="eastAsia" w:cs="Times New Roman"/>
                      <w:color w:val="000000"/>
                      <w:lang w:eastAsia="zh-CN"/>
                    </w:rPr>
                    <w:t>；</w:t>
                  </w:r>
                  <w:r>
                    <w:rPr>
                      <w:rFonts w:cs="Times New Roman"/>
                      <w:color w:val="000000"/>
                    </w:rPr>
                    <w:t>根据授权或委托，承担辖区范围内集中行使农林水利、规划建设、市政管理、环境保护、卫生计生、文化旅游、民政管理等领域的行政处罚权</w:t>
                  </w:r>
                  <w:r>
                    <w:rPr>
                      <w:rFonts w:hint="eastAsia" w:cs="Times New Roman"/>
                      <w:color w:val="000000"/>
                      <w:lang w:eastAsia="zh-CN"/>
                    </w:rPr>
                    <w:t>；</w:t>
                  </w:r>
                </w:p>
              </w:tc>
            </w:tr>
          </w:tbl>
          <w:p>
            <w:pPr>
              <w:spacing w:before="0" w:beforeAutospacing="0" w:after="0" w:afterAutospacing="0" w:line="360" w:lineRule="auto"/>
              <w:ind w:right="0"/>
              <w:textAlignment w:val="top"/>
              <w:rPr>
                <w:rFonts w:hint="default" w:ascii="Times New Roman" w:hAnsi="Times New Roman" w:cs="Times New Roman"/>
                <w:sz w:val="20"/>
                <w:szCs w:val="20"/>
              </w:rPr>
            </w:pPr>
          </w:p>
        </w:tc>
        <w:tc>
          <w:tcPr>
            <w:tcW w:w="3404" w:type="dxa"/>
            <w:gridSpan w:val="4"/>
            <w:tcBorders>
              <w:top w:val="single" w:color="auto" w:sz="4" w:space="0"/>
              <w:left w:val="nil"/>
              <w:bottom w:val="single" w:color="auto" w:sz="4" w:space="0"/>
              <w:right w:val="single" w:color="auto" w:sz="4" w:space="0"/>
            </w:tcBorders>
            <w:shd w:val="clear" w:color="auto" w:fill="auto"/>
            <w:vAlign w:val="top"/>
          </w:tcPr>
          <w:p>
            <w:pPr>
              <w:rPr>
                <w:rFonts w:cs="Times New Roman"/>
                <w:color w:val="000000"/>
                <w:lang w:val="en-US"/>
              </w:rPr>
            </w:pPr>
            <w:r>
              <w:rPr>
                <w:rFonts w:cs="Times New Roman"/>
                <w:color w:val="000000"/>
              </w:rPr>
              <w:t>　</w:t>
            </w:r>
          </w:p>
          <w:tbl>
            <w:tblPr>
              <w:tblStyle w:val="12"/>
              <w:tblW w:w="242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trPr>
              <w:tc>
                <w:tcPr>
                  <w:tcW w:w="303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textAlignment w:val="top"/>
                    <w:rPr>
                      <w:rFonts w:cs="Times New Roman"/>
                      <w:color w:val="000000"/>
                      <w:lang w:val="en-US"/>
                    </w:rPr>
                  </w:pPr>
                  <w:r>
                    <w:rPr>
                      <w:rFonts w:cs="Times New Roman"/>
                      <w:color w:val="000000"/>
                    </w:rPr>
                    <w:t>负责辖区内退役军人保障服务工作，做好关系转接、信息采集、情况反映、慰问帮扶等工作</w:t>
                  </w:r>
                  <w:r>
                    <w:rPr>
                      <w:rFonts w:hint="eastAsia" w:cs="Times New Roman"/>
                      <w:color w:val="000000"/>
                      <w:lang w:eastAsia="zh-CN"/>
                    </w:rPr>
                    <w:t>；</w:t>
                  </w:r>
                  <w:r>
                    <w:rPr>
                      <w:rFonts w:cs="Times New Roman"/>
                      <w:color w:val="000000"/>
                    </w:rPr>
                    <w:t>主要承担农技、农机、林业、水利水保、水产、畜牧兽医等方面的技术推广、信息、资源环境保护、灾害防治、水利工程等服务工作</w:t>
                  </w:r>
                  <w:r>
                    <w:rPr>
                      <w:rFonts w:hint="eastAsia" w:cs="Times New Roman"/>
                      <w:color w:val="000000"/>
                      <w:lang w:eastAsia="zh-CN"/>
                    </w:rPr>
                    <w:t>；</w:t>
                  </w:r>
                  <w:r>
                    <w:rPr>
                      <w:rFonts w:cs="Times New Roman"/>
                      <w:color w:val="000000"/>
                    </w:rPr>
                    <w:t>主要承担文化、宣传、广播电视、体育、乡村旅游、科技培训等方面服务工作</w:t>
                  </w:r>
                  <w:r>
                    <w:rPr>
                      <w:rFonts w:hint="eastAsia" w:cs="Times New Roman"/>
                      <w:color w:val="000000"/>
                      <w:lang w:eastAsia="zh-CN"/>
                    </w:rPr>
                    <w:t>；</w:t>
                  </w:r>
                  <w:r>
                    <w:rPr>
                      <w:rFonts w:cs="Times New Roman"/>
                      <w:color w:val="000000"/>
                    </w:rPr>
                    <w:t>全面完成县委</w:t>
                  </w:r>
                  <w:r>
                    <w:rPr>
                      <w:rFonts w:hint="eastAsia" w:cs="Times New Roman"/>
                      <w:color w:val="000000"/>
                      <w:lang w:val="en-US" w:eastAsia="zh-CN"/>
                    </w:rPr>
                    <w:t>县</w:t>
                  </w:r>
                  <w:r>
                    <w:rPr>
                      <w:rFonts w:cs="Times New Roman"/>
                      <w:color w:val="000000"/>
                    </w:rPr>
                    <w:t>政府下达的各项经济社会事业发展目标</w:t>
                  </w:r>
                  <w:r>
                    <w:rPr>
                      <w:rFonts w:hint="eastAsia" w:cs="Times New Roman"/>
                      <w:color w:val="000000"/>
                      <w:lang w:eastAsia="zh-CN"/>
                    </w:rPr>
                    <w:t>；</w:t>
                  </w:r>
                  <w:r>
                    <w:rPr>
                      <w:rFonts w:cs="Times New Roman"/>
                      <w:color w:val="000000"/>
                    </w:rPr>
                    <w:t>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r>
                    <w:rPr>
                      <w:rFonts w:hint="eastAsia" w:cs="Times New Roman"/>
                      <w:color w:val="000000"/>
                      <w:lang w:eastAsia="zh-CN"/>
                    </w:rPr>
                    <w:t>；</w:t>
                  </w:r>
                  <w:r>
                    <w:rPr>
                      <w:rFonts w:cs="Times New Roman"/>
                      <w:color w:val="000000"/>
                    </w:rPr>
                    <w:t>根据授权或委托，承担辖区范围内集中行使农林水利、规划建设、市政管理、环境保护、卫生计生、文化旅游、民政管理等领域的行政处罚权</w:t>
                  </w:r>
                  <w:r>
                    <w:rPr>
                      <w:rFonts w:hint="eastAsia" w:cs="Times New Roman"/>
                      <w:color w:val="000000"/>
                      <w:lang w:eastAsia="zh-CN"/>
                    </w:rPr>
                    <w:t>；</w:t>
                  </w:r>
                </w:p>
              </w:tc>
            </w:tr>
          </w:tbl>
          <w:p>
            <w:pPr>
              <w:spacing w:before="0" w:beforeAutospacing="0" w:after="0" w:afterAutospacing="0" w:line="360" w:lineRule="auto"/>
              <w:ind w:right="0"/>
              <w:textAlignment w:val="top"/>
              <w:rPr>
                <w:rFonts w:hint="default" w:ascii="Times New Roman" w:hAnsi="Times New Roman" w:cs="Times New Roman"/>
                <w:sz w:val="20"/>
                <w:szCs w:val="20"/>
              </w:rPr>
            </w:pPr>
          </w:p>
        </w:tc>
        <w:tc>
          <w:tcPr>
            <w:tcW w:w="3076" w:type="dxa"/>
            <w:gridSpan w:val="4"/>
            <w:tcBorders>
              <w:top w:val="single" w:color="auto" w:sz="4" w:space="0"/>
              <w:left w:val="nil"/>
              <w:bottom w:val="single" w:color="auto" w:sz="4" w:space="0"/>
              <w:right w:val="single" w:color="auto" w:sz="4" w:space="0"/>
            </w:tcBorders>
            <w:shd w:val="clear" w:color="auto" w:fill="auto"/>
            <w:vAlign w:val="top"/>
          </w:tcPr>
          <w:p>
            <w:pPr>
              <w:rPr>
                <w:rFonts w:cs="Times New Roman"/>
                <w:color w:val="000000"/>
                <w:lang w:val="en-US"/>
              </w:rPr>
            </w:pPr>
            <w:r>
              <w:rPr>
                <w:rFonts w:cs="Times New Roman"/>
                <w:color w:val="000000"/>
              </w:rPr>
              <w:t>　</w:t>
            </w:r>
          </w:p>
          <w:tbl>
            <w:tblPr>
              <w:tblStyle w:val="12"/>
              <w:tblW w:w="268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trPr>
              <w:tc>
                <w:tcPr>
                  <w:tcW w:w="335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textAlignment w:val="top"/>
                    <w:rPr>
                      <w:rFonts w:cs="Times New Roman"/>
                      <w:color w:val="000000"/>
                      <w:lang w:val="en-US"/>
                    </w:rPr>
                  </w:pPr>
                  <w:r>
                    <w:rPr>
                      <w:rFonts w:cs="Times New Roman"/>
                      <w:color w:val="000000"/>
                    </w:rPr>
                    <w:t>确保了辖区内退役军人保障服务工作，做好关系转接、信息采集、情况反映、慰问帮扶等工作</w:t>
                  </w:r>
                  <w:r>
                    <w:rPr>
                      <w:rFonts w:hint="eastAsia" w:cs="Times New Roman"/>
                      <w:color w:val="000000"/>
                      <w:lang w:eastAsia="zh-CN"/>
                    </w:rPr>
                    <w:t>；</w:t>
                  </w:r>
                  <w:r>
                    <w:rPr>
                      <w:rFonts w:cs="Times New Roman"/>
                      <w:color w:val="000000"/>
                    </w:rPr>
                    <w:t>主要承担农技、农机、林业、水利水保、水产、畜牧兽医等方面的技术推广、信息、资源环境保护、灾害防治、水利工程等服务工作</w:t>
                  </w:r>
                  <w:r>
                    <w:rPr>
                      <w:rFonts w:hint="eastAsia" w:cs="Times New Roman"/>
                      <w:color w:val="000000"/>
                      <w:lang w:eastAsia="zh-CN"/>
                    </w:rPr>
                    <w:t>；</w:t>
                  </w:r>
                  <w:r>
                    <w:rPr>
                      <w:rFonts w:cs="Times New Roman"/>
                      <w:color w:val="000000"/>
                    </w:rPr>
                    <w:t>主要承担文化、宣传、广播电视、体育、乡村旅游、科技培训等方面服务工作</w:t>
                  </w:r>
                  <w:r>
                    <w:rPr>
                      <w:rFonts w:hint="eastAsia" w:cs="Times New Roman"/>
                      <w:color w:val="000000"/>
                      <w:lang w:eastAsia="zh-CN"/>
                    </w:rPr>
                    <w:t>；</w:t>
                  </w:r>
                  <w:r>
                    <w:rPr>
                      <w:rFonts w:cs="Times New Roman"/>
                      <w:color w:val="000000"/>
                    </w:rPr>
                    <w:t>全面完成县委</w:t>
                  </w:r>
                  <w:r>
                    <w:rPr>
                      <w:rFonts w:hint="eastAsia" w:cs="Times New Roman"/>
                      <w:color w:val="000000"/>
                      <w:lang w:val="en-US" w:eastAsia="zh-CN"/>
                    </w:rPr>
                    <w:t>县</w:t>
                  </w:r>
                  <w:r>
                    <w:rPr>
                      <w:rFonts w:cs="Times New Roman"/>
                      <w:color w:val="000000"/>
                    </w:rPr>
                    <w:t>政府下达的各项经济社会事业发展目标</w:t>
                  </w:r>
                  <w:r>
                    <w:rPr>
                      <w:rFonts w:hint="eastAsia" w:cs="Times New Roman"/>
                      <w:color w:val="000000"/>
                      <w:lang w:eastAsia="zh-CN"/>
                    </w:rPr>
                    <w:t>；</w:t>
                  </w:r>
                  <w:r>
                    <w:rPr>
                      <w:rFonts w:cs="Times New Roman"/>
                      <w:color w:val="000000"/>
                    </w:rPr>
                    <w:t>主要承担失业人员就业培训、职业介绍、就业创业指导、就业再就业小额贷款推荐审核</w:t>
                  </w:r>
                  <w:bookmarkStart w:id="0" w:name="_GoBack"/>
                  <w:bookmarkEnd w:id="0"/>
                  <w:r>
                    <w:rPr>
                      <w:rFonts w:cs="Times New Roman"/>
                      <w:color w:val="000000"/>
                    </w:rPr>
                    <w:t>等管理服务工作；负责养老保险、失业保险、城乡居民医疗保险等社会保险管理服务工作；做好农村五保供养对象服务以及劳动就业和社会保障其他方面的服务工作</w:t>
                  </w:r>
                  <w:r>
                    <w:rPr>
                      <w:rFonts w:hint="eastAsia" w:cs="Times New Roman"/>
                      <w:color w:val="000000"/>
                      <w:lang w:eastAsia="zh-CN"/>
                    </w:rPr>
                    <w:t>；</w:t>
                  </w:r>
                  <w:r>
                    <w:rPr>
                      <w:rFonts w:cs="Times New Roman"/>
                      <w:color w:val="000000"/>
                    </w:rPr>
                    <w:t>根据授权或委托，承担辖区范围内集中行使农林水利、规划建设、市政管理、环境保护、卫生计生、文化旅游、民政管理等领域的行政处罚权都得以全面履职。</w:t>
                  </w:r>
                </w:p>
              </w:tc>
            </w:tr>
          </w:tbl>
          <w:p>
            <w:pPr>
              <w:spacing w:before="0" w:beforeAutospacing="0" w:after="0" w:afterAutospacing="0" w:line="360" w:lineRule="auto"/>
              <w:ind w:right="0"/>
              <w:textAlignment w:val="top"/>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9491"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sz w:val="28"/>
                <w:szCs w:val="28"/>
                <w:lang w:val="en-US"/>
              </w:rPr>
            </w:pPr>
            <w:r>
              <w:rPr>
                <w:rFonts w:hint="eastAsia" w:ascii="微软雅黑" w:hAnsi="微软雅黑" w:eastAsia="微软雅黑" w:cs="Times New Roman"/>
                <w:b/>
                <w:bCs/>
                <w:color w:val="808080"/>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指标</w:t>
            </w:r>
          </w:p>
          <w:p>
            <w:pPr>
              <w:jc w:val="center"/>
              <w:rPr>
                <w:rFonts w:cs="Times New Roman"/>
                <w:b/>
                <w:bCs/>
                <w:color w:val="000000"/>
                <w:sz w:val="16"/>
                <w:szCs w:val="16"/>
                <w:lang w:val="en-US"/>
              </w:rPr>
            </w:pPr>
            <w:r>
              <w:rPr>
                <w:rFonts w:cs="Times New Roman"/>
                <w:b/>
                <w:bCs/>
                <w:color w:val="000000"/>
                <w:sz w:val="16"/>
                <w:szCs w:val="16"/>
              </w:rPr>
              <w:t>名称</w:t>
            </w:r>
          </w:p>
        </w:tc>
        <w:tc>
          <w:tcPr>
            <w:tcW w:w="331" w:type="dxa"/>
            <w:gridSpan w:val="2"/>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计量单位</w:t>
            </w:r>
          </w:p>
        </w:tc>
        <w:tc>
          <w:tcPr>
            <w:tcW w:w="794"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指标</w:t>
            </w:r>
          </w:p>
          <w:p>
            <w:pPr>
              <w:jc w:val="center"/>
              <w:rPr>
                <w:rFonts w:cs="Times New Roman"/>
                <w:b/>
                <w:bCs/>
                <w:color w:val="000000"/>
                <w:sz w:val="16"/>
                <w:szCs w:val="16"/>
                <w:lang w:val="en-US"/>
              </w:rPr>
            </w:pPr>
            <w:r>
              <w:rPr>
                <w:rFonts w:cs="Times New Roman"/>
                <w:b/>
                <w:bCs/>
                <w:color w:val="000000"/>
                <w:sz w:val="16"/>
                <w:szCs w:val="16"/>
              </w:rPr>
              <w:t>性质</w:t>
            </w:r>
          </w:p>
        </w:tc>
        <w:tc>
          <w:tcPr>
            <w:tcW w:w="766"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指标值</w:t>
            </w:r>
          </w:p>
        </w:tc>
        <w:tc>
          <w:tcPr>
            <w:tcW w:w="763"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全年完成值</w:t>
            </w:r>
          </w:p>
        </w:tc>
        <w:tc>
          <w:tcPr>
            <w:tcW w:w="938"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偏离度（</w:t>
            </w:r>
            <w:r>
              <w:rPr>
                <w:rFonts w:cs="Times New Roman"/>
                <w:b/>
                <w:bCs/>
                <w:color w:val="000000"/>
                <w:sz w:val="16"/>
                <w:szCs w:val="16"/>
                <w:lang w:val="en-US"/>
              </w:rPr>
              <w:t>%</w:t>
            </w:r>
            <w:r>
              <w:rPr>
                <w:rFonts w:cs="Times New Roman"/>
                <w:b/>
                <w:bCs/>
                <w:color w:val="000000"/>
                <w:sz w:val="16"/>
                <w:szCs w:val="16"/>
              </w:rPr>
              <w:t>）</w:t>
            </w:r>
          </w:p>
        </w:tc>
        <w:tc>
          <w:tcPr>
            <w:tcW w:w="642"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得分系数（</w:t>
            </w:r>
            <w:r>
              <w:rPr>
                <w:rFonts w:cs="Times New Roman"/>
                <w:b/>
                <w:bCs/>
                <w:color w:val="000000"/>
                <w:sz w:val="16"/>
                <w:szCs w:val="16"/>
                <w:lang w:val="en-US"/>
              </w:rPr>
              <w:t>%</w:t>
            </w:r>
            <w:r>
              <w:rPr>
                <w:rFonts w:cs="Times New Roman"/>
                <w:b/>
                <w:bCs/>
                <w:color w:val="000000"/>
                <w:sz w:val="16"/>
                <w:szCs w:val="16"/>
              </w:rPr>
              <w:t>）</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指标</w:t>
            </w:r>
          </w:p>
          <w:p>
            <w:pPr>
              <w:jc w:val="center"/>
              <w:rPr>
                <w:rFonts w:cs="Times New Roman"/>
                <w:b/>
                <w:bCs/>
                <w:color w:val="000000"/>
                <w:sz w:val="16"/>
                <w:szCs w:val="16"/>
                <w:lang w:val="en-US"/>
              </w:rPr>
            </w:pPr>
            <w:r>
              <w:rPr>
                <w:rFonts w:cs="Times New Roman"/>
                <w:b/>
                <w:bCs/>
                <w:color w:val="000000"/>
                <w:sz w:val="16"/>
                <w:szCs w:val="16"/>
              </w:rPr>
              <w:t>权重</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指标</w:t>
            </w:r>
          </w:p>
          <w:p>
            <w:pPr>
              <w:jc w:val="center"/>
              <w:rPr>
                <w:rFonts w:cs="Times New Roman"/>
                <w:b/>
                <w:bCs/>
                <w:color w:val="000000"/>
                <w:sz w:val="16"/>
                <w:szCs w:val="16"/>
                <w:lang w:val="en-US"/>
              </w:rPr>
            </w:pPr>
            <w:r>
              <w:rPr>
                <w:rFonts w:cs="Times New Roman"/>
                <w:b/>
                <w:bCs/>
                <w:color w:val="000000"/>
                <w:sz w:val="16"/>
                <w:szCs w:val="16"/>
              </w:rPr>
              <w:t>得分</w:t>
            </w:r>
          </w:p>
        </w:tc>
        <w:tc>
          <w:tcPr>
            <w:tcW w:w="425" w:type="dxa"/>
            <w:tcBorders>
              <w:top w:val="nil"/>
              <w:left w:val="nil"/>
              <w:bottom w:val="single" w:color="auto" w:sz="4" w:space="0"/>
              <w:right w:val="single" w:color="auto"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是否核心指标</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cs="Times New Roman"/>
                <w:b/>
                <w:bCs/>
                <w:color w:val="000000"/>
                <w:sz w:val="16"/>
                <w:szCs w:val="16"/>
                <w:lang w:val="en-US"/>
              </w:rPr>
            </w:pPr>
            <w:r>
              <w:rPr>
                <w:rFonts w:cs="Times New Roman"/>
                <w:b/>
                <w:bCs/>
                <w:color w:val="000000"/>
                <w:sz w:val="16"/>
                <w:szCs w:val="16"/>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9"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textAlignment w:val="center"/>
              <w:rPr>
                <w:rFonts w:cs="Times New Roman"/>
                <w:color w:val="000000"/>
                <w:sz w:val="22"/>
                <w:szCs w:val="24"/>
                <w:lang w:val="en-US"/>
              </w:rPr>
            </w:pPr>
            <w:r>
              <w:rPr>
                <w:rFonts w:cs="Times New Roman"/>
                <w:color w:val="000000"/>
                <w:sz w:val="22"/>
                <w:szCs w:val="24"/>
              </w:rPr>
              <w:t>社会事业、民生保障、社会保障、人居环境工作</w:t>
            </w:r>
          </w:p>
        </w:tc>
        <w:tc>
          <w:tcPr>
            <w:tcW w:w="331" w:type="dxa"/>
            <w:gridSpan w:val="2"/>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sz w:val="20"/>
                <w:szCs w:val="20"/>
              </w:rPr>
            </w:pPr>
          </w:p>
        </w:tc>
        <w:tc>
          <w:tcPr>
            <w:tcW w:w="794"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定性</w:t>
            </w:r>
          </w:p>
        </w:tc>
        <w:tc>
          <w:tcPr>
            <w:tcW w:w="76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好</w:t>
            </w:r>
          </w:p>
        </w:tc>
        <w:tc>
          <w:tcPr>
            <w:tcW w:w="76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bCs/>
                <w:color w:val="000000"/>
                <w:sz w:val="22"/>
                <w:szCs w:val="24"/>
                <w:lang w:val="en-US"/>
              </w:rPr>
            </w:pPr>
            <w:r>
              <w:rPr>
                <w:rFonts w:hint="default" w:ascii="Times New Roman" w:hAnsi="Times New Roman" w:cs="Times New Roman"/>
                <w:bCs/>
                <w:color w:val="000000"/>
                <w:sz w:val="22"/>
                <w:szCs w:val="24"/>
                <w:lang w:val="en-US"/>
              </w:rPr>
              <w:t>1</w:t>
            </w:r>
          </w:p>
        </w:tc>
        <w:tc>
          <w:tcPr>
            <w:tcW w:w="93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bCs/>
                <w:color w:val="000000"/>
                <w:sz w:val="22"/>
                <w:szCs w:val="24"/>
                <w:lang w:val="en-US"/>
              </w:rPr>
            </w:pPr>
            <w:r>
              <w:rPr>
                <w:rFonts w:hint="default" w:ascii="Times New Roman" w:hAnsi="Times New Roman" w:cs="Times New Roman"/>
                <w:bCs/>
                <w:color w:val="000000"/>
                <w:sz w:val="22"/>
                <w:szCs w:val="24"/>
                <w:lang w:val="en-US"/>
              </w:rPr>
              <w:t>0</w:t>
            </w:r>
          </w:p>
        </w:tc>
        <w:tc>
          <w:tcPr>
            <w:tcW w:w="64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bCs/>
                <w:color w:val="000000"/>
                <w:sz w:val="22"/>
                <w:szCs w:val="24"/>
                <w:lang w:val="en-US"/>
              </w:rPr>
            </w:pPr>
            <w:r>
              <w:rPr>
                <w:rFonts w:hint="default" w:ascii="Times New Roman" w:hAnsi="Times New Roman" w:cs="Times New Roman"/>
                <w:bCs/>
                <w:color w:val="000000"/>
                <w:sz w:val="22"/>
                <w:szCs w:val="24"/>
                <w:lang w:val="en-US"/>
              </w:rPr>
              <w:t>100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bCs/>
                <w:color w:val="000000"/>
                <w:sz w:val="22"/>
                <w:szCs w:val="24"/>
                <w:lang w:val="en-US"/>
              </w:rPr>
            </w:pPr>
            <w:r>
              <w:rPr>
                <w:rFonts w:hint="default" w:ascii="Times New Roman" w:hAnsi="Times New Roman" w:cs="Times New Roman"/>
                <w:bCs/>
                <w:color w:val="000000"/>
                <w:sz w:val="22"/>
                <w:szCs w:val="24"/>
                <w:lang w:val="en-US"/>
              </w:rPr>
              <w:t>20</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bCs/>
                <w:color w:val="000000"/>
                <w:sz w:val="22"/>
                <w:szCs w:val="24"/>
                <w:lang w:val="en-US"/>
              </w:rPr>
            </w:pPr>
            <w:r>
              <w:rPr>
                <w:rFonts w:hint="default" w:ascii="Times New Roman" w:hAnsi="Times New Roman" w:cs="Times New Roman"/>
                <w:bCs/>
                <w:color w:val="000000"/>
                <w:sz w:val="22"/>
                <w:szCs w:val="24"/>
                <w:lang w:val="en-US"/>
              </w:rPr>
              <w:t>20</w:t>
            </w:r>
          </w:p>
        </w:tc>
        <w:tc>
          <w:tcPr>
            <w:tcW w:w="425"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sz w:val="20"/>
                <w:szCs w:val="20"/>
              </w:rPr>
            </w:pP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textAlignment w:val="center"/>
              <w:rPr>
                <w:rFonts w:cs="Times New Roman"/>
                <w:color w:val="000000"/>
                <w:sz w:val="22"/>
                <w:szCs w:val="24"/>
                <w:lang w:val="en-US"/>
              </w:rPr>
            </w:pPr>
            <w:r>
              <w:rPr>
                <w:rFonts w:cs="Times New Roman"/>
                <w:color w:val="000000"/>
                <w:sz w:val="22"/>
                <w:szCs w:val="24"/>
              </w:rPr>
              <w:t>安全生产、平安建设、信访稳定、武装、退役军人文化阵地建设等工作</w:t>
            </w:r>
          </w:p>
        </w:tc>
        <w:tc>
          <w:tcPr>
            <w:tcW w:w="331" w:type="dxa"/>
            <w:gridSpan w:val="2"/>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sz w:val="20"/>
                <w:szCs w:val="20"/>
              </w:rPr>
            </w:pPr>
          </w:p>
        </w:tc>
        <w:tc>
          <w:tcPr>
            <w:tcW w:w="794"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定性</w:t>
            </w:r>
          </w:p>
        </w:tc>
        <w:tc>
          <w:tcPr>
            <w:tcW w:w="76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好</w:t>
            </w:r>
          </w:p>
        </w:tc>
        <w:tc>
          <w:tcPr>
            <w:tcW w:w="76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1</w:t>
            </w:r>
          </w:p>
        </w:tc>
        <w:tc>
          <w:tcPr>
            <w:tcW w:w="938"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0</w:t>
            </w:r>
          </w:p>
        </w:tc>
        <w:tc>
          <w:tcPr>
            <w:tcW w:w="642"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100</w:t>
            </w:r>
          </w:p>
        </w:tc>
        <w:tc>
          <w:tcPr>
            <w:tcW w:w="1059"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20</w:t>
            </w:r>
          </w:p>
        </w:tc>
        <w:tc>
          <w:tcPr>
            <w:tcW w:w="567"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20</w:t>
            </w:r>
          </w:p>
        </w:tc>
        <w:tc>
          <w:tcPr>
            <w:tcW w:w="425"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sz w:val="20"/>
                <w:szCs w:val="20"/>
              </w:rPr>
            </w:pP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textAlignment w:val="center"/>
              <w:rPr>
                <w:rFonts w:cs="Times New Roman"/>
                <w:color w:val="000000"/>
                <w:sz w:val="22"/>
                <w:szCs w:val="24"/>
                <w:lang w:val="en-US"/>
              </w:rPr>
            </w:pPr>
            <w:r>
              <w:rPr>
                <w:rFonts w:cs="Times New Roman"/>
                <w:color w:val="000000"/>
                <w:sz w:val="22"/>
                <w:szCs w:val="24"/>
              </w:rPr>
              <w:t>经济社会发展类及乡村振兴建设</w:t>
            </w:r>
          </w:p>
        </w:tc>
        <w:tc>
          <w:tcPr>
            <w:tcW w:w="331" w:type="dxa"/>
            <w:gridSpan w:val="2"/>
            <w:tcBorders>
              <w:top w:val="nil"/>
              <w:left w:val="nil"/>
              <w:bottom w:val="single" w:color="auto" w:sz="4" w:space="0"/>
              <w:right w:val="single" w:color="auto" w:sz="4" w:space="0"/>
            </w:tcBorders>
            <w:shd w:val="clear" w:color="auto" w:fill="auto"/>
            <w:noWrap/>
            <w:vAlign w:val="center"/>
          </w:tcPr>
          <w:p>
            <w:pPr>
              <w:ind w:left="0" w:firstLine="220" w:firstLineChars="100"/>
              <w:rPr>
                <w:rFonts w:cs="Times New Roman"/>
                <w:color w:val="000000"/>
                <w:sz w:val="22"/>
                <w:szCs w:val="24"/>
                <w:lang w:val="en-US"/>
              </w:rPr>
            </w:pPr>
            <w:r>
              <w:rPr>
                <w:rFonts w:cs="Times New Roman"/>
                <w:color w:val="000000"/>
                <w:sz w:val="22"/>
                <w:szCs w:val="24"/>
              </w:rPr>
              <w:t>　</w:t>
            </w:r>
          </w:p>
        </w:tc>
        <w:tc>
          <w:tcPr>
            <w:tcW w:w="794" w:type="dxa"/>
            <w:tcBorders>
              <w:top w:val="nil"/>
              <w:left w:val="nil"/>
              <w:bottom w:val="single" w:color="auto" w:sz="4" w:space="0"/>
              <w:right w:val="single" w:color="auto" w:sz="4" w:space="0"/>
            </w:tcBorders>
            <w:shd w:val="clear" w:color="auto" w:fill="auto"/>
            <w:noWrap/>
            <w:vAlign w:val="center"/>
          </w:tcPr>
          <w:p>
            <w:pPr>
              <w:textAlignment w:val="center"/>
              <w:rPr>
                <w:rFonts w:cs="Times New Roman"/>
                <w:color w:val="000000"/>
                <w:sz w:val="22"/>
                <w:szCs w:val="24"/>
                <w:lang w:val="en-US"/>
              </w:rPr>
            </w:pPr>
            <w:r>
              <w:rPr>
                <w:rFonts w:cs="Times New Roman"/>
                <w:color w:val="000000"/>
                <w:sz w:val="22"/>
                <w:szCs w:val="24"/>
              </w:rPr>
              <w:t>定性</w:t>
            </w:r>
          </w:p>
        </w:tc>
        <w:tc>
          <w:tcPr>
            <w:tcW w:w="766" w:type="dxa"/>
            <w:tcBorders>
              <w:top w:val="nil"/>
              <w:left w:val="nil"/>
              <w:bottom w:val="single" w:color="auto" w:sz="4" w:space="0"/>
              <w:right w:val="single" w:color="auto" w:sz="4" w:space="0"/>
            </w:tcBorders>
            <w:shd w:val="clear" w:color="auto" w:fill="auto"/>
            <w:noWrap/>
            <w:vAlign w:val="center"/>
          </w:tcPr>
          <w:p>
            <w:pPr>
              <w:jc w:val="left"/>
              <w:textAlignment w:val="center"/>
              <w:rPr>
                <w:rFonts w:cs="Times New Roman"/>
                <w:color w:val="000000"/>
                <w:sz w:val="22"/>
                <w:szCs w:val="24"/>
                <w:lang w:val="en-US"/>
              </w:rPr>
            </w:pPr>
            <w:r>
              <w:rPr>
                <w:rFonts w:cs="Times New Roman"/>
                <w:color w:val="000000"/>
                <w:sz w:val="22"/>
                <w:szCs w:val="24"/>
              </w:rPr>
              <w:t>好</w:t>
            </w:r>
          </w:p>
        </w:tc>
        <w:tc>
          <w:tcPr>
            <w:tcW w:w="763" w:type="dxa"/>
            <w:tcBorders>
              <w:top w:val="nil"/>
              <w:left w:val="nil"/>
              <w:bottom w:val="single" w:color="auto" w:sz="4" w:space="0"/>
              <w:right w:val="single" w:color="auto" w:sz="4" w:space="0"/>
            </w:tcBorders>
            <w:shd w:val="clear" w:color="auto" w:fill="auto"/>
            <w:noWrap/>
            <w:vAlign w:val="center"/>
          </w:tcPr>
          <w:p>
            <w:pPr>
              <w:snapToGrid w:val="0"/>
              <w:spacing w:after="0" w:afterAutospacing="0"/>
              <w:rPr>
                <w:rFonts w:cs="Times New Roman"/>
                <w:color w:val="000000"/>
                <w:sz w:val="22"/>
                <w:szCs w:val="24"/>
                <w:lang w:val="en-US"/>
              </w:rPr>
            </w:pPr>
            <w:r>
              <w:rPr>
                <w:rFonts w:cs="Times New Roman"/>
                <w:sz w:val="22"/>
                <w:szCs w:val="24"/>
                <w:shd w:val="clear" w:fill="FFFFFF"/>
              </w:rPr>
              <w:t>今年厉行节约、压减开支</w:t>
            </w:r>
          </w:p>
        </w:tc>
        <w:tc>
          <w:tcPr>
            <w:tcW w:w="938"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0 </w:t>
            </w:r>
          </w:p>
        </w:tc>
        <w:tc>
          <w:tcPr>
            <w:tcW w:w="642"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100 </w:t>
            </w:r>
          </w:p>
        </w:tc>
        <w:tc>
          <w:tcPr>
            <w:tcW w:w="1059"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20 </w:t>
            </w:r>
          </w:p>
        </w:tc>
        <w:tc>
          <w:tcPr>
            <w:tcW w:w="567"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20 </w:t>
            </w:r>
          </w:p>
        </w:tc>
        <w:tc>
          <w:tcPr>
            <w:tcW w:w="425"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cs="Times New Roman"/>
                <w:color w:val="000000"/>
                <w:sz w:val="22"/>
                <w:szCs w:val="24"/>
                <w:lang w:val="en-US"/>
              </w:rPr>
            </w:pPr>
            <w:r>
              <w:rPr>
                <w:rFonts w:cs="Times New Roman"/>
                <w:color w:val="000000"/>
                <w:sz w:val="22"/>
                <w:szCs w:val="24"/>
              </w:rPr>
              <w:t>　</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cs="Times New Roman"/>
                <w:color w:val="000000"/>
                <w:lang w:val="en-US"/>
              </w:rPr>
            </w:pPr>
            <w:r>
              <w:rPr>
                <w:rFonts w:cs="Times New Roman"/>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hint="default" w:ascii="Times New Roman" w:hAnsi="Times New Roman" w:cs="Times New Roman"/>
                <w:color w:val="000000"/>
                <w:sz w:val="22"/>
                <w:szCs w:val="22"/>
                <w:lang w:val="en-US"/>
              </w:rPr>
            </w:pPr>
            <w:r>
              <w:rPr>
                <w:rFonts w:ascii="Times New Roman" w:cs="Times New Roman"/>
                <w:color w:val="000000"/>
                <w:sz w:val="22"/>
                <w:szCs w:val="22"/>
              </w:rPr>
              <w:t>基层组织建设</w:t>
            </w:r>
          </w:p>
        </w:tc>
        <w:tc>
          <w:tcPr>
            <w:tcW w:w="331" w:type="dxa"/>
            <w:gridSpan w:val="2"/>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94" w:type="dxa"/>
            <w:tcBorders>
              <w:top w:val="nil"/>
              <w:left w:val="nil"/>
              <w:bottom w:val="single" w:color="auto" w:sz="4" w:space="0"/>
              <w:right w:val="single" w:color="auto" w:sz="4" w:space="0"/>
            </w:tcBorders>
            <w:shd w:val="clear" w:color="auto" w:fill="auto"/>
            <w:noWrap/>
            <w:vAlign w:val="center"/>
          </w:tcPr>
          <w:p>
            <w:pPr>
              <w:textAlignment w:val="center"/>
              <w:rPr>
                <w:rFonts w:hint="default" w:ascii="Times New Roman" w:hAnsi="Times New Roman" w:cs="Times New Roman"/>
                <w:color w:val="000000"/>
                <w:sz w:val="22"/>
                <w:szCs w:val="22"/>
                <w:lang w:val="en-US"/>
              </w:rPr>
            </w:pPr>
            <w:r>
              <w:rPr>
                <w:rFonts w:ascii="Times New Roman" w:cs="Times New Roman"/>
                <w:color w:val="000000"/>
                <w:sz w:val="22"/>
                <w:szCs w:val="22"/>
              </w:rPr>
              <w:t>定性</w:t>
            </w:r>
          </w:p>
        </w:tc>
        <w:tc>
          <w:tcPr>
            <w:tcW w:w="766" w:type="dxa"/>
            <w:tcBorders>
              <w:top w:val="nil"/>
              <w:left w:val="nil"/>
              <w:bottom w:val="single" w:color="auto" w:sz="4" w:space="0"/>
              <w:right w:val="single" w:color="auto" w:sz="4" w:space="0"/>
            </w:tcBorders>
            <w:shd w:val="clear" w:color="auto" w:fill="auto"/>
            <w:noWrap/>
            <w:vAlign w:val="center"/>
          </w:tcPr>
          <w:p>
            <w:pPr>
              <w:ind w:left="0" w:right="330" w:firstLine="220" w:firstLineChars="100"/>
              <w:jc w:val="right"/>
              <w:textAlignment w:val="center"/>
              <w:rPr>
                <w:rFonts w:hint="default" w:ascii="Times New Roman" w:hAnsi="Times New Roman" w:cs="Times New Roman"/>
                <w:color w:val="000000"/>
                <w:sz w:val="22"/>
                <w:szCs w:val="22"/>
                <w:lang w:val="en-US"/>
              </w:rPr>
            </w:pPr>
            <w:r>
              <w:rPr>
                <w:rFonts w:ascii="Times New Roman" w:cs="Times New Roman"/>
                <w:color w:val="000000"/>
                <w:sz w:val="22"/>
                <w:szCs w:val="22"/>
              </w:rPr>
              <w:t>好</w:t>
            </w:r>
          </w:p>
        </w:tc>
        <w:tc>
          <w:tcPr>
            <w:tcW w:w="763"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1 </w:t>
            </w:r>
          </w:p>
        </w:tc>
        <w:tc>
          <w:tcPr>
            <w:tcW w:w="938"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0 </w:t>
            </w:r>
          </w:p>
        </w:tc>
        <w:tc>
          <w:tcPr>
            <w:tcW w:w="642"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100 </w:t>
            </w:r>
          </w:p>
        </w:tc>
        <w:tc>
          <w:tcPr>
            <w:tcW w:w="1059"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20 </w:t>
            </w:r>
          </w:p>
        </w:tc>
        <w:tc>
          <w:tcPr>
            <w:tcW w:w="567"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20 </w:t>
            </w:r>
          </w:p>
        </w:tc>
        <w:tc>
          <w:tcPr>
            <w:tcW w:w="425"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Times New Roman" w:hAnsi="Times New Roman" w:cs="Times New Roman"/>
                <w:color w:val="000000"/>
                <w:sz w:val="22"/>
                <w:szCs w:val="22"/>
                <w:lang w:val="en-US"/>
              </w:rPr>
            </w:pPr>
            <w:r>
              <w:rPr>
                <w:rFonts w:ascii="Times New Roman" w:cs="Times New Roman"/>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hint="default" w:ascii="Times New Roman" w:hAnsi="Times New Roman" w:cs="Times New Roman"/>
                <w:color w:val="000000"/>
                <w:sz w:val="22"/>
                <w:szCs w:val="22"/>
                <w:lang w:val="en-US"/>
              </w:rPr>
            </w:pPr>
            <w:r>
              <w:rPr>
                <w:rFonts w:ascii="Times New Roman" w:cs="Times New Roman"/>
                <w:color w:val="000000"/>
                <w:sz w:val="22"/>
                <w:szCs w:val="22"/>
              </w:rPr>
              <w:t>群众满意度</w:t>
            </w:r>
          </w:p>
        </w:tc>
        <w:tc>
          <w:tcPr>
            <w:tcW w:w="331" w:type="dxa"/>
            <w:gridSpan w:val="2"/>
            <w:tcBorders>
              <w:top w:val="nil"/>
              <w:left w:val="nil"/>
              <w:bottom w:val="single" w:color="auto" w:sz="4" w:space="0"/>
              <w:right w:val="single" w:color="auto" w:sz="4" w:space="0"/>
            </w:tcBorders>
            <w:shd w:val="clear" w:color="auto" w:fill="auto"/>
            <w:noWrap/>
            <w:vAlign w:val="center"/>
          </w:tcPr>
          <w:p>
            <w:pPr>
              <w:textAlignment w:val="cente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w:t>
            </w:r>
          </w:p>
        </w:tc>
        <w:tc>
          <w:tcPr>
            <w:tcW w:w="794" w:type="dxa"/>
            <w:tcBorders>
              <w:top w:val="nil"/>
              <w:left w:val="nil"/>
              <w:bottom w:val="single" w:color="auto" w:sz="4" w:space="0"/>
              <w:right w:val="single" w:color="auto" w:sz="4" w:space="0"/>
            </w:tcBorders>
            <w:shd w:val="clear" w:color="auto" w:fill="auto"/>
            <w:noWrap/>
            <w:vAlign w:val="center"/>
          </w:tcPr>
          <w:p>
            <w:pPr>
              <w:textAlignment w:val="center"/>
              <w:rPr>
                <w:rFonts w:hint="default" w:ascii="Times New Roman" w:hAnsi="Times New Roman" w:cs="Times New Roman"/>
                <w:color w:val="000000"/>
                <w:sz w:val="22"/>
                <w:szCs w:val="22"/>
                <w:lang w:val="en-US"/>
              </w:rPr>
            </w:pPr>
            <w:r>
              <w:rPr>
                <w:rFonts w:ascii="Times New Roman" w:hAnsi="Times New Roman" w:cs="Times New Roman"/>
                <w:color w:val="000000"/>
                <w:sz w:val="22"/>
                <w:szCs w:val="22"/>
              </w:rPr>
              <w:t>≥</w:t>
            </w:r>
          </w:p>
        </w:tc>
        <w:tc>
          <w:tcPr>
            <w:tcW w:w="766"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98</w:t>
            </w:r>
          </w:p>
        </w:tc>
        <w:tc>
          <w:tcPr>
            <w:tcW w:w="763"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98 </w:t>
            </w:r>
          </w:p>
        </w:tc>
        <w:tc>
          <w:tcPr>
            <w:tcW w:w="938"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0 </w:t>
            </w:r>
          </w:p>
        </w:tc>
        <w:tc>
          <w:tcPr>
            <w:tcW w:w="642"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100 </w:t>
            </w:r>
          </w:p>
        </w:tc>
        <w:tc>
          <w:tcPr>
            <w:tcW w:w="1059"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20 </w:t>
            </w:r>
          </w:p>
        </w:tc>
        <w:tc>
          <w:tcPr>
            <w:tcW w:w="567" w:type="dxa"/>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 xml:space="preserve">20 </w:t>
            </w:r>
          </w:p>
        </w:tc>
        <w:tc>
          <w:tcPr>
            <w:tcW w:w="425"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Times New Roman" w:hAnsi="Times New Roman" w:cs="Times New Roman"/>
                <w:color w:val="000000"/>
                <w:sz w:val="22"/>
                <w:szCs w:val="22"/>
                <w:lang w:val="en-US"/>
              </w:rPr>
            </w:pPr>
            <w:r>
              <w:rPr>
                <w:rFonts w:ascii="Times New Roman" w:cs="Times New Roman"/>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331" w:type="dxa"/>
            <w:gridSpan w:val="2"/>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94"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3"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938"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642"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1059"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425"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Times New Roman" w:hAnsi="Times New Roman" w:cs="Times New Roman"/>
                <w:color w:val="000000"/>
                <w:sz w:val="22"/>
                <w:szCs w:val="22"/>
                <w:lang w:val="en-US"/>
              </w:rPr>
            </w:pPr>
            <w:r>
              <w:rPr>
                <w:rFonts w:ascii="Times New Roman" w:cs="Times New Roman"/>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331" w:type="dxa"/>
            <w:gridSpan w:val="2"/>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94"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3"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938"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642"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1059"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425"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Times New Roman" w:hAnsi="Times New Roman" w:cs="Times New Roman"/>
                <w:color w:val="000000"/>
                <w:sz w:val="22"/>
                <w:szCs w:val="22"/>
                <w:lang w:val="en-US"/>
              </w:rPr>
            </w:pPr>
            <w:r>
              <w:rPr>
                <w:rFonts w:ascii="Times New Roman" w:cs="Times New Roman"/>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331" w:type="dxa"/>
            <w:gridSpan w:val="2"/>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94"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3"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938"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642"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1059"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425"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Times New Roman" w:hAnsi="Times New Roman" w:cs="Times New Roman"/>
                <w:color w:val="000000"/>
                <w:sz w:val="22"/>
                <w:szCs w:val="22"/>
                <w:lang w:val="en-US"/>
              </w:rPr>
            </w:pPr>
            <w:r>
              <w:rPr>
                <w:rFonts w:ascii="Times New Roman" w:cs="Times New Roman"/>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331" w:type="dxa"/>
            <w:gridSpan w:val="2"/>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94"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3"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938"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642"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1059"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425"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Times New Roman" w:hAnsi="Times New Roman" w:cs="Times New Roman"/>
                <w:color w:val="000000"/>
                <w:sz w:val="22"/>
                <w:szCs w:val="22"/>
                <w:lang w:val="en-US"/>
              </w:rPr>
            </w:pPr>
            <w:r>
              <w:rPr>
                <w:rFonts w:ascii="Times New Roman" w:cs="Times New Roman"/>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1122" w:type="dxa"/>
            <w:tcBorders>
              <w:top w:val="nil"/>
              <w:left w:val="single" w:color="auto" w:sz="4" w:space="0"/>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331" w:type="dxa"/>
            <w:gridSpan w:val="2"/>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94"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763"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938"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642"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1059"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center"/>
          </w:tcPr>
          <w:p>
            <w:pPr>
              <w:ind w:left="0" w:firstLine="220" w:firstLineChars="100"/>
              <w:jc w:val="right"/>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425" w:type="dxa"/>
            <w:tcBorders>
              <w:top w:val="nil"/>
              <w:left w:val="nil"/>
              <w:bottom w:val="single" w:color="auto" w:sz="4" w:space="0"/>
              <w:right w:val="single" w:color="auto" w:sz="4" w:space="0"/>
            </w:tcBorders>
            <w:shd w:val="clear" w:color="auto" w:fill="auto"/>
            <w:noWrap/>
            <w:vAlign w:val="center"/>
          </w:tcPr>
          <w:p>
            <w:pPr>
              <w:ind w:left="0" w:firstLine="220" w:firstLineChars="100"/>
              <w:rPr>
                <w:rFonts w:hint="default" w:ascii="Times New Roman" w:hAnsi="Times New Roman" w:cs="Times New Roman"/>
                <w:color w:val="000000"/>
                <w:sz w:val="22"/>
                <w:szCs w:val="22"/>
                <w:lang w:val="en-US"/>
              </w:rPr>
            </w:pPr>
            <w:r>
              <w:rPr>
                <w:rFonts w:ascii="Times New Roman" w:cs="Times New Roman"/>
                <w:color w:val="000000"/>
                <w:sz w:val="22"/>
                <w:szCs w:val="22"/>
              </w:rPr>
              <w:t>　</w:t>
            </w:r>
          </w:p>
        </w:tc>
        <w:tc>
          <w:tcPr>
            <w:tcW w:w="208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Times New Roman" w:hAnsi="Times New Roman" w:cs="Times New Roman"/>
                <w:color w:val="000000"/>
                <w:sz w:val="22"/>
                <w:szCs w:val="22"/>
                <w:lang w:val="en-US"/>
              </w:rPr>
            </w:pPr>
            <w:r>
              <w:rPr>
                <w:rFonts w:ascii="Times New Roman" w:cs="Times New Roman"/>
                <w:color w:val="000000"/>
                <w:sz w:val="22"/>
                <w:szCs w:val="22"/>
              </w:rPr>
              <w:t>　</w:t>
            </w:r>
          </w:p>
        </w:tc>
      </w:tr>
    </w:tbl>
    <w:p>
      <w:pPr>
        <w:pStyle w:val="41"/>
        <w:spacing w:before="0" w:beforeAutospacing="0" w:line="360" w:lineRule="auto"/>
        <w:rPr>
          <w:highlight w:val="yellow"/>
          <w:lang w:val="en-US"/>
        </w:rPr>
      </w:pPr>
      <w:r>
        <w:rPr>
          <w:highlight w:val="yellow"/>
          <w:lang w:val="en-US"/>
        </w:rPr>
        <w:t xml:space="preserve"> </w:t>
      </w:r>
    </w:p>
    <w:tbl>
      <w:tblPr>
        <w:tblStyle w:val="12"/>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3"/>
        <w:gridCol w:w="569"/>
        <w:gridCol w:w="565"/>
        <w:gridCol w:w="708"/>
        <w:gridCol w:w="611"/>
        <w:gridCol w:w="637"/>
        <w:gridCol w:w="67"/>
        <w:gridCol w:w="1041"/>
        <w:gridCol w:w="465"/>
        <w:gridCol w:w="216"/>
        <w:gridCol w:w="394"/>
        <w:gridCol w:w="285"/>
        <w:gridCol w:w="20"/>
        <w:gridCol w:w="396"/>
        <w:gridCol w:w="16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35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000000"/>
                <w:lang w:val="en-US"/>
              </w:rPr>
            </w:pPr>
            <w:r>
              <w:rPr>
                <w:rFonts w:hint="eastAsia" w:ascii="微软雅黑" w:hAnsi="微软雅黑" w:eastAsia="微软雅黑" w:cs="Times New Roman"/>
                <w:b/>
                <w:bCs/>
                <w:color w:val="000000"/>
                <w:lang w:val="en-US"/>
              </w:rPr>
              <w:t>2022</w:t>
            </w:r>
            <w:r>
              <w:rPr>
                <w:rFonts w:hint="eastAsia" w:ascii="微软雅黑" w:hAnsi="微软雅黑" w:eastAsia="微软雅黑" w:cs="Times New Roman"/>
                <w:b/>
                <w:bCs/>
                <w:color w:val="000000"/>
              </w:rPr>
              <w:t>年度项目绩效自评表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r>
              <w:rPr>
                <w:rFonts w:cs="Times New Roman"/>
                <w:b/>
                <w:bCs/>
                <w:color w:val="000000"/>
              </w:rPr>
              <w:t>项目名称：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lang w:val="en-US"/>
              </w:rPr>
              <w:t xml:space="preserve"> </w:t>
            </w:r>
            <w:r>
              <w:rPr>
                <w:rFonts w:cs="Times New Roman"/>
                <w:color w:val="000000"/>
              </w:rPr>
              <w:t>三建乡场镇水系配套工程</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r>
              <w:rPr>
                <w:rFonts w:cs="Times New Roman"/>
                <w:b/>
                <w:bCs/>
                <w:color w:val="000000"/>
              </w:rPr>
              <w:t>项目编码：</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rPr>
              <w:t>　</w:t>
            </w:r>
          </w:p>
        </w:tc>
        <w:tc>
          <w:tcPr>
            <w:tcW w:w="19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r>
              <w:rPr>
                <w:rFonts w:cs="Times New Roman"/>
                <w:b/>
                <w:bCs/>
                <w:color w:val="000000"/>
              </w:rPr>
              <w:t>自评总分：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lang w:val="en-US"/>
              </w:rPr>
              <w:t xml:space="preserve"> 95</w:t>
            </w:r>
          </w:p>
        </w:tc>
        <w:tc>
          <w:tcPr>
            <w:tcW w:w="3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p>
        </w:tc>
        <w:tc>
          <w:tcPr>
            <w:tcW w:w="15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r>
              <w:rPr>
                <w:rFonts w:cs="Times New Roman"/>
                <w:b/>
                <w:bCs/>
                <w:color w:val="000000"/>
              </w:rPr>
              <w:t>项目主管部门：</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rPr>
              <w:t xml:space="preserve">丰都县三建乡 </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cs="Times New Roman"/>
                <w:b/>
                <w:bCs/>
                <w:color w:val="000000"/>
                <w:lang w:val="en-US"/>
              </w:rPr>
            </w:pPr>
            <w:r>
              <w:rPr>
                <w:rFonts w:cs="Times New Roman"/>
                <w:b/>
                <w:bCs/>
                <w:color w:val="000000"/>
              </w:rPr>
              <w:t>财政归口处室：</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rPr>
              <w:t xml:space="preserve">基财科 </w:t>
            </w:r>
          </w:p>
        </w:tc>
        <w:tc>
          <w:tcPr>
            <w:tcW w:w="19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right="483"/>
              <w:jc w:val="center"/>
              <w:rPr>
                <w:rFonts w:cs="Times New Roman"/>
                <w:b/>
                <w:bCs/>
                <w:color w:val="000000"/>
                <w:lang w:val="en-US"/>
              </w:rPr>
            </w:pPr>
            <w:r>
              <w:rPr>
                <w:rFonts w:cs="Times New Roman"/>
                <w:b/>
                <w:bCs/>
                <w:color w:val="000000"/>
              </w:rPr>
              <w:t>部门</w:t>
            </w:r>
          </w:p>
          <w:p>
            <w:pPr>
              <w:spacing w:line="240" w:lineRule="exact"/>
              <w:ind w:right="161"/>
              <w:jc w:val="center"/>
              <w:rPr>
                <w:rFonts w:cs="Times New Roman"/>
                <w:b/>
                <w:bCs/>
                <w:color w:val="000000"/>
                <w:lang w:val="en-US"/>
              </w:rPr>
            </w:pPr>
            <w:r>
              <w:rPr>
                <w:rFonts w:cs="Times New Roman"/>
                <w:b/>
                <w:bCs/>
                <w:color w:val="000000"/>
              </w:rPr>
              <w:t>联系人：</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lang w:val="en-US"/>
              </w:rPr>
              <w:t xml:space="preserve"> </w:t>
            </w:r>
            <w:r>
              <w:rPr>
                <w:rFonts w:cs="Times New Roman"/>
                <w:color w:val="000000"/>
              </w:rPr>
              <w:t>陈江丰</w:t>
            </w:r>
          </w:p>
        </w:tc>
        <w:tc>
          <w:tcPr>
            <w:tcW w:w="3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right="181"/>
              <w:jc w:val="center"/>
              <w:rPr>
                <w:rFonts w:cs="Times New Roman"/>
                <w:b/>
                <w:bCs/>
                <w:color w:val="000000"/>
                <w:lang w:val="en-US"/>
              </w:rPr>
            </w:pPr>
            <w:r>
              <w:rPr>
                <w:rFonts w:cs="Times New Roman"/>
                <w:b/>
                <w:bCs/>
                <w:color w:val="000000"/>
              </w:rPr>
              <w:t>联系</w:t>
            </w:r>
          </w:p>
          <w:p>
            <w:pPr>
              <w:spacing w:line="240" w:lineRule="exact"/>
              <w:ind w:right="181"/>
              <w:jc w:val="center"/>
              <w:rPr>
                <w:rFonts w:cs="Times New Roman"/>
                <w:b/>
                <w:bCs/>
                <w:color w:val="000000"/>
                <w:lang w:val="en-US"/>
              </w:rPr>
            </w:pPr>
            <w:r>
              <w:rPr>
                <w:rFonts w:cs="Times New Roman"/>
                <w:b/>
                <w:bCs/>
                <w:color w:val="000000"/>
              </w:rPr>
              <w:t>电话</w:t>
            </w:r>
          </w:p>
        </w:tc>
        <w:tc>
          <w:tcPr>
            <w:tcW w:w="15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rPr>
                <w:rFonts w:cs="Times New Roman"/>
                <w:color w:val="000000"/>
                <w:lang w:val="en-US"/>
              </w:rPr>
            </w:pPr>
            <w:r>
              <w:rPr>
                <w:rFonts w:cs="Times New Roman"/>
                <w:color w:val="000000"/>
                <w:lang w:val="en-US"/>
              </w:rPr>
              <w:t xml:space="preserve"> 18716296904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35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lang w:val="en-US"/>
              </w:rPr>
            </w:pPr>
            <w:r>
              <w:rPr>
                <w:rFonts w:hint="eastAsia" w:ascii="微软雅黑" w:hAnsi="微软雅黑" w:eastAsia="微软雅黑" w:cs="Times New Roman"/>
                <w:b/>
                <w:bCs/>
                <w:color w:val="808080"/>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1"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color w:val="000000"/>
                <w:lang w:val="en-US"/>
              </w:rPr>
            </w:pPr>
            <w:r>
              <w:rPr>
                <w:rFonts w:cs="Times New Roman"/>
                <w:color w:val="000000"/>
              </w:rPr>
              <w:t>　</w:t>
            </w:r>
          </w:p>
        </w:tc>
        <w:tc>
          <w:tcPr>
            <w:tcW w:w="15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right="724"/>
              <w:jc w:val="center"/>
              <w:rPr>
                <w:rFonts w:cs="Times New Roman"/>
                <w:b/>
                <w:bCs/>
                <w:color w:val="000000"/>
                <w:lang w:val="en-US"/>
              </w:rPr>
            </w:pPr>
            <w:r>
              <w:rPr>
                <w:rFonts w:cs="Times New Roman"/>
                <w:b/>
                <w:bCs/>
                <w:color w:val="000000"/>
              </w:rPr>
              <w:t>年初预算数</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全年（调整）</w:t>
            </w:r>
          </w:p>
          <w:p>
            <w:pPr>
              <w:jc w:val="center"/>
              <w:rPr>
                <w:rFonts w:cs="Times New Roman"/>
                <w:b/>
                <w:bCs/>
                <w:color w:val="000000"/>
                <w:lang w:val="en-US"/>
              </w:rPr>
            </w:pPr>
            <w:r>
              <w:rPr>
                <w:rFonts w:cs="Times New Roman"/>
                <w:b/>
                <w:bCs/>
                <w:color w:val="000000"/>
              </w:rPr>
              <w:t>预算数</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right="161"/>
              <w:jc w:val="center"/>
              <w:rPr>
                <w:rFonts w:cs="Times New Roman"/>
                <w:b/>
                <w:bCs/>
                <w:color w:val="000000"/>
                <w:lang w:val="en-US"/>
              </w:rPr>
            </w:pPr>
            <w:r>
              <w:rPr>
                <w:rFonts w:cs="Times New Roman"/>
                <w:b/>
                <w:bCs/>
                <w:color w:val="000000"/>
              </w:rPr>
              <w:t>全年执行数</w:t>
            </w:r>
          </w:p>
        </w:tc>
        <w:tc>
          <w:tcPr>
            <w:tcW w:w="17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ind w:right="322"/>
              <w:jc w:val="center"/>
              <w:rPr>
                <w:rFonts w:cs="Times New Roman"/>
                <w:b/>
                <w:bCs/>
                <w:color w:val="000000"/>
                <w:lang w:val="en-US"/>
              </w:rPr>
            </w:pPr>
            <w:r>
              <w:rPr>
                <w:rFonts w:cs="Times New Roman"/>
                <w:b/>
                <w:bCs/>
                <w:color w:val="000000"/>
              </w:rPr>
              <w:t>执行率</w:t>
            </w: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执行率</w:t>
            </w:r>
          </w:p>
          <w:p>
            <w:pPr>
              <w:jc w:val="center"/>
              <w:rPr>
                <w:rFonts w:cs="Times New Roman"/>
                <w:b/>
                <w:bCs/>
                <w:color w:val="000000"/>
                <w:lang w:val="en-US"/>
              </w:rPr>
            </w:pPr>
            <w:r>
              <w:rPr>
                <w:rFonts w:cs="Times New Roman"/>
                <w:b/>
                <w:bCs/>
                <w:color w:val="000000"/>
              </w:rPr>
              <w:t>权重</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执行率</w:t>
            </w:r>
          </w:p>
          <w:p>
            <w:pPr>
              <w:jc w:val="center"/>
              <w:rPr>
                <w:rFonts w:cs="Times New Roman"/>
                <w:b/>
                <w:bCs/>
                <w:color w:val="000000"/>
                <w:lang w:val="en-US"/>
              </w:rPr>
            </w:pPr>
            <w:r>
              <w:rPr>
                <w:rFonts w:cs="Times New Roman"/>
                <w:b/>
                <w:bCs/>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center"/>
              <w:rPr>
                <w:rFonts w:cs="Times New Roman"/>
                <w:color w:val="000000"/>
                <w:lang w:val="en-US"/>
              </w:rPr>
            </w:pPr>
            <w:r>
              <w:rPr>
                <w:rFonts w:cs="Times New Roman"/>
                <w:color w:val="000000"/>
              </w:rPr>
              <w:t>年度总金额</w:t>
            </w:r>
          </w:p>
        </w:tc>
        <w:tc>
          <w:tcPr>
            <w:tcW w:w="15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right"/>
              <w:rPr>
                <w:rFonts w:hint="default" w:ascii="Times New Roman" w:hAnsi="Times New Roman" w:cs="Times New Roman"/>
                <w:color w:val="000000"/>
                <w:lang w:val="en-US"/>
              </w:rPr>
            </w:pPr>
            <w:r>
              <w:rPr>
                <w:rFonts w:ascii="Times New Roman" w:cs="Times New Roman"/>
                <w:color w:val="000000"/>
              </w:rPr>
              <w:t>　</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20000000.00 </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20000000.00 </w:t>
            </w:r>
          </w:p>
        </w:tc>
        <w:tc>
          <w:tcPr>
            <w:tcW w:w="17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100</w:t>
            </w:r>
            <w:r>
              <w:rPr>
                <w:rFonts w:ascii="Times New Roman" w:cs="Times New Roman"/>
                <w:color w:val="000000"/>
              </w:rPr>
              <w:t>　</w:t>
            </w: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10</w:t>
            </w:r>
            <w:r>
              <w:rPr>
                <w:rFonts w:ascii="Times New Roman" w:cs="Times New Roman"/>
                <w:color w:val="000000"/>
              </w:rPr>
              <w:t>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10</w:t>
            </w:r>
            <w:r>
              <w:rPr>
                <w:rFonts w:asci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center"/>
              <w:rPr>
                <w:rFonts w:cs="Times New Roman"/>
                <w:color w:val="000000"/>
                <w:lang w:val="en-US"/>
              </w:rPr>
            </w:pPr>
            <w:r>
              <w:rPr>
                <w:rFonts w:cs="Times New Roman"/>
                <w:color w:val="000000"/>
              </w:rPr>
              <w:t>其中：财政拨款</w:t>
            </w:r>
          </w:p>
        </w:tc>
        <w:tc>
          <w:tcPr>
            <w:tcW w:w="15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right"/>
              <w:rPr>
                <w:rFonts w:hint="default" w:ascii="Times New Roman" w:hAnsi="Times New Roman" w:cs="Times New Roman"/>
                <w:color w:val="000000"/>
                <w:lang w:val="en-US"/>
              </w:rPr>
            </w:pPr>
            <w:r>
              <w:rPr>
                <w:rFonts w:ascii="Times New Roman" w:cs="Times New Roman"/>
                <w:color w:val="000000"/>
              </w:rPr>
              <w:t>　</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20000000.00 </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20000000.00 </w:t>
            </w:r>
          </w:p>
        </w:tc>
        <w:tc>
          <w:tcPr>
            <w:tcW w:w="17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5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lang w:val="en-US"/>
              </w:rPr>
            </w:pPr>
            <w:r>
              <w:rPr>
                <w:rFonts w:hint="eastAsia" w:ascii="微软雅黑" w:hAnsi="微软雅黑" w:eastAsia="微软雅黑" w:cs="Times New Roman"/>
                <w:b/>
                <w:bCs/>
                <w:color w:val="808080"/>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11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年初绩效目标</w:t>
            </w:r>
          </w:p>
        </w:tc>
        <w:tc>
          <w:tcPr>
            <w:tcW w:w="29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全年（调整）绩效目标</w:t>
            </w:r>
          </w:p>
        </w:tc>
        <w:tc>
          <w:tcPr>
            <w:tcW w:w="329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cs="Times New Roman"/>
                <w:color w:val="000000"/>
                <w:lang w:val="en-US"/>
              </w:rPr>
            </w:pPr>
            <w:r>
              <w:rPr>
                <w:rFonts w:ascii="Times New Roman" w:cs="Times New Roman"/>
                <w:color w:val="000000"/>
              </w:rPr>
              <w:t>　</w:t>
            </w:r>
          </w:p>
        </w:tc>
        <w:tc>
          <w:tcPr>
            <w:tcW w:w="2945"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 </w:t>
            </w:r>
            <w:r>
              <w:rPr>
                <w:rFonts w:ascii="Times New Roman" w:cs="Times New Roman"/>
                <w:color w:val="000000"/>
              </w:rPr>
              <w:t>新建溪流梳理及景观水景</w:t>
            </w:r>
            <w:r>
              <w:rPr>
                <w:rFonts w:hint="default" w:ascii="Times New Roman" w:hAnsi="Times New Roman" w:cs="Times New Roman"/>
                <w:color w:val="000000"/>
                <w:lang w:val="en-US"/>
              </w:rPr>
              <w:t>3138.63</w:t>
            </w:r>
            <w:r>
              <w:rPr>
                <w:rFonts w:ascii="Times New Roman" w:cs="Times New Roman"/>
                <w:color w:val="000000"/>
              </w:rPr>
              <w:t>㎡，硬质铺装</w:t>
            </w:r>
            <w:r>
              <w:rPr>
                <w:rFonts w:hint="default" w:ascii="Times New Roman" w:hAnsi="Times New Roman" w:cs="Times New Roman"/>
                <w:color w:val="000000"/>
                <w:lang w:val="en-US"/>
              </w:rPr>
              <w:t>13300</w:t>
            </w:r>
            <w:r>
              <w:rPr>
                <w:rFonts w:ascii="Times New Roman" w:cs="Times New Roman"/>
                <w:color w:val="000000"/>
              </w:rPr>
              <w:t>㎡，配套绿化建设</w:t>
            </w:r>
            <w:r>
              <w:rPr>
                <w:rFonts w:hint="default" w:ascii="Times New Roman" w:hAnsi="Times New Roman" w:cs="Times New Roman"/>
                <w:color w:val="000000"/>
                <w:lang w:val="en-US"/>
              </w:rPr>
              <w:t>32159.2</w:t>
            </w:r>
            <w:r>
              <w:rPr>
                <w:rFonts w:ascii="Times New Roman" w:cs="Times New Roman"/>
                <w:color w:val="000000"/>
              </w:rPr>
              <w:t>㎡。梳理场镇河道环境，提升场镇防洪</w:t>
            </w:r>
            <w:r>
              <w:rPr>
                <w:rFonts w:hint="eastAsia" w:ascii="Times New Roman" w:cs="Times New Roman"/>
                <w:color w:val="000000"/>
                <w:lang w:val="en-US" w:eastAsia="zh-CN"/>
              </w:rPr>
              <w:t>除</w:t>
            </w:r>
            <w:r>
              <w:rPr>
                <w:rFonts w:ascii="Times New Roman" w:cs="Times New Roman"/>
                <w:color w:val="000000"/>
              </w:rPr>
              <w:t>涝能力。</w:t>
            </w:r>
          </w:p>
        </w:tc>
        <w:tc>
          <w:tcPr>
            <w:tcW w:w="329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cs="Times New Roman"/>
                <w:color w:val="000000"/>
                <w:lang w:val="en-US"/>
              </w:rPr>
            </w:pPr>
            <w:r>
              <w:rPr>
                <w:rFonts w:ascii="Times New Roman" w:cs="Times New Roman"/>
                <w:color w:val="000000"/>
              </w:rPr>
              <w:t>新建溪流梳理及景观水景</w:t>
            </w:r>
            <w:r>
              <w:rPr>
                <w:rFonts w:hint="default" w:ascii="Times New Roman" w:hAnsi="Times New Roman" w:cs="Times New Roman"/>
                <w:color w:val="000000"/>
                <w:lang w:val="en-US"/>
              </w:rPr>
              <w:t>3138.63</w:t>
            </w:r>
            <w:r>
              <w:rPr>
                <w:rFonts w:ascii="Times New Roman" w:cs="Times New Roman"/>
                <w:color w:val="000000"/>
              </w:rPr>
              <w:t>㎡，硬质铺装</w:t>
            </w:r>
            <w:r>
              <w:rPr>
                <w:rFonts w:hint="default" w:ascii="Times New Roman" w:hAnsi="Times New Roman" w:cs="Times New Roman"/>
                <w:color w:val="000000"/>
                <w:lang w:val="en-US"/>
              </w:rPr>
              <w:t>13300</w:t>
            </w:r>
            <w:r>
              <w:rPr>
                <w:rFonts w:ascii="Times New Roman" w:cs="Times New Roman"/>
                <w:color w:val="000000"/>
              </w:rPr>
              <w:t>㎡，配套绿化建设</w:t>
            </w:r>
            <w:r>
              <w:rPr>
                <w:rFonts w:hint="default" w:ascii="Times New Roman" w:hAnsi="Times New Roman" w:cs="Times New Roman"/>
                <w:color w:val="000000"/>
                <w:lang w:val="en-US"/>
              </w:rPr>
              <w:t>32159.2</w:t>
            </w:r>
            <w:r>
              <w:rPr>
                <w:rFonts w:ascii="Times New Roman" w:cs="Times New Roman"/>
                <w:color w:val="000000"/>
              </w:rPr>
              <w:t>㎡。梳理场镇河道环境，提升场镇防洪</w:t>
            </w:r>
            <w:r>
              <w:rPr>
                <w:rFonts w:hint="eastAsia" w:ascii="Times New Roman" w:cs="Times New Roman"/>
                <w:color w:val="000000"/>
                <w:lang w:eastAsia="zh-CN"/>
              </w:rPr>
              <w:t>除涝</w:t>
            </w:r>
            <w:r>
              <w:rPr>
                <w:rFonts w:ascii="Times New Roman" w:cs="Times New Roman"/>
                <w:color w:val="000000"/>
              </w:rPr>
              <w:t>能力。支付资金</w:t>
            </w:r>
            <w:r>
              <w:rPr>
                <w:rFonts w:hint="default" w:ascii="Times New Roman" w:hAnsi="Times New Roman" w:cs="Times New Roman"/>
                <w:color w:val="000000"/>
                <w:lang w:val="en-US"/>
              </w:rPr>
              <w:t>2000</w:t>
            </w:r>
            <w:r>
              <w:rPr>
                <w:rFonts w:ascii="Times New Roman" w:cs="Times New Roman"/>
                <w:color w:val="000000"/>
              </w:rPr>
              <w:t>万元，支付率</w:t>
            </w:r>
            <w:r>
              <w:rPr>
                <w:rFonts w:hint="default" w:ascii="Times New Roman" w:hAnsi="Times New Roman" w:cs="Times New Roman"/>
                <w:color w:val="000000"/>
                <w:lang w:val="en-US"/>
              </w:rPr>
              <w:t>100%</w:t>
            </w:r>
            <w:r>
              <w:rPr>
                <w:rFonts w:asci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5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lang w:val="en-US"/>
              </w:rPr>
            </w:pPr>
            <w:r>
              <w:rPr>
                <w:rFonts w:hint="eastAsia" w:ascii="微软雅黑" w:hAnsi="微软雅黑" w:eastAsia="微软雅黑" w:cs="Times New Roman"/>
                <w:b/>
                <w:bCs/>
                <w:color w:val="808080"/>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指标</w:t>
            </w:r>
          </w:p>
          <w:p>
            <w:pPr>
              <w:jc w:val="center"/>
              <w:rPr>
                <w:rFonts w:cs="Times New Roman"/>
                <w:b/>
                <w:bCs/>
                <w:color w:val="000000"/>
                <w:lang w:val="en-US"/>
              </w:rPr>
            </w:pPr>
            <w:r>
              <w:rPr>
                <w:rFonts w:cs="Times New Roman"/>
                <w:b/>
                <w:bCs/>
                <w:color w:val="000000"/>
              </w:rPr>
              <w:t>名称</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计量单位</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指标</w:t>
            </w:r>
          </w:p>
          <w:p>
            <w:pPr>
              <w:jc w:val="center"/>
              <w:rPr>
                <w:rFonts w:cs="Times New Roman"/>
                <w:b/>
                <w:bCs/>
                <w:color w:val="000000"/>
                <w:lang w:val="en-US"/>
              </w:rPr>
            </w:pPr>
            <w:r>
              <w:rPr>
                <w:rFonts w:cs="Times New Roman"/>
                <w:b/>
                <w:bCs/>
                <w:color w:val="000000"/>
              </w:rPr>
              <w:t>性质</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指标值</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全年完成值</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偏离度（</w:t>
            </w:r>
            <w:r>
              <w:rPr>
                <w:rFonts w:cs="Times New Roman"/>
                <w:b/>
                <w:bCs/>
                <w:color w:val="000000"/>
                <w:lang w:val="en-US"/>
              </w:rPr>
              <w:t>%</w:t>
            </w:r>
            <w:r>
              <w:rPr>
                <w:rFonts w:cs="Times New Roman"/>
                <w:b/>
                <w:bCs/>
                <w:color w:val="000000"/>
              </w:rPr>
              <w:t>）</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得分系数（</w:t>
            </w:r>
            <w:r>
              <w:rPr>
                <w:rFonts w:cs="Times New Roman"/>
                <w:b/>
                <w:bCs/>
                <w:color w:val="000000"/>
                <w:lang w:val="en-US"/>
              </w:rPr>
              <w:t>%</w:t>
            </w:r>
            <w:r>
              <w:rPr>
                <w:rFonts w:cs="Times New Roman"/>
                <w:b/>
                <w:bCs/>
                <w:color w:val="000000"/>
              </w:rPr>
              <w:t>）</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指标</w:t>
            </w:r>
          </w:p>
          <w:p>
            <w:pPr>
              <w:jc w:val="center"/>
              <w:rPr>
                <w:rFonts w:cs="Times New Roman"/>
                <w:b/>
                <w:bCs/>
                <w:color w:val="000000"/>
                <w:lang w:val="en-US"/>
              </w:rPr>
            </w:pPr>
            <w:r>
              <w:rPr>
                <w:rFonts w:cs="Times New Roman"/>
                <w:b/>
                <w:bCs/>
                <w:color w:val="000000"/>
              </w:rPr>
              <w:t>权重</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指标</w:t>
            </w:r>
          </w:p>
          <w:p>
            <w:pPr>
              <w:jc w:val="center"/>
              <w:rPr>
                <w:rFonts w:cs="Times New Roman"/>
                <w:b/>
                <w:bCs/>
                <w:color w:val="000000"/>
                <w:lang w:val="en-US"/>
              </w:rPr>
            </w:pPr>
            <w:r>
              <w:rPr>
                <w:rFonts w:cs="Times New Roman"/>
                <w:b/>
                <w:bCs/>
                <w:color w:val="000000"/>
              </w:rPr>
              <w:t>得分</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是否核心指标</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Times New Roman"/>
                <w:b/>
                <w:bCs/>
                <w:color w:val="000000"/>
                <w:lang w:val="en-US"/>
              </w:rPr>
            </w:pPr>
            <w:r>
              <w:rPr>
                <w:rFonts w:cs="Times New Roman"/>
                <w:b/>
                <w:bCs/>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textAlignment w:val="center"/>
              <w:rPr>
                <w:rFonts w:hint="default" w:ascii="Times New Roman" w:hAnsi="Times New Roman" w:cs="Times New Roman"/>
                <w:color w:val="000000"/>
                <w:lang w:val="en-US"/>
              </w:rPr>
            </w:pPr>
            <w:r>
              <w:rPr>
                <w:rFonts w:ascii="Times New Roman" w:cs="Times New Roman"/>
                <w:color w:val="000000"/>
              </w:rPr>
              <w:t>岸库边坡支护</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textAlignment w:val="center"/>
              <w:rPr>
                <w:rFonts w:hint="default" w:ascii="Times New Roman" w:hAnsi="Times New Roman" w:cs="Times New Roman"/>
                <w:color w:val="000000"/>
                <w:lang w:val="en-US"/>
              </w:rPr>
            </w:pPr>
            <w:r>
              <w:rPr>
                <w:rFonts w:ascii="Times New Roman" w:cs="Times New Roman"/>
                <w:color w:val="000000"/>
              </w:rPr>
              <w:t>米</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0" w:firstLine="240" w:firstLineChars="100"/>
              <w:jc w:val="left"/>
              <w:textAlignment w:val="center"/>
              <w:rPr>
                <w:rFonts w:hint="default" w:ascii="Times New Roman" w:hAnsi="Times New Roman" w:cs="Times New Roman"/>
                <w:color w:val="000000"/>
                <w:lang w:val="en-US"/>
              </w:rPr>
            </w:pPr>
            <w:r>
              <w:rPr>
                <w:rFonts w:ascii="Times New Roman" w:cs="Times New Roman"/>
                <w:color w:val="000000"/>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hint="default" w:ascii="Times New Roman" w:hAnsi="Times New Roman" w:cs="Times New Roman"/>
                <w:b/>
                <w:bCs/>
                <w:color w:val="000000"/>
                <w:lang w:val="en-US"/>
              </w:rPr>
            </w:pPr>
            <w:r>
              <w:rPr>
                <w:rFonts w:hint="default" w:ascii="Times New Roman" w:hAnsi="Times New Roman" w:cs="Times New Roman"/>
                <w:color w:val="000000"/>
                <w:lang w:val="en-US"/>
              </w:rPr>
              <w:t>198</w:t>
            </w:r>
            <w:r>
              <w:rPr>
                <w:rFonts w:ascii="Times New Roman" w:cs="Times New Roman"/>
                <w:b/>
                <w:bCs/>
                <w:color w:val="000000"/>
              </w:rPr>
              <w:t>　</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 xml:space="preserve">198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 xml:space="preserve"> 0</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 xml:space="preserve"> 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hint="default" w:ascii="Times New Roman" w:hAnsi="Times New Roman" w:cs="Times New Roman"/>
                <w:b/>
                <w:bCs/>
                <w:color w:val="000000"/>
                <w:lang w:val="en-US"/>
              </w:rPr>
            </w:pPr>
            <w:r>
              <w:rPr>
                <w:rFonts w:ascii="Times New Roman" w:cs="Times New Roman"/>
                <w:b/>
                <w:bCs/>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hint="default" w:ascii="Times New Roman" w:hAnsi="Times New Roman" w:cs="Times New Roman"/>
                <w:b/>
                <w:bCs/>
                <w:color w:val="000000"/>
                <w:lang w:val="en-US"/>
              </w:rPr>
            </w:pPr>
            <w:r>
              <w:rPr>
                <w:rFonts w:ascii="Times New Roman" w:cs="Times New Roman"/>
                <w:b/>
                <w:bCs/>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cs="Times New Roman"/>
                <w:color w:val="000000"/>
                <w:lang w:val="en-US"/>
              </w:rPr>
            </w:pPr>
            <w:r>
              <w:rPr>
                <w:rFonts w:cs="Times New Roman"/>
                <w:color w:val="000000"/>
              </w:rPr>
              <w:t>景观廊架</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cs="Times New Roman"/>
                <w:color w:val="000000"/>
                <w:lang w:val="en-US"/>
              </w:rPr>
            </w:pPr>
            <w:r>
              <w:rPr>
                <w:rFonts w:cs="Times New Roman"/>
                <w:color w:val="000000"/>
                <w:sz w:val="21"/>
                <w:szCs w:val="24"/>
              </w:rPr>
              <w:t>座（处）</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textAlignment w:val="center"/>
              <w:rPr>
                <w:rFonts w:cs="Times New Roman"/>
                <w:color w:val="000000"/>
                <w:lang w:val="en-US"/>
              </w:rPr>
            </w:pPr>
            <w:r>
              <w:rPr>
                <w:rFonts w:cs="Times New Roman"/>
                <w:color w:val="000000"/>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 </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Times New Roman"/>
                <w:color w:val="000000"/>
                <w:lang w:val="en-US"/>
              </w:rPr>
            </w:pPr>
            <w:r>
              <w:rPr>
                <w:rFonts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景观水景长度</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米</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4461.3</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4461.3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r>
              <w:rPr>
                <w:rFonts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绿化面积</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平方米</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32159.2</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32159.2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r>
              <w:rPr>
                <w:rFonts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水系构建工程</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个</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1 </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ascii="Times New Roman" w:cs="Times New Roman"/>
                <w:color w:val="000000"/>
                <w:sz w:val="22"/>
                <w:szCs w:val="24"/>
              </w:rPr>
              <w:t>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r>
              <w:rPr>
                <w:rFonts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溪流连接桥</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座</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7 </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ascii="Times New Roman" w:cs="Times New Roman"/>
                <w:color w:val="000000"/>
                <w:sz w:val="22"/>
                <w:szCs w:val="24"/>
              </w:rPr>
              <w:t>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r>
              <w:rPr>
                <w:rFonts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休息亭子</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座</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2 </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2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r>
              <w:rPr>
                <w:rFonts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硬质铺装面积</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平方米</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13300 </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ab/>
            </w:r>
            <w:r>
              <w:rPr>
                <w:rFonts w:hint="default" w:ascii="Times New Roman" w:hAnsi="Times New Roman" w:cs="Times New Roman"/>
                <w:color w:val="000000"/>
                <w:sz w:val="22"/>
                <w:szCs w:val="24"/>
                <w:lang w:val="en-US"/>
              </w:rPr>
              <w:t>1330</w:t>
            </w:r>
            <w:r>
              <w:rPr>
                <w:rFonts w:hint="default" w:ascii="Times New Roman" w:hAnsi="Times New Roman" w:cs="Times New Roman"/>
                <w:color w:val="000000"/>
                <w:sz w:val="22"/>
                <w:szCs w:val="24"/>
                <w:lang w:val="en-US"/>
              </w:rPr>
              <w:tab/>
            </w:r>
            <w:r>
              <w:rPr>
                <w:rFonts w:hint="default" w:ascii="Times New Roman" w:hAnsi="Times New Roman" w:cs="Times New Roman"/>
                <w:color w:val="000000"/>
                <w:sz w:val="22"/>
                <w:szCs w:val="24"/>
                <w:lang w:val="en-US"/>
              </w:rPr>
              <w:t xml:space="preserve">0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r>
              <w:rPr>
                <w:rFonts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直径</w:t>
            </w:r>
            <w:r>
              <w:rPr>
                <w:rFonts w:hint="default" w:ascii="Times New Roman" w:hAnsi="Times New Roman" w:cs="Times New Roman"/>
                <w:color w:val="000000"/>
                <w:sz w:val="22"/>
                <w:szCs w:val="24"/>
                <w:lang w:val="en-US"/>
              </w:rPr>
              <w:t>200PE</w:t>
            </w:r>
            <w:r>
              <w:rPr>
                <w:rFonts w:ascii="Times New Roman" w:cs="Times New Roman"/>
                <w:color w:val="000000"/>
                <w:sz w:val="22"/>
                <w:szCs w:val="24"/>
              </w:rPr>
              <w:t>输水管道</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米</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2778</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2778</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0</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100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5</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项目验收合格率</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100</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未验收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按时完工率</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hAns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100</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100</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0</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100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5</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促进场镇搬迁配套设施完备作用</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ascii="Times New Roman" w:cs="Times New Roman"/>
                <w:color w:val="000000"/>
                <w:sz w:val="22"/>
                <w:szCs w:val="24"/>
              </w:rPr>
              <w:t>　</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定性</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基本建立</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1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ascii="Times New Roman"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项目使用寿命</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年</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hAns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15</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15</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0</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100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10</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群众满意度</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hAns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90</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90</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0</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100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10</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补助资金</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hint="default" w:ascii="Times New Roman" w:hAnsi="Times New Roman" w:cs="Times New Roman"/>
                <w:color w:val="000000"/>
                <w:sz w:val="22"/>
                <w:szCs w:val="24"/>
                <w:lang w:val="en-US"/>
              </w:rPr>
            </w:pPr>
            <w:r>
              <w:rPr>
                <w:rFonts w:ascii="Times New Roman" w:cs="Times New Roman"/>
                <w:color w:val="000000"/>
                <w:sz w:val="22"/>
                <w:szCs w:val="24"/>
              </w:rPr>
              <w:t>万元</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textAlignment w:val="center"/>
              <w:rPr>
                <w:rFonts w:hint="default" w:ascii="Times New Roman" w:hAnsi="Times New Roman" w:cs="Times New Roman"/>
                <w:color w:val="000000"/>
                <w:sz w:val="22"/>
                <w:szCs w:val="24"/>
                <w:lang w:val="en-US"/>
              </w:rPr>
            </w:pPr>
            <w:r>
              <w:rPr>
                <w:rFonts w:ascii="Times New Roman" w:hAnsi="Times New Roman" w:cs="Times New Roman"/>
                <w:color w:val="000000"/>
                <w:sz w:val="22"/>
                <w:szCs w:val="24"/>
              </w:rPr>
              <w:t>≤</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2000.00 </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20" w:firstLineChars="100"/>
              <w:jc w:val="left"/>
              <w:rPr>
                <w:rFonts w:hint="default" w:ascii="Times New Roman" w:hAnsi="Times New Roman" w:cs="Times New Roman"/>
                <w:color w:val="000000"/>
                <w:sz w:val="22"/>
                <w:szCs w:val="24"/>
                <w:lang w:val="en-US"/>
              </w:rPr>
            </w:pPr>
            <w:r>
              <w:rPr>
                <w:rFonts w:hint="default" w:ascii="Times New Roman" w:hAnsi="Times New Roman" w:cs="Times New Roman"/>
                <w:color w:val="000000"/>
                <w:sz w:val="22"/>
                <w:szCs w:val="24"/>
                <w:lang w:val="en-US"/>
              </w:rPr>
              <w:t xml:space="preserve">2000.00 </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0 </w:t>
            </w:r>
          </w:p>
        </w:tc>
        <w:tc>
          <w:tcPr>
            <w:tcW w:w="13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100 </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5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240" w:firstLineChars="100"/>
              <w:jc w:val="left"/>
              <w:rPr>
                <w:rFonts w:cs="Times New Roman"/>
                <w:color w:val="000000"/>
                <w:lang w:val="en-US"/>
              </w:rPr>
            </w:pPr>
            <w:r>
              <w:rPr>
                <w:rFonts w:cs="Times New Roman"/>
                <w:color w:val="000000"/>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cs="Times New Roman"/>
                <w:color w:val="000000"/>
                <w:lang w:val="en-US"/>
              </w:rPr>
            </w:pPr>
            <w:r>
              <w:rPr>
                <w:rFonts w:cs="Times New Roman"/>
                <w:color w:val="000000"/>
              </w:rPr>
              <w:t>　</w:t>
            </w:r>
          </w:p>
        </w:tc>
      </w:tr>
    </w:tbl>
    <w:p>
      <w:pPr>
        <w:pStyle w:val="41"/>
        <w:spacing w:before="0" w:beforeAutospacing="0" w:line="360" w:lineRule="auto"/>
        <w:rPr>
          <w:highlight w:val="yellow"/>
          <w:lang w:val="en-US"/>
        </w:rPr>
      </w:pPr>
      <w:r>
        <w:rPr>
          <w:highlight w:val="yellow"/>
          <w:lang w:val="en-US"/>
        </w:rPr>
        <w:t xml:space="preserve"> </w:t>
      </w:r>
    </w:p>
    <w:p>
      <w:pPr>
        <w:pStyle w:val="41"/>
        <w:snapToGrid w:val="0"/>
        <w:spacing w:before="0" w:beforeAutospacing="0" w:after="0" w:afterAutospacing="0"/>
        <w:ind w:left="0" w:right="0" w:firstLine="640" w:firstLineChars="200"/>
        <w:rPr>
          <w:rFonts w:hint="default" w:ascii="Times New Roman" w:hAnsi="Times New Roman" w:eastAsia="方正仿宋_GBK" w:cs="宋体"/>
          <w:bCs/>
          <w:sz w:val="32"/>
          <w:szCs w:val="32"/>
          <w:shd w:val="clear" w:fill="FFFFFF"/>
          <w:lang w:val="en-US"/>
        </w:rPr>
      </w:pPr>
      <w:r>
        <w:rPr>
          <w:rStyle w:val="54"/>
          <w:rFonts w:eastAsia="方正仿宋_GBK"/>
          <w:b w:val="0"/>
          <w:bCs/>
          <w:sz w:val="32"/>
          <w:szCs w:val="32"/>
          <w:shd w:val="clear" w:fill="FFFFFF"/>
          <w:lang w:val="en-US"/>
        </w:rPr>
        <w:t>2.</w:t>
      </w:r>
      <w:r>
        <w:rPr>
          <w:rStyle w:val="54"/>
          <w:rFonts w:hint="eastAsia" w:ascii="Times New Roman" w:hAnsi="方正仿宋_GBK" w:eastAsia="方正仿宋_GBK" w:cs="方正仿宋_GBK"/>
          <w:b w:val="0"/>
          <w:bCs/>
          <w:sz w:val="32"/>
          <w:szCs w:val="32"/>
          <w:shd w:val="clear" w:fill="FFFFFF"/>
          <w:lang w:eastAsia="zh-CN"/>
        </w:rPr>
        <w:t>绩效自评报告或案例。</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shd w:val="clear" w:fill="FFFFFF"/>
          <w:lang w:val="en-US"/>
        </w:rPr>
      </w:pPr>
      <w:r>
        <w:rPr>
          <w:rStyle w:val="54"/>
          <w:rFonts w:hint="eastAsia" w:ascii="Times New Roman" w:hAnsi="方正仿宋_GBK" w:eastAsia="方正仿宋_GBK" w:cs="方正仿宋_GBK"/>
          <w:b w:val="0"/>
          <w:bCs w:val="0"/>
          <w:sz w:val="32"/>
          <w:szCs w:val="32"/>
          <w:shd w:val="clear" w:fill="FFFFFF"/>
          <w:lang w:eastAsia="zh-CN"/>
        </w:rPr>
        <w:t>我单位未委托第三方开展绩效自评。</w:t>
      </w:r>
    </w:p>
    <w:p>
      <w:pPr>
        <w:pStyle w:val="41"/>
        <w:snapToGrid w:val="0"/>
        <w:spacing w:before="0" w:beforeAutospacing="0" w:after="0" w:afterAutospacing="0"/>
        <w:ind w:left="0" w:right="0" w:firstLine="640" w:firstLineChars="200"/>
        <w:rPr>
          <w:rFonts w:hint="default" w:ascii="Times New Roman" w:hAnsi="Times New Roman" w:eastAsia="方正仿宋_GBK" w:cs="宋体"/>
          <w:bCs/>
          <w:sz w:val="32"/>
          <w:szCs w:val="32"/>
          <w:shd w:val="clear" w:fill="FFFFFF"/>
          <w:lang w:val="en-US"/>
        </w:rPr>
      </w:pPr>
      <w:r>
        <w:rPr>
          <w:rStyle w:val="54"/>
          <w:rFonts w:eastAsia="方正仿宋_GBK"/>
          <w:b w:val="0"/>
          <w:bCs/>
          <w:sz w:val="32"/>
          <w:szCs w:val="32"/>
          <w:shd w:val="clear" w:fill="FFFFFF"/>
          <w:lang w:val="en-US"/>
        </w:rPr>
        <w:t>3.</w:t>
      </w:r>
      <w:r>
        <w:rPr>
          <w:rStyle w:val="54"/>
          <w:rFonts w:hint="eastAsia" w:ascii="Times New Roman" w:hAnsi="方正仿宋_GBK" w:eastAsia="方正仿宋_GBK" w:cs="方正仿宋_GBK"/>
          <w:b w:val="0"/>
          <w:bCs/>
          <w:sz w:val="32"/>
          <w:szCs w:val="32"/>
          <w:shd w:val="clear" w:fill="FFFFFF"/>
          <w:lang w:eastAsia="zh-CN"/>
        </w:rPr>
        <w:t>关于绩效自评结果的说明。</w:t>
      </w:r>
    </w:p>
    <w:p>
      <w:pPr>
        <w:snapToGrid w:val="0"/>
        <w:spacing w:after="0" w:afterAutospacing="0"/>
        <w:ind w:left="0" w:firstLine="640" w:firstLineChars="200"/>
        <w:rPr>
          <w:rFonts w:hint="default" w:ascii="Times New Roman" w:hAnsi="Times New Roman" w:eastAsia="方正仿宋_GBK" w:cs="宋体"/>
          <w:sz w:val="32"/>
          <w:szCs w:val="32"/>
          <w:lang w:val="en-US"/>
        </w:rPr>
      </w:pPr>
      <w:r>
        <w:rPr>
          <w:rFonts w:hint="eastAsia" w:ascii="Times New Roman" w:hAnsi="Times New Roman" w:eastAsia="方正仿宋_GBK" w:cs="方正仿宋_GBK"/>
          <w:sz w:val="32"/>
          <w:szCs w:val="32"/>
          <w:lang w:eastAsia="zh-CN"/>
        </w:rPr>
        <w:t>我单位绩效自评均已完成年度绩效目标。</w:t>
      </w:r>
    </w:p>
    <w:p>
      <w:pPr>
        <w:snapToGrid w:val="0"/>
        <w:spacing w:after="0" w:afterAutospacing="0"/>
        <w:ind w:left="0" w:firstLine="640" w:firstLineChars="200"/>
        <w:rPr>
          <w:rFonts w:hint="default" w:ascii="Times New Roman" w:hAnsi="Times New Roman" w:eastAsia="方正仿宋_GBK" w:cs="宋体"/>
          <w:bCs/>
          <w:sz w:val="32"/>
          <w:szCs w:val="32"/>
          <w:shd w:val="clear" w:fill="FFFFFF"/>
          <w:lang w:val="en-US"/>
        </w:rPr>
      </w:pPr>
      <w:r>
        <w:rPr>
          <w:rStyle w:val="54"/>
          <w:rFonts w:hint="eastAsia" w:ascii="Times New Roman" w:hAnsi="方正仿宋_GBK" w:eastAsia="方正仿宋_GBK" w:cs="方正仿宋_GBK"/>
          <w:b w:val="0"/>
          <w:bCs/>
          <w:sz w:val="32"/>
          <w:szCs w:val="32"/>
          <w:shd w:val="clear" w:fill="FFFFFF"/>
          <w:lang w:eastAsia="zh-CN"/>
        </w:rPr>
        <w:t>重点绩效评价结果。</w:t>
      </w:r>
    </w:p>
    <w:p>
      <w:pPr>
        <w:pStyle w:val="41"/>
        <w:snapToGrid w:val="0"/>
        <w:spacing w:before="0" w:beforeAutospacing="0" w:after="0" w:afterAutospacing="0"/>
        <w:ind w:left="0" w:right="0" w:firstLine="640" w:firstLineChars="200"/>
        <w:rPr>
          <w:rFonts w:hint="default" w:ascii="Times New Roman" w:hAnsi="Times New Roman" w:eastAsia="方正仿宋_GBK" w:cs="宋体"/>
          <w:bCs/>
          <w:sz w:val="32"/>
          <w:szCs w:val="32"/>
          <w:shd w:val="clear" w:fill="FFFFFF"/>
          <w:lang w:val="en-US"/>
        </w:rPr>
      </w:pPr>
      <w:r>
        <w:rPr>
          <w:rStyle w:val="54"/>
          <w:rFonts w:hint="eastAsia" w:ascii="Times New Roman" w:hAnsi="方正仿宋_GBK" w:eastAsia="方正仿宋_GBK" w:cs="方正仿宋_GBK"/>
          <w:b w:val="0"/>
          <w:bCs w:val="0"/>
          <w:sz w:val="32"/>
          <w:szCs w:val="32"/>
          <w:shd w:val="clear" w:fill="FFFFFF"/>
          <w:lang w:eastAsia="zh-CN"/>
        </w:rPr>
        <w:t>我单位未委托第三方开展重点绩效评价。</w:t>
      </w:r>
    </w:p>
    <w:p>
      <w:pPr>
        <w:pStyle w:val="41"/>
        <w:snapToGrid w:val="0"/>
        <w:spacing w:before="0" w:beforeAutospacing="0" w:after="0" w:afterAutospacing="0"/>
        <w:ind w:left="0" w:right="0" w:firstLine="640" w:firstLineChars="200"/>
        <w:rPr>
          <w:rFonts w:hint="eastAsia" w:ascii="方正黑体_GBK" w:hAnsi="Times New Roman" w:eastAsia="方正黑体_GBK" w:cs="方正黑体_GBK"/>
          <w:sz w:val="32"/>
          <w:szCs w:val="32"/>
          <w:lang w:val="en-US"/>
        </w:rPr>
      </w:pPr>
      <w:r>
        <w:rPr>
          <w:rStyle w:val="54"/>
          <w:rFonts w:hint="eastAsia" w:ascii="方正黑体_GBK" w:hAnsi="方正黑体_GBK" w:eastAsia="方正黑体_GBK" w:cs="方正黑体_GBK"/>
          <w:b w:val="0"/>
          <w:bCs/>
          <w:sz w:val="32"/>
          <w:szCs w:val="32"/>
          <w:shd w:val="clear" w:fill="FFFFFF"/>
          <w:lang w:eastAsia="zh-CN"/>
        </w:rPr>
        <w:t>六、专业名词解释</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（一）财政拨款收入</w:t>
      </w:r>
      <w:r>
        <w:rPr>
          <w:rFonts w:hint="eastAsia" w:ascii="Times New Roman" w:hAnsi="Times New Roman" w:eastAsia="方正仿宋_GBK" w:cs="方正仿宋_GBK"/>
          <w:sz w:val="32"/>
          <w:szCs w:val="32"/>
          <w:shd w:val="clear" w:fill="FFFFFF"/>
          <w:lang w:eastAsia="zh-CN"/>
        </w:rPr>
        <w:t>：指本年度从本级财政部门取得的财政拨款，包括一般公共预算财政拨款和政府性基金预算财政拨款。</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（二）事业收入</w:t>
      </w:r>
      <w:r>
        <w:rPr>
          <w:rFonts w:hint="eastAsia" w:ascii="Times New Roman" w:hAnsi="Times New Roman" w:eastAsia="方正仿宋_GBK" w:cs="方正仿宋_GBK"/>
          <w:sz w:val="32"/>
          <w:szCs w:val="32"/>
          <w:shd w:val="clear" w:fill="FFFFFF"/>
          <w:lang w:eastAsia="zh-CN"/>
        </w:rPr>
        <w:t>：指事业单位开展专业业务活动及其辅助活动取得的现金流入；事业单位收到的财政专户实际核拨的教育收费等资金在此反映。</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（三）经营收入</w:t>
      </w:r>
      <w:r>
        <w:rPr>
          <w:rFonts w:hint="eastAsia" w:ascii="Times New Roman" w:hAnsi="Times New Roman" w:eastAsia="方正仿宋_GBK" w:cs="方正仿宋_GBK"/>
          <w:sz w:val="32"/>
          <w:szCs w:val="32"/>
          <w:shd w:val="clear" w:fill="FFFFFF"/>
          <w:lang w:eastAsia="zh-CN"/>
        </w:rPr>
        <w:t>：指事业单位在专业业务活动及其辅助活动之外开展非独立核算经营活动取得的现金流入。</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（四）其他收入</w:t>
      </w:r>
      <w:r>
        <w:rPr>
          <w:rFonts w:hint="eastAsia" w:ascii="Times New Roman" w:hAnsi="Times New Roman" w:eastAsia="方正仿宋_GBK" w:cs="方正仿宋_GBK"/>
          <w:sz w:val="32"/>
          <w:szCs w:val="32"/>
          <w:shd w:val="clear" w:fill="FFFFFF"/>
          <w:lang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（五）使用非财政拨款结余</w:t>
      </w:r>
      <w:r>
        <w:rPr>
          <w:rFonts w:hint="eastAsia" w:ascii="Times New Roman" w:hAnsi="Times New Roman" w:eastAsia="方正仿宋_GBK" w:cs="方正仿宋_GBK"/>
          <w:sz w:val="32"/>
          <w:szCs w:val="32"/>
          <w:shd w:val="clear" w:fill="FFFFFF"/>
          <w:lang w:eastAsia="zh-CN"/>
        </w:rPr>
        <w:t>：指单位在当年的“财政拨款收入”“事业收入”“经营收入”“其他收入”等不足以安排当年支出的情况下，使用以前年度积累的非财政拨款结余弥补本年度收支缺口的资金。</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（六）年初结转和结余</w:t>
      </w:r>
      <w:r>
        <w:rPr>
          <w:rFonts w:hint="eastAsia" w:ascii="Times New Roman" w:hAnsi="Times New Roman" w:eastAsia="方正仿宋_GBK" w:cs="方正仿宋_GBK"/>
          <w:sz w:val="32"/>
          <w:szCs w:val="32"/>
          <w:shd w:val="clear" w:fill="FFFFFF"/>
          <w:lang w:eastAsia="zh-CN"/>
        </w:rPr>
        <w:t>：指单位上年结转本年使用的基本支出结转、项目支出结转和结余、经营结余。</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（七）结余分配</w:t>
      </w:r>
      <w:r>
        <w:rPr>
          <w:rFonts w:hint="eastAsia" w:ascii="Times New Roman" w:hAnsi="Times New Roman" w:eastAsia="方正仿宋_GBK" w:cs="方正仿宋_GBK"/>
          <w:sz w:val="32"/>
          <w:szCs w:val="32"/>
          <w:shd w:val="clear" w:fill="FFFFFF"/>
          <w:lang w:eastAsia="zh-CN"/>
        </w:rPr>
        <w:t>：指单位按照国家有关规定，缴纳所得税、提取专用基金、转入非财政拨款结余等当年结余的分配情况。</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（八）年末结转和结余</w:t>
      </w:r>
      <w:r>
        <w:rPr>
          <w:rFonts w:hint="eastAsia" w:ascii="Times New Roman" w:hAnsi="Times New Roman" w:eastAsia="方正仿宋_GBK" w:cs="方正仿宋_GBK"/>
          <w:sz w:val="32"/>
          <w:szCs w:val="32"/>
          <w:shd w:val="clear" w:fill="FFFFFF"/>
          <w:lang w:eastAsia="zh-CN"/>
        </w:rPr>
        <w:t>：指单位结转下年的基本支出结转、项目支出结转和结余、经营结余。</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（九）基本支出</w:t>
      </w:r>
      <w:r>
        <w:rPr>
          <w:rFonts w:hint="eastAsia" w:ascii="Times New Roman" w:hAnsi="Times New Roman" w:eastAsia="方正仿宋_GBK" w:cs="方正仿宋_GBK"/>
          <w:sz w:val="32"/>
          <w:szCs w:val="32"/>
          <w:shd w:val="clear" w:fill="FFFFFF"/>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（十）项目支出</w:t>
      </w:r>
      <w:r>
        <w:rPr>
          <w:rFonts w:hint="eastAsia" w:ascii="Times New Roman" w:hAnsi="Times New Roman" w:eastAsia="方正仿宋_GBK" w:cs="方正仿宋_GBK"/>
          <w:sz w:val="32"/>
          <w:szCs w:val="32"/>
          <w:shd w:val="clear" w:fill="FFFFFF"/>
          <w:lang w:eastAsia="zh-CN"/>
        </w:rPr>
        <w:t>：指在基本支出之外为完成特定行政任务和事业发展目标所发生的支出。</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（十一）经营支出</w:t>
      </w:r>
      <w:r>
        <w:rPr>
          <w:rFonts w:hint="eastAsia" w:ascii="Times New Roman" w:hAnsi="Times New Roman" w:eastAsia="方正仿宋_GBK" w:cs="方正仿宋_GBK"/>
          <w:sz w:val="32"/>
          <w:szCs w:val="32"/>
          <w:shd w:val="clear" w:fill="FFFFFF"/>
          <w:lang w:eastAsia="zh-CN"/>
        </w:rPr>
        <w:t>：指事业单位在专业业务活动及其辅助活动之外开展非独立核算经营活动发生的支出。</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（十二）“三公”经费</w:t>
      </w:r>
      <w:r>
        <w:rPr>
          <w:rFonts w:hint="eastAsia" w:ascii="Times New Roman" w:hAnsi="Times New Roman" w:eastAsia="方正仿宋_GBK" w:cs="方正仿宋_GBK"/>
          <w:sz w:val="32"/>
          <w:szCs w:val="32"/>
          <w:shd w:val="clear" w:fill="FFFFFF"/>
          <w:lang w:eastAsia="zh-CN"/>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（十三）机关运行经费</w:t>
      </w:r>
      <w:r>
        <w:rPr>
          <w:rFonts w:hint="eastAsia" w:ascii="Times New Roman" w:hAnsi="Times New Roman" w:eastAsia="方正仿宋_GBK" w:cs="方正仿宋_GBK"/>
          <w:sz w:val="32"/>
          <w:szCs w:val="32"/>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（十四）工资福利支出（支出经济分类科目类级）</w:t>
      </w:r>
      <w:r>
        <w:rPr>
          <w:rFonts w:hint="eastAsia" w:ascii="Times New Roman" w:hAnsi="Times New Roman" w:eastAsia="方正仿宋_GBK" w:cs="方正仿宋_GBK"/>
          <w:sz w:val="32"/>
          <w:szCs w:val="32"/>
          <w:shd w:val="clear" w:fill="FFFFFF"/>
          <w:lang w:eastAsia="zh-CN"/>
        </w:rPr>
        <w:t>：反映单位开支的在职职工和编制外长期聘用人员的各类劳动报酬，以及为上述人员缴纳的各项社会保险费等。</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（十五）商品和服务支出（支出经济分类科目类级）</w:t>
      </w:r>
      <w:r>
        <w:rPr>
          <w:rFonts w:hint="eastAsia" w:ascii="Times New Roman" w:hAnsi="Times New Roman" w:eastAsia="方正仿宋_GBK" w:cs="方正仿宋_GBK"/>
          <w:sz w:val="32"/>
          <w:szCs w:val="32"/>
          <w:shd w:val="clear" w:fill="FFFFFF"/>
          <w:lang w:eastAsia="zh-CN"/>
        </w:rPr>
        <w:t>：反映单位购买商品和服务的支出（不包括用于购置固定资产的支出、战略性和应急储备支出）。</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（十六）对个人和家庭的补助（支出经济分类科目类级）</w:t>
      </w:r>
      <w:r>
        <w:rPr>
          <w:rFonts w:hint="eastAsia" w:ascii="Times New Roman" w:hAnsi="Times New Roman" w:eastAsia="方正仿宋_GBK" w:cs="方正仿宋_GBK"/>
          <w:sz w:val="32"/>
          <w:szCs w:val="32"/>
          <w:shd w:val="clear" w:fill="FFFFFF"/>
          <w:lang w:eastAsia="zh-CN"/>
        </w:rPr>
        <w:t>：反映用于对个人和家庭的补助支出。</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Style w:val="54"/>
          <w:rFonts w:hint="eastAsia" w:ascii="Times New Roman" w:hAnsi="方正仿宋_GBK" w:eastAsia="方正仿宋_GBK" w:cs="方正仿宋_GBK"/>
          <w:b w:val="0"/>
          <w:bCs/>
          <w:sz w:val="32"/>
          <w:szCs w:val="32"/>
          <w:shd w:val="clear" w:fill="FFFFFF"/>
          <w:lang w:eastAsia="zh-CN"/>
        </w:rPr>
        <w:t>（十七）其他资本性支出（支出经济分类科目类级）</w:t>
      </w:r>
      <w:r>
        <w:rPr>
          <w:rFonts w:hint="eastAsia" w:ascii="Times New Roman" w:hAnsi="Times New Roman" w:eastAsia="方正仿宋_GBK" w:cs="方正仿宋_GBK"/>
          <w:sz w:val="32"/>
          <w:szCs w:val="32"/>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41"/>
        <w:snapToGrid w:val="0"/>
        <w:spacing w:before="0" w:beforeAutospacing="0" w:after="0" w:afterAutospacing="0"/>
        <w:ind w:left="0" w:right="0" w:firstLine="640" w:firstLineChars="200"/>
        <w:rPr>
          <w:rFonts w:hint="eastAsia" w:ascii="方正黑体_GBK" w:hAnsi="Times New Roman" w:eastAsia="方正黑体_GBK" w:cs="方正黑体_GBK"/>
          <w:sz w:val="32"/>
          <w:szCs w:val="32"/>
          <w:lang w:val="en-US"/>
        </w:rPr>
      </w:pPr>
      <w:r>
        <w:rPr>
          <w:rStyle w:val="54"/>
          <w:rFonts w:hint="eastAsia" w:ascii="方正黑体_GBK" w:hAnsi="方正黑体_GBK" w:eastAsia="方正黑体_GBK" w:cs="方正黑体_GBK"/>
          <w:b w:val="0"/>
          <w:bCs/>
          <w:sz w:val="32"/>
          <w:szCs w:val="32"/>
          <w:shd w:val="clear" w:fill="FFFFFF"/>
          <w:lang w:eastAsia="zh-CN"/>
        </w:rPr>
        <w:t>七、决算公开联系方式及信息反馈渠道</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Fonts w:hint="eastAsia" w:ascii="Times New Roman" w:hAnsi="Times New Roman" w:eastAsia="方正仿宋_GBK" w:cs="方正仿宋_GBK"/>
          <w:sz w:val="32"/>
          <w:szCs w:val="32"/>
          <w:shd w:val="clear" w:fill="FFFFFF"/>
          <w:lang w:eastAsia="zh-CN"/>
        </w:rPr>
        <w:t>本单位决算公开信息反馈和联系方式：</w:t>
      </w:r>
    </w:p>
    <w:p>
      <w:pPr>
        <w:pStyle w:val="41"/>
        <w:snapToGrid w:val="0"/>
        <w:spacing w:before="0" w:beforeAutospacing="0" w:after="0" w:afterAutospacing="0"/>
        <w:ind w:left="0" w:right="0" w:firstLine="640" w:firstLineChars="200"/>
        <w:rPr>
          <w:rFonts w:hint="default" w:ascii="Times New Roman" w:hAnsi="Times New Roman" w:eastAsia="方正仿宋_GBK" w:cs="宋体"/>
          <w:sz w:val="32"/>
          <w:szCs w:val="32"/>
          <w:lang w:val="en-US"/>
        </w:rPr>
      </w:pPr>
      <w:r>
        <w:rPr>
          <w:rFonts w:hint="eastAsia" w:ascii="Times New Roman" w:hAnsi="Times New Roman" w:eastAsia="方正仿宋_GBK" w:cs="方正仿宋_GBK"/>
          <w:sz w:val="32"/>
          <w:szCs w:val="32"/>
          <w:shd w:val="clear" w:fill="FFFFFF"/>
          <w:lang w:eastAsia="zh-CN"/>
        </w:rPr>
        <w:t>朱子绿：</w:t>
      </w:r>
      <w:r>
        <w:rPr>
          <w:rFonts w:hint="default" w:ascii="Times New Roman" w:hAnsi="Times New Roman" w:eastAsia="方正仿宋_GBK" w:cs="宋体"/>
          <w:sz w:val="32"/>
          <w:szCs w:val="32"/>
          <w:shd w:val="clear" w:fill="FFFFFF"/>
          <w:lang w:val="en-US"/>
        </w:rPr>
        <w:t>13609466147</w:t>
      </w:r>
    </w:p>
    <w:p>
      <w:pPr>
        <w:pStyle w:val="41"/>
        <w:spacing w:before="0" w:beforeAutospacing="0"/>
        <w:ind w:left="0" w:firstLine="480" w:firstLineChars="200"/>
        <w:rPr>
          <w:lang w:val="en-US"/>
        </w:rPr>
      </w:pPr>
      <w:r>
        <w:rPr>
          <w:lang w:val="en-US"/>
        </w:rPr>
        <w:t xml:space="preserve"> </w:t>
      </w:r>
    </w:p>
    <w:sectPr>
      <w:footerReference r:id="rId5" w:type="default"/>
      <w:pgSz w:w="11915" w:h="16851"/>
      <w:pgMar w:top="2098" w:right="1531" w:bottom="1985" w:left="1531"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zI5ZDJlZGNkNzg3Mzc3ZmRiNDdjMWNjNDJlMDAifQ=="/>
  </w:docVars>
  <w:rsids>
    <w:rsidRoot w:val="00000000"/>
    <w:rsid w:val="27A74A88"/>
    <w:rsid w:val="5EF55D68"/>
    <w:rsid w:val="7F191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99"/>
    <w:pPr>
      <w:keepNext w:val="0"/>
      <w:keepLines w:val="0"/>
      <w:widowControl/>
      <w:suppressLineNumbers w:val="0"/>
      <w:spacing w:before="0" w:beforeAutospacing="0" w:after="0" w:afterAutospacing="1" w:line="570" w:lineRule="exact"/>
      <w:ind w:left="0" w:right="0"/>
      <w:jc w:val="both"/>
    </w:pPr>
    <w:rPr>
      <w:rFonts w:hint="eastAsia" w:ascii="宋体" w:hAnsi="宋体" w:eastAsia="宋体" w:cs="宋体"/>
      <w:kern w:val="0"/>
      <w:sz w:val="24"/>
      <w:szCs w:val="24"/>
      <w:lang w:val="en-US" w:eastAsia="zh-CN" w:bidi="ar"/>
    </w:rPr>
  </w:style>
  <w:style w:type="paragraph" w:styleId="2">
    <w:name w:val="heading 1"/>
    <w:basedOn w:val="1"/>
    <w:next w:val="1"/>
    <w:link w:val="32"/>
    <w:qFormat/>
    <w:uiPriority w:val="0"/>
    <w:pPr>
      <w:keepNext w:val="0"/>
      <w:keepLines w:val="0"/>
      <w:widowControl/>
      <w:suppressLineNumbers w:val="0"/>
      <w:spacing w:before="0" w:beforeAutospacing="1" w:after="0" w:afterAutospacing="1" w:line="570" w:lineRule="exact"/>
      <w:ind w:left="0" w:right="0"/>
      <w:jc w:val="both"/>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33"/>
    <w:qFormat/>
    <w:uiPriority w:val="0"/>
    <w:pPr>
      <w:keepNext w:val="0"/>
      <w:keepLines w:val="0"/>
      <w:widowControl/>
      <w:suppressLineNumbers w:val="0"/>
      <w:spacing w:before="0" w:beforeAutospacing="1" w:after="0" w:afterAutospacing="1" w:line="570" w:lineRule="exact"/>
      <w:ind w:left="0" w:right="0"/>
      <w:jc w:val="both"/>
      <w:outlineLvl w:val="1"/>
    </w:pPr>
    <w:rPr>
      <w:rFonts w:hint="eastAsia" w:ascii="宋体" w:hAnsi="宋体" w:eastAsia="宋体" w:cs="宋体"/>
      <w:b/>
      <w:bCs/>
      <w:kern w:val="0"/>
      <w:sz w:val="36"/>
      <w:szCs w:val="36"/>
      <w:lang w:val="en-US" w:eastAsia="zh-CN" w:bidi="ar"/>
    </w:rPr>
  </w:style>
  <w:style w:type="paragraph" w:styleId="4">
    <w:name w:val="heading 3"/>
    <w:basedOn w:val="1"/>
    <w:next w:val="1"/>
    <w:link w:val="34"/>
    <w:qFormat/>
    <w:uiPriority w:val="0"/>
    <w:pPr>
      <w:keepNext w:val="0"/>
      <w:keepLines w:val="0"/>
      <w:widowControl/>
      <w:suppressLineNumbers w:val="0"/>
      <w:spacing w:before="0" w:beforeAutospacing="1" w:after="0" w:afterAutospacing="1" w:line="570" w:lineRule="exact"/>
      <w:ind w:left="0" w:right="0"/>
      <w:jc w:val="both"/>
      <w:outlineLvl w:val="2"/>
    </w:pPr>
    <w:rPr>
      <w:rFonts w:hint="eastAsia" w:ascii="宋体" w:hAnsi="宋体" w:eastAsia="宋体" w:cs="宋体"/>
      <w:b/>
      <w:bCs/>
      <w:kern w:val="0"/>
      <w:sz w:val="27"/>
      <w:szCs w:val="27"/>
      <w:lang w:val="en-US" w:eastAsia="zh-CN" w:bidi="ar"/>
    </w:rPr>
  </w:style>
  <w:style w:type="paragraph" w:styleId="5">
    <w:name w:val="heading 4"/>
    <w:basedOn w:val="1"/>
    <w:next w:val="1"/>
    <w:link w:val="36"/>
    <w:qFormat/>
    <w:uiPriority w:val="0"/>
    <w:pPr>
      <w:keepNext w:val="0"/>
      <w:keepLines w:val="0"/>
      <w:widowControl/>
      <w:suppressLineNumbers w:val="0"/>
      <w:spacing w:before="0" w:beforeAutospacing="1" w:after="0" w:afterAutospacing="1" w:line="570" w:lineRule="exact"/>
      <w:ind w:left="0" w:right="0"/>
      <w:jc w:val="both"/>
      <w:outlineLvl w:val="3"/>
    </w:pPr>
    <w:rPr>
      <w:rFonts w:hint="eastAsia" w:ascii="宋体" w:hAnsi="宋体" w:eastAsia="宋体" w:cs="宋体"/>
      <w:b/>
      <w:bCs/>
      <w:kern w:val="0"/>
      <w:sz w:val="24"/>
      <w:szCs w:val="24"/>
      <w:lang w:val="en-US" w:eastAsia="zh-CN" w:bidi="ar"/>
    </w:rPr>
  </w:style>
  <w:style w:type="paragraph" w:styleId="6">
    <w:name w:val="heading 5"/>
    <w:basedOn w:val="1"/>
    <w:next w:val="1"/>
    <w:link w:val="22"/>
    <w:qFormat/>
    <w:uiPriority w:val="0"/>
    <w:pPr>
      <w:keepNext w:val="0"/>
      <w:keepLines w:val="0"/>
      <w:widowControl/>
      <w:suppressLineNumbers w:val="0"/>
      <w:spacing w:before="0" w:beforeAutospacing="1" w:after="0" w:afterAutospacing="1" w:line="570" w:lineRule="exact"/>
      <w:ind w:left="0" w:right="0"/>
      <w:jc w:val="both"/>
      <w:outlineLvl w:val="4"/>
    </w:pPr>
    <w:rPr>
      <w:rFonts w:hint="eastAsia" w:ascii="宋体" w:hAnsi="宋体" w:eastAsia="宋体" w:cs="宋体"/>
      <w:b/>
      <w:bCs/>
      <w:kern w:val="0"/>
      <w:sz w:val="20"/>
      <w:szCs w:val="20"/>
      <w:lang w:val="en-US" w:eastAsia="zh-CN" w:bidi="ar"/>
    </w:rPr>
  </w:style>
  <w:style w:type="paragraph" w:styleId="7">
    <w:name w:val="heading 6"/>
    <w:basedOn w:val="1"/>
    <w:next w:val="1"/>
    <w:link w:val="37"/>
    <w:qFormat/>
    <w:uiPriority w:val="0"/>
    <w:pPr>
      <w:keepNext w:val="0"/>
      <w:keepLines w:val="0"/>
      <w:widowControl/>
      <w:suppressLineNumbers w:val="0"/>
      <w:spacing w:before="0" w:beforeAutospacing="1" w:after="0" w:afterAutospacing="1" w:line="570" w:lineRule="exact"/>
      <w:ind w:left="0" w:right="0"/>
      <w:jc w:val="both"/>
      <w:outlineLvl w:val="5"/>
    </w:pPr>
    <w:rPr>
      <w:rFonts w:hint="eastAsia" w:ascii="宋体" w:hAnsi="宋体" w:eastAsia="宋体" w:cs="宋体"/>
      <w:b/>
      <w:bCs/>
      <w:kern w:val="0"/>
      <w:sz w:val="15"/>
      <w:szCs w:val="15"/>
      <w:lang w:val="en-US" w:eastAsia="zh-CN" w:bidi="ar"/>
    </w:rPr>
  </w:style>
  <w:style w:type="character" w:default="1" w:styleId="13">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39"/>
    <w:qFormat/>
    <w:uiPriority w:val="0"/>
    <w:pPr>
      <w:keepNext w:val="0"/>
      <w:keepLines w:val="0"/>
      <w:widowControl/>
      <w:suppressLineNumbers w:val="0"/>
      <w:snapToGrid w:val="0"/>
      <w:spacing w:before="0" w:beforeAutospacing="0" w:after="0" w:afterAutospacing="1" w:line="570" w:lineRule="exact"/>
      <w:ind w:left="0" w:right="0"/>
      <w:jc w:val="both"/>
    </w:pPr>
    <w:rPr>
      <w:rFonts w:hint="eastAsia" w:ascii="宋体" w:hAnsi="宋体" w:eastAsia="宋体" w:cs="宋体"/>
      <w:kern w:val="0"/>
      <w:sz w:val="18"/>
      <w:szCs w:val="18"/>
      <w:lang w:val="en-US" w:eastAsia="zh-CN" w:bidi="ar"/>
    </w:rPr>
  </w:style>
  <w:style w:type="paragraph" w:styleId="9">
    <w:name w:val="header"/>
    <w:basedOn w:val="1"/>
    <w:link w:val="20"/>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1" w:line="570" w:lineRule="exact"/>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link w:val="28"/>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1" w:line="570" w:lineRule="exact"/>
      <w:ind w:left="0" w:right="0"/>
      <w:jc w:val="both"/>
    </w:pPr>
    <w:rPr>
      <w:rFonts w:hint="eastAsia" w:ascii="宋体" w:hAnsi="宋体" w:eastAsia="宋体" w:cs="宋体"/>
      <w:kern w:val="0"/>
      <w:sz w:val="24"/>
      <w:szCs w:val="24"/>
      <w:lang w:val="en-US" w:eastAsia="zh-CN" w:bidi="ar"/>
    </w:rPr>
  </w:style>
  <w:style w:type="paragraph" w:styleId="11">
    <w:name w:val="Normal (Web)"/>
    <w:basedOn w:val="1"/>
    <w:uiPriority w:val="0"/>
    <w:pPr>
      <w:keepNext w:val="0"/>
      <w:keepLines w:val="0"/>
      <w:widowControl/>
      <w:suppressLineNumbers w:val="0"/>
      <w:spacing w:before="0" w:beforeAutospacing="1" w:after="0" w:afterAutospacing="1" w:line="570" w:lineRule="exact"/>
      <w:ind w:left="0" w:right="0"/>
      <w:jc w:val="both"/>
    </w:pPr>
    <w:rPr>
      <w:rFonts w:hint="eastAsia" w:ascii="宋体" w:hAnsi="宋体" w:eastAsia="宋体" w:cs="宋体"/>
      <w:kern w:val="0"/>
      <w:sz w:val="24"/>
      <w:szCs w:val="24"/>
      <w:lang w:val="en-US" w:eastAsia="zh-CN" w:bidi="ar"/>
    </w:rPr>
  </w:style>
  <w:style w:type="character" w:customStyle="1" w:styleId="14">
    <w:name w:val="34"/>
    <w:basedOn w:val="13"/>
    <w:uiPriority w:val="0"/>
    <w:rPr>
      <w:rFonts w:hint="default" w:ascii="等线 Light" w:hAnsi="等线 Light" w:eastAsia="等线 Light" w:cs="Times New Roman"/>
      <w:b/>
      <w:bCs/>
      <w:sz w:val="24"/>
      <w:szCs w:val="24"/>
    </w:rPr>
  </w:style>
  <w:style w:type="character" w:customStyle="1" w:styleId="15">
    <w:name w:val="10"/>
    <w:basedOn w:val="13"/>
    <w:uiPriority w:val="0"/>
    <w:rPr>
      <w:rFonts w:hint="default" w:ascii="Times New Roman" w:hAnsi="Times New Roman" w:cs="Times New Roman"/>
    </w:rPr>
  </w:style>
  <w:style w:type="character" w:customStyle="1" w:styleId="16">
    <w:name w:val="35"/>
    <w:basedOn w:val="13"/>
    <w:uiPriority w:val="0"/>
    <w:rPr>
      <w:rFonts w:hint="default" w:ascii="Times New Roman" w:hAnsi="Times New Roman" w:cs="Times New Roman"/>
      <w:color w:val="0000FF"/>
      <w:u w:val="single"/>
    </w:rPr>
  </w:style>
  <w:style w:type="paragraph" w:customStyle="1" w:styleId="17">
    <w:name w:val="普通(网站) Char Char"/>
    <w:basedOn w:val="1"/>
    <w:uiPriority w:val="0"/>
    <w:pPr>
      <w:keepNext w:val="0"/>
      <w:keepLines w:val="0"/>
      <w:widowControl/>
      <w:suppressLineNumbers w:val="0"/>
      <w:spacing w:before="0" w:beforeAutospacing="1" w:after="0" w:afterAutospacing="1" w:line="570" w:lineRule="exact"/>
      <w:ind w:left="0" w:right="0"/>
      <w:jc w:val="both"/>
    </w:pPr>
    <w:rPr>
      <w:rFonts w:hint="eastAsia" w:ascii="宋体" w:hAnsi="宋体" w:eastAsia="宋体" w:cs="宋体"/>
      <w:kern w:val="0"/>
      <w:sz w:val="24"/>
      <w:szCs w:val="24"/>
      <w:lang w:val="en-US" w:eastAsia="zh-CN" w:bidi="ar"/>
    </w:rPr>
  </w:style>
  <w:style w:type="character" w:customStyle="1" w:styleId="18">
    <w:name w:val="39"/>
    <w:basedOn w:val="13"/>
    <w:uiPriority w:val="0"/>
    <w:rPr>
      <w:rFonts w:hint="default" w:ascii="Times New Roman" w:hAnsi="Times New Roman" w:cs="Times New Roman"/>
      <w:color w:val="0000FF"/>
      <w:u w:val="single"/>
    </w:rPr>
  </w:style>
  <w:style w:type="character" w:customStyle="1" w:styleId="19">
    <w:name w:val="26"/>
    <w:basedOn w:val="13"/>
    <w:uiPriority w:val="0"/>
    <w:rPr>
      <w:rFonts w:hint="eastAsia" w:ascii="宋体" w:hAnsi="宋体" w:eastAsia="宋体" w:cs="宋体"/>
      <w:b/>
      <w:bCs/>
      <w:sz w:val="28"/>
      <w:szCs w:val="28"/>
    </w:rPr>
  </w:style>
  <w:style w:type="character" w:customStyle="1" w:styleId="20">
    <w:name w:val="页眉 Char"/>
    <w:basedOn w:val="13"/>
    <w:link w:val="9"/>
    <w:locked/>
    <w:uiPriority w:val="0"/>
    <w:rPr>
      <w:rFonts w:hint="eastAsia" w:ascii="宋体" w:hAnsi="宋体" w:eastAsia="宋体" w:cs="宋体"/>
      <w:sz w:val="18"/>
      <w:szCs w:val="18"/>
    </w:rPr>
  </w:style>
  <w:style w:type="character" w:customStyle="1" w:styleId="21">
    <w:name w:val="47"/>
    <w:basedOn w:val="13"/>
    <w:uiPriority w:val="0"/>
    <w:rPr>
      <w:rFonts w:hint="default" w:ascii="Times New Roman" w:hAnsi="Times New Roman" w:cs="Times New Roman"/>
    </w:rPr>
  </w:style>
  <w:style w:type="character" w:customStyle="1" w:styleId="22">
    <w:name w:val="标题 5 Char"/>
    <w:basedOn w:val="13"/>
    <w:link w:val="6"/>
    <w:locked/>
    <w:uiPriority w:val="0"/>
    <w:rPr>
      <w:rFonts w:hint="eastAsia" w:ascii="宋体" w:hAnsi="宋体" w:eastAsia="宋体" w:cs="宋体"/>
      <w:b/>
      <w:bCs/>
      <w:sz w:val="28"/>
      <w:szCs w:val="28"/>
    </w:rPr>
  </w:style>
  <w:style w:type="paragraph" w:customStyle="1" w:styleId="23">
    <w:name w:val="HTML 预设格式 Char Char"/>
    <w:basedOn w:val="1"/>
    <w:uiPriority w:val="0"/>
    <w:pPr>
      <w:keepNext w:val="0"/>
      <w:keepLines w:val="0"/>
      <w:widowControl/>
      <w:suppressLineNumbers w:val="0"/>
      <w:spacing w:before="0" w:beforeAutospacing="0" w:after="0" w:afterAutospacing="1" w:line="570" w:lineRule="exact"/>
      <w:ind w:left="0" w:right="0"/>
      <w:jc w:val="both"/>
    </w:pPr>
    <w:rPr>
      <w:rFonts w:hint="eastAsia" w:ascii="宋体" w:hAnsi="宋体" w:eastAsia="宋体" w:cs="宋体"/>
      <w:kern w:val="0"/>
      <w:sz w:val="24"/>
      <w:szCs w:val="24"/>
      <w:lang w:val="en-US" w:eastAsia="zh-CN" w:bidi="ar"/>
    </w:rPr>
  </w:style>
  <w:style w:type="character" w:customStyle="1" w:styleId="24">
    <w:name w:val="44"/>
    <w:basedOn w:val="13"/>
    <w:uiPriority w:val="0"/>
    <w:rPr>
      <w:rFonts w:hint="default" w:ascii="Times New Roman" w:hAnsi="Times New Roman" w:cs="Times New Roman"/>
    </w:rPr>
  </w:style>
  <w:style w:type="character" w:customStyle="1" w:styleId="25">
    <w:name w:val="49"/>
    <w:basedOn w:val="13"/>
    <w:uiPriority w:val="0"/>
    <w:rPr>
      <w:rFonts w:hint="default" w:ascii="Times New Roman" w:hAnsi="Times New Roman" w:cs="Times New Roman"/>
      <w:color w:val="0000FF"/>
      <w:u w:val="single"/>
    </w:rPr>
  </w:style>
  <w:style w:type="character" w:customStyle="1" w:styleId="26">
    <w:name w:val="16"/>
    <w:basedOn w:val="13"/>
    <w:uiPriority w:val="0"/>
    <w:rPr>
      <w:rFonts w:hint="default" w:ascii="Times New Roman" w:hAnsi="Times New Roman" w:cs="Times New Roman"/>
    </w:rPr>
  </w:style>
  <w:style w:type="character" w:customStyle="1" w:styleId="27">
    <w:name w:val="23"/>
    <w:basedOn w:val="13"/>
    <w:uiPriority w:val="0"/>
    <w:rPr>
      <w:rFonts w:hint="eastAsia" w:ascii="宋体" w:hAnsi="宋体" w:eastAsia="宋体" w:cs="宋体"/>
      <w:b/>
      <w:bCs/>
      <w:kern w:val="44"/>
      <w:sz w:val="44"/>
      <w:szCs w:val="44"/>
    </w:rPr>
  </w:style>
  <w:style w:type="character" w:customStyle="1" w:styleId="28">
    <w:name w:val="HTML 预设格式 Char"/>
    <w:basedOn w:val="13"/>
    <w:link w:val="10"/>
    <w:locked/>
    <w:uiPriority w:val="0"/>
    <w:rPr>
      <w:rFonts w:ascii="Courier New" w:hAnsi="Courier New" w:eastAsia="宋体" w:cs="Courier New"/>
    </w:rPr>
  </w:style>
  <w:style w:type="character" w:customStyle="1" w:styleId="29">
    <w:name w:val="19"/>
    <w:basedOn w:val="13"/>
    <w:uiPriority w:val="0"/>
    <w:rPr>
      <w:rFonts w:hint="default" w:ascii="Calibri" w:hAnsi="Calibri" w:cs="Calibri"/>
    </w:rPr>
  </w:style>
  <w:style w:type="paragraph" w:customStyle="1" w:styleId="30">
    <w:name w:val="msonormal1"/>
    <w:basedOn w:val="1"/>
    <w:uiPriority w:val="0"/>
    <w:pPr>
      <w:keepNext w:val="0"/>
      <w:keepLines w:val="0"/>
      <w:widowControl/>
      <w:suppressLineNumbers w:val="0"/>
      <w:spacing w:before="0" w:beforeAutospacing="1" w:after="0" w:afterAutospacing="1" w:line="570" w:lineRule="exact"/>
      <w:ind w:left="0" w:right="0"/>
      <w:jc w:val="both"/>
    </w:pPr>
    <w:rPr>
      <w:rFonts w:hint="eastAsia" w:ascii="宋体" w:hAnsi="宋体" w:eastAsia="宋体" w:cs="宋体"/>
      <w:kern w:val="0"/>
      <w:sz w:val="24"/>
      <w:szCs w:val="24"/>
      <w:lang w:val="en-US" w:eastAsia="zh-CN" w:bidi="ar"/>
    </w:rPr>
  </w:style>
  <w:style w:type="character" w:customStyle="1" w:styleId="31">
    <w:name w:val="37"/>
    <w:basedOn w:val="13"/>
    <w:uiPriority w:val="0"/>
    <w:rPr>
      <w:rFonts w:hint="default" w:ascii="Times New Roman" w:hAnsi="Times New Roman" w:cs="Times New Roman"/>
    </w:rPr>
  </w:style>
  <w:style w:type="character" w:customStyle="1" w:styleId="32">
    <w:name w:val="标题 1 Char"/>
    <w:basedOn w:val="13"/>
    <w:link w:val="2"/>
    <w:locked/>
    <w:uiPriority w:val="0"/>
    <w:rPr>
      <w:rFonts w:hint="eastAsia" w:ascii="宋体" w:hAnsi="宋体" w:eastAsia="宋体" w:cs="宋体"/>
      <w:b/>
      <w:bCs/>
      <w:kern w:val="44"/>
      <w:sz w:val="44"/>
      <w:szCs w:val="44"/>
    </w:rPr>
  </w:style>
  <w:style w:type="character" w:customStyle="1" w:styleId="33">
    <w:name w:val="标题 2 Char"/>
    <w:basedOn w:val="13"/>
    <w:link w:val="3"/>
    <w:locked/>
    <w:uiPriority w:val="0"/>
    <w:rPr>
      <w:rFonts w:ascii="Cambria" w:hAnsi="Cambria" w:eastAsia="宋体" w:cs="Times New Roman"/>
      <w:b/>
      <w:bCs/>
      <w:sz w:val="32"/>
      <w:szCs w:val="32"/>
    </w:rPr>
  </w:style>
  <w:style w:type="character" w:customStyle="1" w:styleId="34">
    <w:name w:val="标题 3 Char"/>
    <w:basedOn w:val="13"/>
    <w:link w:val="4"/>
    <w:locked/>
    <w:uiPriority w:val="0"/>
    <w:rPr>
      <w:rFonts w:hint="eastAsia" w:ascii="宋体" w:hAnsi="宋体" w:eastAsia="宋体" w:cs="宋体"/>
      <w:b/>
      <w:bCs/>
      <w:sz w:val="32"/>
      <w:szCs w:val="32"/>
    </w:rPr>
  </w:style>
  <w:style w:type="character" w:customStyle="1" w:styleId="35">
    <w:name w:val="46"/>
    <w:basedOn w:val="13"/>
    <w:uiPriority w:val="0"/>
    <w:rPr>
      <w:rFonts w:hint="default" w:ascii="Times New Roman" w:hAnsi="Times New Roman" w:cs="Times New Roman"/>
    </w:rPr>
  </w:style>
  <w:style w:type="character" w:customStyle="1" w:styleId="36">
    <w:name w:val="标题 4 Char"/>
    <w:basedOn w:val="13"/>
    <w:link w:val="5"/>
    <w:locked/>
    <w:uiPriority w:val="0"/>
    <w:rPr>
      <w:rFonts w:hint="default" w:ascii="Cambria" w:hAnsi="Cambria" w:eastAsia="宋体" w:cs="Times New Roman"/>
      <w:b/>
      <w:bCs/>
      <w:sz w:val="28"/>
      <w:szCs w:val="28"/>
    </w:rPr>
  </w:style>
  <w:style w:type="character" w:customStyle="1" w:styleId="37">
    <w:name w:val="标题 6 Char"/>
    <w:basedOn w:val="13"/>
    <w:link w:val="7"/>
    <w:locked/>
    <w:uiPriority w:val="0"/>
    <w:rPr>
      <w:rFonts w:hint="default" w:ascii="Cambria" w:hAnsi="Cambria" w:eastAsia="宋体" w:cs="Times New Roman"/>
      <w:b/>
      <w:bCs/>
      <w:sz w:val="24"/>
      <w:szCs w:val="24"/>
    </w:rPr>
  </w:style>
  <w:style w:type="character" w:customStyle="1" w:styleId="38">
    <w:name w:val="36"/>
    <w:basedOn w:val="13"/>
    <w:uiPriority w:val="0"/>
    <w:rPr>
      <w:rFonts w:hint="default" w:ascii="Times New Roman" w:hAnsi="Times New Roman" w:cs="Times New Roman"/>
      <w:color w:val="0000FF"/>
      <w:u w:val="single"/>
    </w:rPr>
  </w:style>
  <w:style w:type="character" w:customStyle="1" w:styleId="39">
    <w:name w:val="页脚 Char"/>
    <w:basedOn w:val="13"/>
    <w:link w:val="8"/>
    <w:locked/>
    <w:uiPriority w:val="0"/>
    <w:rPr>
      <w:rFonts w:hint="eastAsia" w:ascii="宋体" w:hAnsi="宋体" w:eastAsia="宋体" w:cs="宋体"/>
      <w:sz w:val="18"/>
      <w:szCs w:val="18"/>
    </w:rPr>
  </w:style>
  <w:style w:type="character" w:customStyle="1" w:styleId="40">
    <w:name w:val="38"/>
    <w:basedOn w:val="13"/>
    <w:uiPriority w:val="0"/>
    <w:rPr>
      <w:rFonts w:hint="default" w:ascii="Times New Roman" w:hAnsi="Times New Roman" w:cs="Times New Roman"/>
    </w:rPr>
  </w:style>
  <w:style w:type="paragraph" w:customStyle="1" w:styleId="41">
    <w:name w:val="普通(网站) Char"/>
    <w:basedOn w:val="1"/>
    <w:uiPriority w:val="0"/>
    <w:pPr>
      <w:keepNext w:val="0"/>
      <w:keepLines w:val="0"/>
      <w:widowControl/>
      <w:suppressLineNumbers w:val="0"/>
      <w:spacing w:before="0" w:beforeAutospacing="1" w:after="0" w:afterAutospacing="1" w:line="570" w:lineRule="exact"/>
      <w:ind w:left="0" w:right="0"/>
      <w:jc w:val="both"/>
    </w:pPr>
    <w:rPr>
      <w:rFonts w:hint="eastAsia" w:ascii="宋体" w:hAnsi="宋体" w:eastAsia="宋体" w:cs="宋体"/>
      <w:kern w:val="0"/>
      <w:sz w:val="24"/>
      <w:szCs w:val="24"/>
      <w:lang w:val="en-US" w:eastAsia="zh-CN" w:bidi="ar"/>
    </w:rPr>
  </w:style>
  <w:style w:type="character" w:customStyle="1" w:styleId="42">
    <w:name w:val="20"/>
    <w:basedOn w:val="13"/>
    <w:uiPriority w:val="0"/>
    <w:rPr>
      <w:rFonts w:hint="eastAsia" w:ascii="宋体" w:hAnsi="宋体" w:eastAsia="宋体" w:cs="宋体"/>
      <w:b/>
      <w:bCs/>
      <w:sz w:val="28"/>
      <w:szCs w:val="28"/>
    </w:rPr>
  </w:style>
  <w:style w:type="character" w:customStyle="1" w:styleId="43">
    <w:name w:val="33"/>
    <w:basedOn w:val="13"/>
    <w:uiPriority w:val="0"/>
    <w:rPr>
      <w:rFonts w:hint="default" w:ascii="等线 Light" w:hAnsi="等线 Light" w:eastAsia="等线 Light" w:cs="Times New Roman"/>
      <w:b/>
      <w:bCs/>
      <w:sz w:val="24"/>
      <w:szCs w:val="24"/>
    </w:rPr>
  </w:style>
  <w:style w:type="character" w:customStyle="1" w:styleId="44">
    <w:name w:val="30"/>
    <w:basedOn w:val="13"/>
    <w:uiPriority w:val="0"/>
    <w:rPr>
      <w:rFonts w:hint="default" w:ascii="等线 Light" w:hAnsi="等线 Light" w:eastAsia="等线 Light" w:cs="Times New Roman"/>
      <w:b/>
      <w:bCs/>
      <w:sz w:val="32"/>
      <w:szCs w:val="32"/>
    </w:rPr>
  </w:style>
  <w:style w:type="character" w:customStyle="1" w:styleId="45">
    <w:name w:val="32"/>
    <w:basedOn w:val="13"/>
    <w:uiPriority w:val="0"/>
    <w:rPr>
      <w:rFonts w:hint="eastAsia" w:ascii="宋体" w:hAnsi="宋体" w:eastAsia="宋体" w:cs="宋体"/>
      <w:b/>
      <w:bCs/>
      <w:sz w:val="32"/>
      <w:szCs w:val="32"/>
    </w:rPr>
  </w:style>
  <w:style w:type="character" w:customStyle="1" w:styleId="46">
    <w:name w:val="15"/>
    <w:basedOn w:val="13"/>
    <w:uiPriority w:val="0"/>
    <w:rPr>
      <w:rFonts w:hint="default" w:ascii="Times New Roman" w:hAnsi="Times New Roman" w:cs="Times New Roman"/>
    </w:rPr>
  </w:style>
  <w:style w:type="paragraph" w:customStyle="1" w:styleId="47">
    <w:name w:val="msonormal2"/>
    <w:basedOn w:val="1"/>
    <w:uiPriority w:val="0"/>
    <w:pPr>
      <w:keepNext w:val="0"/>
      <w:keepLines w:val="0"/>
      <w:widowControl/>
      <w:suppressLineNumbers w:val="0"/>
      <w:spacing w:before="0" w:beforeAutospacing="1" w:after="0" w:afterAutospacing="1" w:line="570" w:lineRule="exact"/>
      <w:ind w:left="0" w:right="0"/>
      <w:jc w:val="both"/>
    </w:pPr>
    <w:rPr>
      <w:rFonts w:hint="eastAsia" w:ascii="宋体" w:hAnsi="宋体" w:eastAsia="宋体" w:cs="宋体"/>
      <w:kern w:val="0"/>
      <w:sz w:val="24"/>
      <w:szCs w:val="24"/>
      <w:lang w:val="en-US" w:eastAsia="zh-CN" w:bidi="ar"/>
    </w:rPr>
  </w:style>
  <w:style w:type="character" w:customStyle="1" w:styleId="48">
    <w:name w:val="18"/>
    <w:basedOn w:val="13"/>
    <w:uiPriority w:val="0"/>
    <w:rPr>
      <w:rFonts w:hint="default" w:ascii="等线 Light" w:hAnsi="等线 Light" w:eastAsia="等线 Light" w:cs="Times New Roman"/>
      <w:b/>
      <w:bCs/>
      <w:sz w:val="28"/>
      <w:szCs w:val="28"/>
    </w:rPr>
  </w:style>
  <w:style w:type="character" w:customStyle="1" w:styleId="49">
    <w:name w:val="42"/>
    <w:basedOn w:val="13"/>
    <w:uiPriority w:val="0"/>
    <w:rPr>
      <w:rFonts w:hint="default" w:ascii="Times New Roman" w:hAnsi="Times New Roman" w:cs="Times New Roman"/>
    </w:rPr>
  </w:style>
  <w:style w:type="paragraph" w:customStyle="1" w:styleId="50">
    <w:name w:val="普通(网站) Char Char Char"/>
    <w:basedOn w:val="1"/>
    <w:uiPriority w:val="0"/>
    <w:pPr>
      <w:keepNext w:val="0"/>
      <w:keepLines w:val="0"/>
      <w:widowControl/>
      <w:suppressLineNumbers w:val="0"/>
      <w:spacing w:before="0" w:beforeAutospacing="1" w:after="0" w:afterAutospacing="1" w:line="570" w:lineRule="exact"/>
      <w:ind w:left="0" w:right="0"/>
      <w:jc w:val="both"/>
    </w:pPr>
    <w:rPr>
      <w:rFonts w:hint="eastAsia" w:ascii="宋体" w:hAnsi="宋体" w:eastAsia="宋体" w:cs="宋体"/>
      <w:kern w:val="0"/>
      <w:sz w:val="24"/>
      <w:szCs w:val="24"/>
      <w:lang w:val="en-US" w:eastAsia="zh-CN" w:bidi="ar"/>
    </w:rPr>
  </w:style>
  <w:style w:type="paragraph" w:customStyle="1" w:styleId="51">
    <w:name w:val="HTML 预设格式 Char1"/>
    <w:basedOn w:val="1"/>
    <w:uiPriority w:val="0"/>
    <w:pPr>
      <w:keepNext w:val="0"/>
      <w:keepLines w:val="0"/>
      <w:widowControl/>
      <w:suppressLineNumbers w:val="0"/>
      <w:spacing w:before="0" w:beforeAutospacing="0" w:after="0" w:afterAutospacing="1" w:line="570" w:lineRule="exact"/>
      <w:ind w:left="0" w:right="0"/>
      <w:jc w:val="both"/>
    </w:pPr>
    <w:rPr>
      <w:rFonts w:hint="eastAsia" w:ascii="宋体" w:hAnsi="宋体" w:eastAsia="宋体" w:cs="宋体"/>
      <w:kern w:val="0"/>
      <w:sz w:val="24"/>
      <w:szCs w:val="24"/>
      <w:lang w:val="en-US" w:eastAsia="zh-CN" w:bidi="ar"/>
    </w:rPr>
  </w:style>
  <w:style w:type="paragraph" w:customStyle="1" w:styleId="52">
    <w:name w:val="pre Char"/>
    <w:basedOn w:val="1"/>
    <w:uiPriority w:val="0"/>
    <w:pPr>
      <w:keepNext w:val="0"/>
      <w:keepLines w:val="0"/>
      <w:widowControl/>
      <w:suppressLineNumbers w:val="0"/>
      <w:spacing w:before="0" w:beforeAutospacing="0" w:after="0" w:afterAutospacing="1" w:line="570" w:lineRule="exact"/>
      <w:ind w:left="0" w:right="0"/>
      <w:jc w:val="both"/>
    </w:pPr>
    <w:rPr>
      <w:rFonts w:hint="eastAsia" w:ascii="宋体" w:hAnsi="宋体" w:eastAsia="宋体" w:cs="宋体"/>
      <w:kern w:val="0"/>
      <w:sz w:val="24"/>
      <w:szCs w:val="24"/>
      <w:lang w:val="en-US" w:eastAsia="zh-CN" w:bidi="ar"/>
    </w:rPr>
  </w:style>
  <w:style w:type="character" w:customStyle="1" w:styleId="53">
    <w:name w:val="17"/>
    <w:basedOn w:val="13"/>
    <w:uiPriority w:val="0"/>
    <w:rPr>
      <w:rFonts w:hint="default" w:ascii="等线 Light" w:hAnsi="等线 Light" w:eastAsia="等线 Light" w:cs="Times New Roman"/>
      <w:b/>
      <w:bCs/>
      <w:sz w:val="32"/>
      <w:szCs w:val="32"/>
    </w:rPr>
  </w:style>
  <w:style w:type="character" w:customStyle="1" w:styleId="54">
    <w:name w:val="25"/>
    <w:basedOn w:val="13"/>
    <w:uiPriority w:val="0"/>
    <w:rPr>
      <w:rFonts w:hint="default" w:ascii="Times New Roman" w:hAnsi="Times New Roman" w:cs="Times New Roman"/>
      <w:b/>
      <w:bCs/>
    </w:rPr>
  </w:style>
  <w:style w:type="character" w:customStyle="1" w:styleId="55">
    <w:name w:val="21"/>
    <w:basedOn w:val="13"/>
    <w:uiPriority w:val="0"/>
    <w:rPr>
      <w:rFonts w:hint="default" w:ascii="Times New Roman" w:hAnsi="Times New Roman" w:cs="Times New Roman"/>
    </w:rPr>
  </w:style>
  <w:style w:type="character" w:customStyle="1" w:styleId="56">
    <w:name w:val="22"/>
    <w:basedOn w:val="13"/>
    <w:uiPriority w:val="0"/>
    <w:rPr>
      <w:rFonts w:hint="default" w:ascii="等线 Light" w:hAnsi="等线 Light" w:eastAsia="等线 Light" w:cs="Times New Roman"/>
      <w:b/>
      <w:bCs/>
      <w:sz w:val="28"/>
      <w:szCs w:val="28"/>
    </w:rPr>
  </w:style>
  <w:style w:type="character" w:customStyle="1" w:styleId="57">
    <w:name w:val="28"/>
    <w:basedOn w:val="13"/>
    <w:uiPriority w:val="0"/>
    <w:rPr>
      <w:rFonts w:hint="default" w:ascii="Times New Roman" w:hAnsi="Times New Roman" w:cs="Times New Roman"/>
      <w:color w:val="0000FF"/>
      <w:u w:val="single"/>
    </w:rPr>
  </w:style>
  <w:style w:type="character" w:customStyle="1" w:styleId="58">
    <w:name w:val="24"/>
    <w:basedOn w:val="13"/>
    <w:uiPriority w:val="0"/>
    <w:rPr>
      <w:rFonts w:hint="default" w:ascii="Times New Roman" w:hAnsi="Times New Roman" w:cs="Times New Roman"/>
    </w:rPr>
  </w:style>
  <w:style w:type="character" w:customStyle="1" w:styleId="59">
    <w:name w:val="27"/>
    <w:basedOn w:val="13"/>
    <w:uiPriority w:val="0"/>
    <w:rPr>
      <w:rFonts w:hint="default" w:ascii="Times New Roman" w:hAnsi="Times New Roman" w:cs="Times New Roman"/>
    </w:rPr>
  </w:style>
  <w:style w:type="character" w:customStyle="1" w:styleId="60">
    <w:name w:val="29"/>
    <w:basedOn w:val="13"/>
    <w:uiPriority w:val="0"/>
    <w:rPr>
      <w:rFonts w:hint="eastAsia" w:ascii="宋体" w:hAnsi="宋体" w:eastAsia="宋体" w:cs="宋体"/>
      <w:b/>
      <w:bCs/>
      <w:kern w:val="44"/>
      <w:sz w:val="44"/>
      <w:szCs w:val="44"/>
    </w:rPr>
  </w:style>
  <w:style w:type="character" w:customStyle="1" w:styleId="61">
    <w:name w:val="31"/>
    <w:basedOn w:val="13"/>
    <w:uiPriority w:val="0"/>
    <w:rPr>
      <w:rFonts w:hint="eastAsia" w:ascii="宋体" w:hAnsi="宋体" w:eastAsia="宋体" w:cs="宋体"/>
      <w:b/>
      <w:bCs/>
      <w:sz w:val="32"/>
      <w:szCs w:val="32"/>
    </w:rPr>
  </w:style>
  <w:style w:type="character" w:customStyle="1" w:styleId="62">
    <w:name w:val="40"/>
    <w:basedOn w:val="13"/>
    <w:uiPriority w:val="0"/>
    <w:rPr>
      <w:rFonts w:hint="eastAsia" w:ascii="宋体" w:hAnsi="宋体" w:eastAsia="宋体" w:cs="宋体"/>
      <w:sz w:val="18"/>
      <w:szCs w:val="18"/>
    </w:rPr>
  </w:style>
  <w:style w:type="character" w:customStyle="1" w:styleId="63">
    <w:name w:val="41"/>
    <w:basedOn w:val="13"/>
    <w:uiPriority w:val="0"/>
    <w:rPr>
      <w:rFonts w:hint="default" w:ascii="Courier New" w:hAnsi="Courier New" w:eastAsia="宋体" w:cs="Courier New"/>
    </w:rPr>
  </w:style>
  <w:style w:type="character" w:customStyle="1" w:styleId="64">
    <w:name w:val="43"/>
    <w:basedOn w:val="13"/>
    <w:uiPriority w:val="0"/>
    <w:rPr>
      <w:rFonts w:hint="default" w:ascii="Times New Roman" w:hAnsi="Times New Roman" w:cs="Times New Roman"/>
    </w:rPr>
  </w:style>
  <w:style w:type="character" w:customStyle="1" w:styleId="65">
    <w:name w:val="45"/>
    <w:basedOn w:val="13"/>
    <w:uiPriority w:val="0"/>
    <w:rPr>
      <w:rFonts w:hint="default" w:ascii="Times New Roman" w:hAnsi="Times New Roman" w:cs="Times New Roman"/>
      <w:color w:val="800080"/>
      <w:u w:val="single"/>
    </w:rPr>
  </w:style>
  <w:style w:type="character" w:customStyle="1" w:styleId="66">
    <w:name w:val="48"/>
    <w:basedOn w:val="13"/>
    <w:uiPriority w:val="0"/>
    <w:rPr>
      <w:rFonts w:hint="default" w:ascii="Courier New" w:hAnsi="Courier New" w:eastAsia="宋体" w:cs="Courier New"/>
    </w:rPr>
  </w:style>
  <w:style w:type="character" w:customStyle="1" w:styleId="67">
    <w:name w:val="50"/>
    <w:basedOn w:val="13"/>
    <w:uiPriority w:val="0"/>
    <w:rPr>
      <w:rFonts w:hint="default" w:ascii="Times New Roman" w:hAnsi="Times New Roman" w:cs="Times New Roman"/>
      <w:sz w:val="18"/>
      <w:szCs w:val="18"/>
    </w:rPr>
  </w:style>
  <w:style w:type="character" w:customStyle="1" w:styleId="68">
    <w:name w:val="51"/>
    <w:basedOn w:val="1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1472</Words>
  <Characters>8394</Characters>
  <Lines>69</Lines>
  <Paragraphs>19</Paragraphs>
  <TotalTime>45188</TotalTime>
  <ScaleCrop>false</ScaleCrop>
  <LinksUpToDate>false</LinksUpToDate>
  <CharactersWithSpaces>9847</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2411-12-29T16:00:00Z</dcterms:created>
  <dc:creator>zzl</dc:creator>
  <cp:lastModifiedBy>172----9533</cp:lastModifiedBy>
  <dcterms:modified xsi:type="dcterms:W3CDTF">2023-09-14T01:39:29Z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7223216E864A432CA7FB21C11BC5900A_13</vt:lpwstr>
  </property>
</Properties>
</file>