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before="100" w:beforeAutospacing="1" w:after="100" w:afterAutospacing="1"/>
        <w:jc w:val="center"/>
        <w:rPr>
          <w:rFonts w:ascii="仿宋" w:hAnsi="仿宋" w:eastAsia="仿宋" w:cs="宋体"/>
          <w:color w:val="000000" w:themeColor="text1"/>
          <w:kern w:val="0"/>
          <w:sz w:val="48"/>
          <w:szCs w:val="48"/>
          <w14:textFill>
            <w14:solidFill>
              <w14:schemeClr w14:val="tx1"/>
            </w14:solidFill>
          </w14:textFill>
        </w:rPr>
      </w:pPr>
      <w:bookmarkStart w:id="1" w:name="_GoBack"/>
      <w:r>
        <w:rPr>
          <w:rFonts w:hint="eastAsia" w:ascii="仿宋" w:hAnsi="仿宋" w:eastAsia="仿宋" w:cs="宋体"/>
          <w:b/>
          <w:bCs/>
          <w:color w:val="000000" w:themeColor="text1"/>
          <w:kern w:val="0"/>
          <w:sz w:val="48"/>
          <w14:textFill>
            <w14:solidFill>
              <w14:schemeClr w14:val="tx1"/>
            </w14:solidFill>
          </w14:textFill>
        </w:rPr>
        <w:t>丰都县人民政府三合街道办事处</w:t>
      </w:r>
    </w:p>
    <w:p>
      <w:pPr>
        <w:widowControl/>
        <w:shd w:val="clear" w:color="auto" w:fill="FFFFFF"/>
        <w:snapToGrid w:val="0"/>
        <w:spacing w:before="100" w:beforeAutospacing="1" w:after="100" w:afterAutospacing="1"/>
        <w:jc w:val="center"/>
        <w:rPr>
          <w:rFonts w:ascii="仿宋" w:hAnsi="仿宋" w:eastAsia="仿宋" w:cs="宋体"/>
          <w:color w:val="000000" w:themeColor="text1"/>
          <w:kern w:val="0"/>
          <w:sz w:val="48"/>
          <w:szCs w:val="48"/>
          <w14:textFill>
            <w14:solidFill>
              <w14:schemeClr w14:val="tx1"/>
            </w14:solidFill>
          </w14:textFill>
        </w:rPr>
      </w:pPr>
      <w:r>
        <w:rPr>
          <w:rFonts w:hint="eastAsia" w:ascii="仿宋" w:hAnsi="仿宋" w:eastAsia="仿宋" w:cs="宋体"/>
          <w:b/>
          <w:bCs/>
          <w:color w:val="000000" w:themeColor="text1"/>
          <w:kern w:val="0"/>
          <w:sz w:val="48"/>
          <w14:textFill>
            <w14:solidFill>
              <w14:schemeClr w14:val="tx1"/>
            </w14:solidFill>
          </w14:textFill>
        </w:rPr>
        <w:t>2022年度部门决算情况说明</w:t>
      </w:r>
      <w:bookmarkEnd w:id="1"/>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一、部门基本情况</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（一）职能职责</w:t>
      </w:r>
    </w:p>
    <w:p>
      <w:pPr>
        <w:snapToGrid w:val="0"/>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街道党工委、办事处围绕贯彻落实党和政府各项方针政策，其主要职责是：贯彻执行党的路线方针政策和国家的法律法规、促进经济社会发展、加强社会管理和公共服务、维护社会和谐稳定，进一步强化城市管理和社区服务工作。</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（二）机构设置</w:t>
      </w:r>
    </w:p>
    <w:p>
      <w:pPr>
        <w:snapToGrid w:val="0"/>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街道办事处设置党政内设机构</w:t>
      </w:r>
      <w:r>
        <w:rPr>
          <w:rFonts w:hint="eastAsia" w:ascii="仿宋" w:hAnsi="仿宋" w:eastAsia="仿宋" w:cs="Times New Roman"/>
          <w:color w:val="000000" w:themeColor="text1"/>
          <w:sz w:val="28"/>
          <w:szCs w:val="28"/>
          <w14:textFill>
            <w14:solidFill>
              <w14:schemeClr w14:val="tx1"/>
            </w14:solidFill>
          </w14:textFill>
        </w:rPr>
        <w:t>11</w:t>
      </w:r>
      <w:r>
        <w:rPr>
          <w:rFonts w:hint="eastAsia" w:ascii="仿宋" w:hAnsi="仿宋" w:eastAsia="仿宋" w:cs="方正仿宋_GBK"/>
          <w:color w:val="000000" w:themeColor="text1"/>
          <w:sz w:val="28"/>
          <w:szCs w:val="28"/>
          <w14:textFill>
            <w14:solidFill>
              <w14:schemeClr w14:val="tx1"/>
            </w14:solidFill>
          </w14:textFill>
        </w:rPr>
        <w:t>个：党政办、党群工作办公室、人大工委办公室、经济发展办公室（挂统计办公室牌子）、民政和社区事务办公室（挂卫生健康办公室、物业管理办公室牌子）、综合行政执法办公室、平安建设办公室、规划建设管理环保办公室、财政办公室、应急管理办公室和城镇管理办公室。事业机构</w:t>
      </w:r>
      <w:r>
        <w:rPr>
          <w:rFonts w:hint="eastAsia" w:ascii="仿宋" w:hAnsi="仿宋" w:eastAsia="仿宋" w:cs="宋体"/>
          <w:color w:val="000000" w:themeColor="text1"/>
          <w:sz w:val="28"/>
          <w:szCs w:val="28"/>
          <w14:textFill>
            <w14:solidFill>
              <w14:schemeClr w14:val="tx1"/>
            </w14:solidFill>
          </w14:textFill>
        </w:rPr>
        <w:t>6</w:t>
      </w:r>
      <w:r>
        <w:rPr>
          <w:rFonts w:hint="eastAsia" w:ascii="仿宋" w:hAnsi="仿宋" w:eastAsia="仿宋" w:cs="方正仿宋_GBK"/>
          <w:color w:val="000000" w:themeColor="text1"/>
          <w:sz w:val="28"/>
          <w:szCs w:val="28"/>
          <w14:textFill>
            <w14:solidFill>
              <w14:schemeClr w14:val="tx1"/>
            </w14:solidFill>
          </w14:textFill>
        </w:rPr>
        <w:t>个：社区事务服务中心、农业服务中心、文化服务中心、劳动就业和社会保障服务所、退役军人服务站和综合行政执法大队。三合街道办事处核定编制人数共</w:t>
      </w:r>
      <w:r>
        <w:rPr>
          <w:rFonts w:hint="eastAsia" w:ascii="仿宋" w:hAnsi="仿宋" w:eastAsia="仿宋" w:cs="Times New Roman"/>
          <w:color w:val="000000" w:themeColor="text1"/>
          <w:sz w:val="28"/>
          <w:szCs w:val="28"/>
          <w14:textFill>
            <w14:solidFill>
              <w14:schemeClr w14:val="tx1"/>
            </w14:solidFill>
          </w14:textFill>
        </w:rPr>
        <w:t>126</w:t>
      </w:r>
      <w:r>
        <w:rPr>
          <w:rFonts w:hint="eastAsia" w:ascii="仿宋" w:hAnsi="仿宋" w:eastAsia="仿宋" w:cs="方正仿宋_GBK"/>
          <w:color w:val="000000" w:themeColor="text1"/>
          <w:sz w:val="28"/>
          <w:szCs w:val="28"/>
          <w14:textFill>
            <w14:solidFill>
              <w14:schemeClr w14:val="tx1"/>
            </w14:solidFill>
          </w14:textFill>
        </w:rPr>
        <w:t>名，其中机关行政编制</w:t>
      </w:r>
      <w:r>
        <w:rPr>
          <w:rFonts w:hint="eastAsia" w:ascii="仿宋" w:hAnsi="仿宋" w:eastAsia="仿宋" w:cs="Times New Roman"/>
          <w:color w:val="000000" w:themeColor="text1"/>
          <w:sz w:val="28"/>
          <w:szCs w:val="28"/>
          <w14:textFill>
            <w14:solidFill>
              <w14:schemeClr w14:val="tx1"/>
            </w14:solidFill>
          </w14:textFill>
        </w:rPr>
        <w:t>60</w:t>
      </w:r>
      <w:r>
        <w:rPr>
          <w:rFonts w:hint="eastAsia" w:ascii="仿宋" w:hAnsi="仿宋" w:eastAsia="仿宋" w:cs="方正仿宋_GBK"/>
          <w:color w:val="000000" w:themeColor="text1"/>
          <w:sz w:val="28"/>
          <w:szCs w:val="28"/>
          <w14:textFill>
            <w14:solidFill>
              <w14:schemeClr w14:val="tx1"/>
            </w14:solidFill>
          </w14:textFill>
        </w:rPr>
        <w:t>名、机关后勤服务人员事业编制</w:t>
      </w:r>
      <w:r>
        <w:rPr>
          <w:rFonts w:hint="eastAsia" w:ascii="仿宋" w:hAnsi="仿宋" w:eastAsia="仿宋" w:cs="Times New Roman"/>
          <w:color w:val="000000" w:themeColor="text1"/>
          <w:sz w:val="28"/>
          <w:szCs w:val="28"/>
          <w14:textFill>
            <w14:solidFill>
              <w14:schemeClr w14:val="tx1"/>
            </w14:solidFill>
          </w14:textFill>
        </w:rPr>
        <w:t>2</w:t>
      </w:r>
      <w:r>
        <w:rPr>
          <w:rFonts w:hint="eastAsia" w:ascii="仿宋" w:hAnsi="仿宋" w:eastAsia="仿宋" w:cs="方正仿宋_GBK"/>
          <w:color w:val="000000" w:themeColor="text1"/>
          <w:sz w:val="28"/>
          <w:szCs w:val="28"/>
          <w14:textFill>
            <w14:solidFill>
              <w14:schemeClr w14:val="tx1"/>
            </w14:solidFill>
          </w14:textFill>
        </w:rPr>
        <w:t>名、事业编制</w:t>
      </w:r>
      <w:r>
        <w:rPr>
          <w:rFonts w:hint="eastAsia" w:ascii="仿宋" w:hAnsi="仿宋" w:eastAsia="仿宋" w:cs="Times New Roman"/>
          <w:color w:val="000000" w:themeColor="text1"/>
          <w:sz w:val="28"/>
          <w:szCs w:val="28"/>
          <w14:textFill>
            <w14:solidFill>
              <w14:schemeClr w14:val="tx1"/>
            </w14:solidFill>
          </w14:textFill>
        </w:rPr>
        <w:t>64</w:t>
      </w:r>
      <w:r>
        <w:rPr>
          <w:rFonts w:hint="eastAsia" w:ascii="仿宋" w:hAnsi="仿宋" w:eastAsia="仿宋" w:cs="方正仿宋_GBK"/>
          <w:color w:val="000000" w:themeColor="text1"/>
          <w:sz w:val="28"/>
          <w:szCs w:val="28"/>
          <w14:textFill>
            <w14:solidFill>
              <w14:schemeClr w14:val="tx1"/>
            </w14:solidFill>
          </w14:textFill>
        </w:rPr>
        <w:t>名。现有在职人员合计</w:t>
      </w:r>
      <w:r>
        <w:rPr>
          <w:rFonts w:hint="eastAsia" w:ascii="仿宋" w:hAnsi="仿宋" w:eastAsia="仿宋" w:cs="Times New Roman"/>
          <w:color w:val="000000" w:themeColor="text1"/>
          <w:sz w:val="28"/>
          <w:szCs w:val="28"/>
          <w14:textFill>
            <w14:solidFill>
              <w14:schemeClr w14:val="tx1"/>
            </w14:solidFill>
          </w14:textFill>
        </w:rPr>
        <w:t>123</w:t>
      </w:r>
      <w:r>
        <w:rPr>
          <w:rFonts w:hint="eastAsia" w:ascii="仿宋" w:hAnsi="仿宋" w:eastAsia="仿宋" w:cs="方正仿宋_GBK"/>
          <w:color w:val="000000" w:themeColor="text1"/>
          <w:sz w:val="28"/>
          <w:szCs w:val="28"/>
          <w14:textFill>
            <w14:solidFill>
              <w14:schemeClr w14:val="tx1"/>
            </w14:solidFill>
          </w14:textFill>
        </w:rPr>
        <w:t>人，其中行政</w:t>
      </w:r>
      <w:r>
        <w:rPr>
          <w:rFonts w:hint="eastAsia" w:ascii="仿宋" w:hAnsi="仿宋" w:eastAsia="仿宋" w:cs="宋体"/>
          <w:color w:val="000000" w:themeColor="text1"/>
          <w:sz w:val="28"/>
          <w:szCs w:val="28"/>
          <w14:textFill>
            <w14:solidFill>
              <w14:schemeClr w14:val="tx1"/>
            </w14:solidFill>
          </w14:textFill>
        </w:rPr>
        <w:t>60</w:t>
      </w:r>
      <w:r>
        <w:rPr>
          <w:rFonts w:hint="eastAsia" w:ascii="仿宋" w:hAnsi="仿宋" w:eastAsia="仿宋" w:cs="方正仿宋_GBK"/>
          <w:color w:val="000000" w:themeColor="text1"/>
          <w:sz w:val="28"/>
          <w:szCs w:val="28"/>
          <w14:textFill>
            <w14:solidFill>
              <w14:schemeClr w14:val="tx1"/>
            </w14:solidFill>
          </w14:textFill>
        </w:rPr>
        <w:t>人（包括工勤</w:t>
      </w:r>
      <w:r>
        <w:rPr>
          <w:rFonts w:hint="eastAsia" w:ascii="仿宋" w:hAnsi="仿宋" w:eastAsia="仿宋" w:cs="Times New Roman"/>
          <w:color w:val="000000" w:themeColor="text1"/>
          <w:sz w:val="28"/>
          <w:szCs w:val="28"/>
          <w14:textFill>
            <w14:solidFill>
              <w14:schemeClr w14:val="tx1"/>
            </w14:solidFill>
          </w14:textFill>
        </w:rPr>
        <w:t>2</w:t>
      </w:r>
      <w:r>
        <w:rPr>
          <w:rFonts w:hint="eastAsia" w:ascii="仿宋" w:hAnsi="仿宋" w:eastAsia="仿宋" w:cs="方正仿宋_GBK"/>
          <w:color w:val="000000" w:themeColor="text1"/>
          <w:sz w:val="28"/>
          <w:szCs w:val="28"/>
          <w14:textFill>
            <w14:solidFill>
              <w14:schemeClr w14:val="tx1"/>
            </w14:solidFill>
          </w14:textFill>
        </w:rPr>
        <w:t>人），事业</w:t>
      </w:r>
      <w:r>
        <w:rPr>
          <w:rFonts w:hint="eastAsia" w:ascii="仿宋" w:hAnsi="仿宋" w:eastAsia="仿宋" w:cs="Times New Roman"/>
          <w:color w:val="000000" w:themeColor="text1"/>
          <w:sz w:val="28"/>
          <w:szCs w:val="28"/>
          <w14:textFill>
            <w14:solidFill>
              <w14:schemeClr w14:val="tx1"/>
            </w14:solidFill>
          </w14:textFill>
        </w:rPr>
        <w:t>63</w:t>
      </w:r>
      <w:r>
        <w:rPr>
          <w:rFonts w:hint="eastAsia" w:ascii="仿宋" w:hAnsi="仿宋" w:eastAsia="仿宋" w:cs="方正仿宋_GBK"/>
          <w:color w:val="000000" w:themeColor="text1"/>
          <w:sz w:val="28"/>
          <w:szCs w:val="28"/>
          <w14:textFill>
            <w14:solidFill>
              <w14:schemeClr w14:val="tx1"/>
            </w14:solidFill>
          </w14:textFill>
        </w:rPr>
        <w:t>人。</w:t>
      </w:r>
    </w:p>
    <w:p>
      <w:pPr>
        <w:widowControl/>
        <w:shd w:val="clear" w:color="auto" w:fill="FFFFFF"/>
        <w:snapToGrid w:val="0"/>
        <w:spacing w:before="100" w:beforeAutospacing="1" w:after="100" w:afterAutospacing="1"/>
        <w:jc w:val="left"/>
        <w:rPr>
          <w:rFonts w:ascii="宋体" w:hAnsi="宋体" w:eastAsia="宋体" w:cs="宋体"/>
          <w:b/>
          <w:bCs/>
          <w:kern w:val="0"/>
          <w:sz w:val="24"/>
          <w:szCs w:val="24"/>
        </w:rPr>
      </w:pPr>
      <w:r>
        <w:rPr>
          <w:rFonts w:hint="eastAsia" w:ascii="仿宋" w:hAnsi="仿宋" w:eastAsia="仿宋" w:cs="宋体"/>
          <w:b/>
          <w:bCs/>
          <w:color w:val="000000" w:themeColor="text1"/>
          <w:kern w:val="0"/>
          <w:sz w:val="28"/>
          <w14:textFill>
            <w14:solidFill>
              <w14:schemeClr w14:val="tx1"/>
            </w14:solidFill>
          </w14:textFill>
        </w:rPr>
        <w:t>（三）单位构成</w:t>
      </w:r>
    </w:p>
    <w:p>
      <w:pPr>
        <w:widowControl/>
        <w:shd w:val="clear" w:color="auto" w:fill="FFFFFF"/>
        <w:snapToGrid w:val="0"/>
        <w:spacing w:before="100" w:beforeAutospacing="1" w:after="100" w:afterAutospacing="1"/>
        <w:ind w:firstLine="280" w:firstLineChars="100"/>
        <w:jc w:val="left"/>
        <w:rPr>
          <w:rFonts w:ascii="宋体" w:hAnsi="宋体" w:eastAsia="宋体" w:cs="宋体"/>
          <w:color w:val="000000" w:themeColor="text1"/>
          <w:kern w:val="0"/>
          <w:sz w:val="24"/>
          <w:szCs w:val="24"/>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本单位无纳入</w:t>
      </w:r>
      <w:r>
        <w:rPr>
          <w:rFonts w:hint="eastAsia" w:ascii="仿宋" w:hAnsi="仿宋" w:eastAsia="仿宋" w:cs="宋体"/>
          <w:color w:val="000000" w:themeColor="text1"/>
          <w:sz w:val="28"/>
          <w:szCs w:val="28"/>
          <w14:textFill>
            <w14:solidFill>
              <w14:schemeClr w14:val="tx1"/>
            </w14:solidFill>
          </w14:textFill>
        </w:rPr>
        <w:t>2022</w:t>
      </w:r>
      <w:r>
        <w:rPr>
          <w:rFonts w:hint="eastAsia" w:ascii="仿宋" w:hAnsi="仿宋" w:eastAsia="仿宋" w:cs="方正仿宋_GBK"/>
          <w:color w:val="000000" w:themeColor="text1"/>
          <w:sz w:val="28"/>
          <w:szCs w:val="28"/>
          <w14:textFill>
            <w14:solidFill>
              <w14:schemeClr w14:val="tx1"/>
            </w14:solidFill>
          </w14:textFill>
        </w:rPr>
        <w:t>年度决算编制的二级预算单位。</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二、部门决算情况说明</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（一）收入支出决算总体情况说明</w:t>
      </w:r>
    </w:p>
    <w:p>
      <w:pPr>
        <w:widowControl/>
        <w:shd w:val="clear" w:color="auto" w:fill="FFFFFF"/>
        <w:snapToGrid w:val="0"/>
        <w:spacing w:before="100" w:beforeAutospacing="1" w:after="100" w:afterAutospacing="1"/>
        <w:ind w:firstLine="421" w:firstLineChars="150"/>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1.总体情况。</w:t>
      </w:r>
      <w:r>
        <w:rPr>
          <w:rFonts w:hint="eastAsia" w:ascii="仿宋" w:hAnsi="仿宋" w:eastAsia="仿宋" w:cs="宋体"/>
          <w:color w:val="000000" w:themeColor="text1"/>
          <w:kern w:val="0"/>
          <w:sz w:val="28"/>
          <w:szCs w:val="28"/>
          <w14:textFill>
            <w14:solidFill>
              <w14:schemeClr w14:val="tx1"/>
            </w14:solidFill>
          </w14:textFill>
        </w:rPr>
        <w:t>2022年度收入总计15,368.56万元，支出总计15,368.56万元。收支较上年决算数减少11,148.90万元,下降42%，主要原因是农村公路建设，老旧小区改造、便民服务中心，文化广场等</w:t>
      </w:r>
      <w:r>
        <w:rPr>
          <w:rFonts w:hint="eastAsia" w:ascii="仿宋" w:hAnsi="仿宋" w:eastAsia="仿宋" w:cs="方正仿宋_GBK"/>
          <w:color w:val="000000" w:themeColor="text1"/>
          <w:sz w:val="28"/>
          <w:szCs w:val="28"/>
          <w14:textFill>
            <w14:solidFill>
              <w14:schemeClr w14:val="tx1"/>
            </w14:solidFill>
          </w14:textFill>
        </w:rPr>
        <w:t>专项工作经费减少。</w:t>
      </w:r>
    </w:p>
    <w:p>
      <w:pPr>
        <w:widowControl/>
        <w:shd w:val="clear" w:color="auto" w:fill="FFFFFF"/>
        <w:snapToGrid w:val="0"/>
        <w:spacing w:before="100" w:beforeAutospacing="1" w:after="100" w:afterAutospacing="1"/>
        <w:ind w:firstLine="562" w:firstLineChars="200"/>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2.收入情况。</w:t>
      </w:r>
      <w:r>
        <w:rPr>
          <w:rFonts w:hint="eastAsia" w:ascii="仿宋" w:hAnsi="仿宋" w:eastAsia="仿宋" w:cs="宋体"/>
          <w:color w:val="000000" w:themeColor="text1"/>
          <w:kern w:val="0"/>
          <w:sz w:val="28"/>
          <w:szCs w:val="28"/>
          <w14:textFill>
            <w14:solidFill>
              <w14:schemeClr w14:val="tx1"/>
            </w14:solidFill>
          </w14:textFill>
        </w:rPr>
        <w:t>2022年度收入合计14,757.51万元，较上年决算数减少11,710.30万元，下降44.2%，</w:t>
      </w:r>
      <w:r>
        <w:rPr>
          <w:rFonts w:hint="eastAsia" w:ascii="仿宋" w:hAnsi="仿宋" w:eastAsia="仿宋" w:cs="宋体"/>
          <w:color w:val="000000" w:themeColor="text1"/>
          <w:kern w:val="0"/>
          <w:sz w:val="28"/>
          <w:szCs w:val="28"/>
          <w:lang w:eastAsia="zh-CN"/>
          <w14:textFill>
            <w14:solidFill>
              <w14:schemeClr w14:val="tx1"/>
            </w14:solidFill>
          </w14:textFill>
        </w:rPr>
        <w:t>主要原因是</w:t>
      </w:r>
      <w:r>
        <w:rPr>
          <w:rFonts w:hint="eastAsia" w:ascii="仿宋" w:hAnsi="仿宋" w:eastAsia="仿宋" w:cs="宋体"/>
          <w:color w:val="000000" w:themeColor="text1"/>
          <w:kern w:val="0"/>
          <w:sz w:val="28"/>
          <w:szCs w:val="28"/>
          <w14:textFill>
            <w14:solidFill>
              <w14:schemeClr w14:val="tx1"/>
            </w14:solidFill>
          </w14:textFill>
        </w:rPr>
        <w:t>农村公路建设，老旧小区改造、便民服务中心，文化广场等专项工作经费减少。其中：财政拨款收入14,757.51万元，占100%。此外，使用非财政拨款结余0.00万元，年初结转和结余611.05万元。</w:t>
      </w:r>
    </w:p>
    <w:p>
      <w:pPr>
        <w:widowControl/>
        <w:shd w:val="clear" w:color="auto" w:fill="FFFFFF"/>
        <w:snapToGrid w:val="0"/>
        <w:spacing w:before="100" w:beforeAutospacing="1" w:after="100" w:afterAutospacing="1"/>
        <w:ind w:firstLine="702" w:firstLineChars="250"/>
        <w:jc w:val="left"/>
        <w:rPr>
          <w:rFonts w:ascii="仿宋" w:hAnsi="仿宋" w:eastAsia="仿宋" w:cs="宋体"/>
          <w:color w:val="000000" w:themeColor="text1"/>
          <w:kern w:val="0"/>
          <w:sz w:val="28"/>
          <w:szCs w:val="28"/>
          <w:shd w:val="clear" w:color="auto" w:fill="FFFF00"/>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3.支出情况。</w:t>
      </w:r>
      <w:r>
        <w:rPr>
          <w:rFonts w:hint="eastAsia" w:ascii="仿宋" w:hAnsi="仿宋" w:eastAsia="仿宋" w:cs="宋体"/>
          <w:color w:val="000000" w:themeColor="text1"/>
          <w:kern w:val="0"/>
          <w:sz w:val="28"/>
          <w:szCs w:val="28"/>
          <w14:textFill>
            <w14:solidFill>
              <w14:schemeClr w14:val="tx1"/>
            </w14:solidFill>
          </w14:textFill>
        </w:rPr>
        <w:t>2022年度支出合计15,318.90万元，较上年决算减少11,148.91万元，下降42.1%，主要原因是农村公路建设，老旧小区改造、便民服务中心，文化广场等专项工作经费减少。其中：基本支出6,496.62万元，占42.4%；项目支出8,822.28万元，占57.6%。此外，结余分配0.00万元。</w:t>
      </w:r>
    </w:p>
    <w:p>
      <w:pPr>
        <w:widowControl/>
        <w:shd w:val="clear" w:color="auto" w:fill="FFFFFF"/>
        <w:snapToGrid w:val="0"/>
        <w:spacing w:before="100" w:beforeAutospacing="1" w:after="100" w:afterAutospacing="1"/>
        <w:ind w:firstLine="562"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4.结转结余情况。</w:t>
      </w:r>
      <w:r>
        <w:rPr>
          <w:rFonts w:hint="eastAsia" w:ascii="仿宋" w:hAnsi="仿宋" w:eastAsia="仿宋" w:cs="宋体"/>
          <w:color w:val="000000" w:themeColor="text1"/>
          <w:kern w:val="0"/>
          <w:sz w:val="28"/>
          <w:szCs w:val="28"/>
          <w14:textFill>
            <w14:solidFill>
              <w14:schemeClr w14:val="tx1"/>
            </w14:solidFill>
          </w14:textFill>
        </w:rPr>
        <w:t>2022年度年末结转和结余49.66万元</w:t>
      </w:r>
      <w:bookmarkStart w:id="0" w:name="_Hlk145494184"/>
      <w:r>
        <w:rPr>
          <w:rFonts w:hint="eastAsia" w:ascii="仿宋" w:hAnsi="仿宋" w:eastAsia="仿宋" w:cs="宋体"/>
          <w:color w:val="000000" w:themeColor="text1"/>
          <w:kern w:val="0"/>
          <w:sz w:val="28"/>
          <w:szCs w:val="28"/>
          <w14:textFill>
            <w14:solidFill>
              <w14:schemeClr w14:val="tx1"/>
            </w14:solidFill>
          </w14:textFill>
        </w:rPr>
        <w:t xml:space="preserve"> </w:t>
      </w:r>
      <w:bookmarkEnd w:id="0"/>
      <w:r>
        <w:rPr>
          <w:rFonts w:hint="eastAsia" w:ascii="仿宋" w:hAnsi="仿宋" w:eastAsia="仿宋" w:cs="宋体"/>
          <w:color w:val="000000" w:themeColor="text1"/>
          <w:kern w:val="0"/>
          <w:sz w:val="28"/>
          <w:szCs w:val="28"/>
          <w14:textFill>
            <w14:solidFill>
              <w14:schemeClr w14:val="tx1"/>
            </w14:solidFill>
          </w14:textFill>
        </w:rPr>
        <w:t>，与上年决算数持平。</w:t>
      </w:r>
    </w:p>
    <w:p>
      <w:pPr>
        <w:widowControl/>
        <w:shd w:val="clear" w:color="auto" w:fill="FFFFFF"/>
        <w:snapToGrid w:val="0"/>
        <w:spacing w:before="100" w:beforeAutospacing="1" w:after="100" w:afterAutospacing="1"/>
        <w:ind w:firstLine="562"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（二）财政拨款收入支出决算总体情况说明</w:t>
      </w:r>
    </w:p>
    <w:p>
      <w:pPr>
        <w:widowControl/>
        <w:shd w:val="clear" w:color="auto" w:fill="FFFFFF"/>
        <w:snapToGrid w:val="0"/>
        <w:spacing w:before="100" w:beforeAutospacing="1" w:after="100" w:afterAutospacing="1"/>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2022年度财政拨款收、支总计15,368.56万元。与2021年相比，财政拨款收、支总计各减少11,148.90万元，下降42%。主要原因是农村公路建设，老旧小区改造、便民服务中心，文化广场等专项工作经费减少。</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（三）一般公共预算财政拨款收入支出决算情况说明</w:t>
      </w:r>
    </w:p>
    <w:p>
      <w:pPr>
        <w:widowControl/>
        <w:shd w:val="clear" w:color="auto" w:fill="FFFFFF"/>
        <w:snapToGrid w:val="0"/>
        <w:spacing w:before="100" w:beforeAutospacing="1" w:after="100" w:afterAutospacing="1"/>
        <w:ind w:firstLine="421"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1.收入情况。</w:t>
      </w:r>
      <w:r>
        <w:rPr>
          <w:rFonts w:hint="eastAsia" w:ascii="仿宋" w:hAnsi="仿宋" w:eastAsia="仿宋" w:cs="宋体"/>
          <w:color w:val="000000" w:themeColor="text1"/>
          <w:kern w:val="0"/>
          <w:sz w:val="28"/>
          <w:szCs w:val="28"/>
          <w14:textFill>
            <w14:solidFill>
              <w14:schemeClr w14:val="tx1"/>
            </w14:solidFill>
          </w14:textFill>
        </w:rPr>
        <w:t>2022年度一般公共预算财政拨款收入12,452.21万元，较上年决算数减少1,663.11万元，下降11.8%。主要原因是基建项目减少。较年初预算数增加6,851.46万元，增长122.3%。主要原因是</w:t>
      </w:r>
      <w:r>
        <w:rPr>
          <w:rFonts w:hint="eastAsia" w:ascii="仿宋" w:hAnsi="仿宋" w:eastAsia="仿宋" w:cs="方正仿宋_GBK"/>
          <w:color w:val="000000" w:themeColor="text1"/>
          <w:sz w:val="28"/>
          <w:szCs w:val="28"/>
          <w14:textFill>
            <w14:solidFill>
              <w14:schemeClr w14:val="tx1"/>
            </w14:solidFill>
          </w14:textFill>
        </w:rPr>
        <w:t>年中人员变动、专项工作经费以及项目数量的增加。</w:t>
      </w:r>
      <w:r>
        <w:rPr>
          <w:rFonts w:hint="eastAsia" w:ascii="仿宋" w:hAnsi="仿宋" w:eastAsia="仿宋" w:cs="宋体"/>
          <w:color w:val="000000" w:themeColor="text1"/>
          <w:kern w:val="0"/>
          <w:sz w:val="28"/>
          <w:szCs w:val="28"/>
          <w14:textFill>
            <w14:solidFill>
              <w14:schemeClr w14:val="tx1"/>
            </w14:solidFill>
          </w14:textFill>
        </w:rPr>
        <w:t>此外，年初财政拨款结转和结余611.05万元。</w:t>
      </w:r>
    </w:p>
    <w:p>
      <w:pPr>
        <w:widowControl/>
        <w:shd w:val="clear" w:color="auto" w:fill="FFFFFF"/>
        <w:snapToGrid w:val="0"/>
        <w:spacing w:before="100" w:beforeAutospacing="1" w:after="100" w:afterAutospacing="1"/>
        <w:ind w:firstLine="562" w:firstLineChars="200"/>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2.支出情况。</w:t>
      </w:r>
      <w:r>
        <w:rPr>
          <w:rFonts w:hint="eastAsia" w:ascii="仿宋" w:hAnsi="仿宋" w:eastAsia="仿宋" w:cs="宋体"/>
          <w:color w:val="000000" w:themeColor="text1"/>
          <w:kern w:val="0"/>
          <w:sz w:val="28"/>
          <w:szCs w:val="28"/>
          <w14:textFill>
            <w14:solidFill>
              <w14:schemeClr w14:val="tx1"/>
            </w14:solidFill>
          </w14:textFill>
        </w:rPr>
        <w:t>2022年度一般公共预算财政拨款支出13,013.61万元，较上年决算数减少1,101.71万元，下降7.8%。主要原因是基建项目较少。较年初预算数增加7,412.86万元，增长132.4%。主要原因是</w:t>
      </w:r>
      <w:r>
        <w:rPr>
          <w:rFonts w:hint="eastAsia" w:ascii="仿宋" w:hAnsi="仿宋" w:eastAsia="仿宋" w:cs="方正仿宋_GBK"/>
          <w:color w:val="000000" w:themeColor="text1"/>
          <w:sz w:val="28"/>
          <w:szCs w:val="28"/>
          <w14:textFill>
            <w14:solidFill>
              <w14:schemeClr w14:val="tx1"/>
            </w14:solidFill>
          </w14:textFill>
        </w:rPr>
        <w:t>年中人员变动、专项工作经费以及项目数量的增加。</w:t>
      </w:r>
    </w:p>
    <w:p>
      <w:pPr>
        <w:widowControl/>
        <w:shd w:val="clear" w:color="auto" w:fill="FFFFFF"/>
        <w:snapToGrid w:val="0"/>
        <w:spacing w:before="100" w:beforeAutospacing="1" w:after="100" w:afterAutospacing="1"/>
        <w:ind w:firstLine="562"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3.结转结余情况。</w:t>
      </w:r>
      <w:r>
        <w:rPr>
          <w:rFonts w:hint="eastAsia" w:ascii="仿宋" w:hAnsi="仿宋" w:eastAsia="仿宋" w:cs="宋体"/>
          <w:color w:val="000000" w:themeColor="text1"/>
          <w:kern w:val="0"/>
          <w:sz w:val="28"/>
          <w:szCs w:val="28"/>
          <w14:textFill>
            <w14:solidFill>
              <w14:schemeClr w14:val="tx1"/>
            </w14:solidFill>
          </w14:textFill>
        </w:rPr>
        <w:t>2022年度年末一般公共预算财政拨款结转和结余49.66万元，与上年决算数持平。</w:t>
      </w:r>
    </w:p>
    <w:p>
      <w:pPr>
        <w:widowControl/>
        <w:shd w:val="clear" w:color="auto" w:fill="FFFFFF"/>
        <w:snapToGrid w:val="0"/>
        <w:spacing w:before="100" w:beforeAutospacing="1" w:after="100" w:afterAutospacing="1"/>
        <w:ind w:firstLine="562" w:firstLineChars="200"/>
        <w:jc w:val="left"/>
        <w:rPr>
          <w:rFonts w:ascii="仿宋" w:hAnsi="仿宋" w:eastAsia="仿宋" w:cs="宋体"/>
          <w:color w:val="000000" w:themeColor="text1"/>
          <w:kern w:val="0"/>
          <w:sz w:val="28"/>
          <w:szCs w:val="28"/>
          <w:shd w:val="clear" w:color="auto" w:fill="FFFF00"/>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4.比较情况。</w:t>
      </w:r>
      <w:r>
        <w:rPr>
          <w:rFonts w:hint="eastAsia" w:ascii="仿宋" w:hAnsi="仿宋" w:eastAsia="仿宋" w:cs="宋体"/>
          <w:color w:val="000000" w:themeColor="text1"/>
          <w:kern w:val="0"/>
          <w:sz w:val="28"/>
          <w:szCs w:val="28"/>
          <w14:textFill>
            <w14:solidFill>
              <w14:schemeClr w14:val="tx1"/>
            </w14:solidFill>
          </w14:textFill>
        </w:rPr>
        <w:t>本部门2022年度一般公共预算财政拨款支出主要用于以下几个方面：</w:t>
      </w:r>
    </w:p>
    <w:p>
      <w:pPr>
        <w:widowControl/>
        <w:shd w:val="clear" w:color="auto" w:fill="FFFFFF"/>
        <w:snapToGrid w:val="0"/>
        <w:spacing w:before="100" w:beforeAutospacing="1" w:after="100" w:afterAutospacing="1"/>
        <w:ind w:firstLine="280" w:firstLineChars="1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（1）一般公共服务支出1,973.84万元，占15.2%，较年初预算数增加481.25万元，增长32.2%，主要原因是专项工作经费增加，如：“新冠肺炎疫情专项经费”、“青少年家庭教育互助会”、“市政维护及垃圾清运”。</w:t>
      </w:r>
    </w:p>
    <w:p>
      <w:pPr>
        <w:snapToGrid w:val="0"/>
        <w:spacing w:line="594" w:lineRule="exact"/>
        <w:ind w:firstLine="280" w:firstLineChars="1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（2）国防支出4.55万元，占0%，较年初预算数增加2.55万元，增长127.5%，</w:t>
      </w:r>
      <w:r>
        <w:rPr>
          <w:rFonts w:hint="eastAsia" w:ascii="仿宋" w:hAnsi="仿宋" w:eastAsia="仿宋" w:cs="方正仿宋_GBK"/>
          <w:color w:val="000000" w:themeColor="text1"/>
          <w:sz w:val="28"/>
          <w:szCs w:val="28"/>
          <w14:textFill>
            <w14:solidFill>
              <w14:schemeClr w14:val="tx1"/>
            </w14:solidFill>
          </w14:textFill>
        </w:rPr>
        <w:t>主要原因是专项工作经费增加，如：</w:t>
      </w:r>
      <w:r>
        <w:rPr>
          <w:rFonts w:hint="eastAsia"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方正仿宋_GBK"/>
          <w:color w:val="000000" w:themeColor="text1"/>
          <w:sz w:val="28"/>
          <w:szCs w:val="28"/>
          <w14:textFill>
            <w14:solidFill>
              <w14:schemeClr w14:val="tx1"/>
            </w14:solidFill>
          </w14:textFill>
        </w:rPr>
        <w:t>大学生参军入伍和应征青年进藏进疆服役一次性奖励金项目”。</w:t>
      </w:r>
    </w:p>
    <w:p>
      <w:pPr>
        <w:snapToGrid w:val="0"/>
        <w:spacing w:line="594" w:lineRule="exact"/>
        <w:ind w:firstLine="420" w:firstLineChars="15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（3）公共安全支出78.39万元，占0.6%，较年初预算数增加78.39万元，增长%，主要原因是</w:t>
      </w:r>
      <w:r>
        <w:rPr>
          <w:rFonts w:hint="eastAsia" w:ascii="仿宋" w:hAnsi="仿宋" w:eastAsia="仿宋" w:cs="方正仿宋_GBK"/>
          <w:color w:val="000000" w:themeColor="text1"/>
          <w:sz w:val="28"/>
          <w:szCs w:val="28"/>
          <w14:textFill>
            <w14:solidFill>
              <w14:schemeClr w14:val="tx1"/>
            </w14:solidFill>
          </w14:textFill>
        </w:rPr>
        <w:t>专项工作经费增加，如：</w:t>
      </w:r>
      <w:r>
        <w:rPr>
          <w:rFonts w:hint="eastAsia"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方正仿宋_GBK"/>
          <w:color w:val="000000" w:themeColor="text1"/>
          <w:sz w:val="28"/>
          <w:szCs w:val="28"/>
          <w14:textFill>
            <w14:solidFill>
              <w14:schemeClr w14:val="tx1"/>
            </w14:solidFill>
          </w14:textFill>
        </w:rPr>
        <w:t>流动人口协管员人员经费”。</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（4）教育支出81.28万元，占0.6%，较年初预算数增加81.28，增长%，主要原因是专项工作经费增加，如“青少年家庭教育互助会”。</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（5）科学技术支出186.51万元，占1.4%，较年初预算数增加186.51万元，增长%，主要原因是专项工作经费增加，如“三合街道科技孵化园租金”。</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（6）文化旅游体育与传媒支出528.27万元，占4.1%，较年初预算数增加452.94万元，增长601.3%，主要原因是专项工作经费增加，如“文化和旅游服务工作经费”、“文化免费开放工作经费”。</w:t>
      </w:r>
    </w:p>
    <w:p>
      <w:pPr>
        <w:widowControl/>
        <w:shd w:val="clear" w:color="auto" w:fill="FFFFFF"/>
        <w:snapToGrid w:val="0"/>
        <w:spacing w:before="100" w:beforeAutospacing="1" w:after="100" w:afterAutospacing="1"/>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（7）社会保障与就业支出3,323.29万元，占25.5%，较年初预算数增加827.72万元，增长33.2%，主要原因是专项工作经费增加，如“养老服务业发展”。</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（8）卫生健康支出219.48万元，占1.7%，较年初预算数增加88.47万元，增长67.5%，主要原因是专项工作经费增加，如：“新冠疫情肺炎工作经费”。</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（9）节能环保支出115.92万元，占0.9%，较年初预算数增加115.92万元，增长%，主要原因是专项工作经费增加，如：“农村人居环境整治”、“退耕还林种苗款”。</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（10）城乡社区支出1,057.86万元，占8.1%，较年初预算数增加324.09万元，增长44.2%，主要原因是专项工作经费增加，如：“市政维护垃圾清运费”、“创建全国文明城市工作经费”.</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（11）农林水支出1,445.06万元，占11.1%，较年初预算数增加973.73万元，增长206.6%，主要原因是专项工作经费增加，如：“防旱抗旱救灾资金”、“林业有害生物防治”、“乡村治理示范建设”等。</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（12）交通运输支出325.94万元，占2.5%，较年初预算数增加325.94万元，增长%，主要原因是专项工作经费增加，如：“农村公路改建”、“乡村安保工程”。</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（13）住房保障支出3,625.36万元，占27.9%，较年初预算数增加3,506.21万元，增长2942.7%，主要原因是专项工作经费增加，如：“老旧小区改造”。</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（14）灾害防治及应急管理支出34.85万元，占0.3%，较年初预算数增加34.85万元，增长%，主要原因是专项工作经费增加，如：“冬春生活救助”，“村社区防灾减灾专项工作经费”。</w:t>
      </w:r>
    </w:p>
    <w:p>
      <w:pPr>
        <w:widowControl/>
        <w:shd w:val="clear" w:color="auto" w:fill="FFFFFF"/>
        <w:snapToGrid w:val="0"/>
        <w:spacing w:before="100" w:beforeAutospacing="1" w:after="100" w:afterAutospacing="1"/>
        <w:ind w:firstLine="420" w:firstLineChars="1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（15）其他支出13.00万元，占0.1%，较年初预算数减少67.00万元，下降83.8%，主要原因是专项工作经费减少。</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（四）一般公共预算财政拨款基本支出决算情况说明</w:t>
      </w:r>
    </w:p>
    <w:p>
      <w:pPr>
        <w:widowControl/>
        <w:shd w:val="clear" w:color="auto" w:fill="FFFFFF"/>
        <w:snapToGrid w:val="0"/>
        <w:spacing w:before="100" w:beforeAutospacing="1" w:after="100" w:afterAutospacing="1"/>
        <w:ind w:firstLine="560" w:firstLineChars="200"/>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2022年度一般公共预算财政拨款基本支出6,496.62万元。其中：人员经费4,733.55万元，较上年决算数增加285.59万元，增长6.4%，主要原因是</w:t>
      </w:r>
      <w:r>
        <w:rPr>
          <w:rFonts w:hint="eastAsia" w:ascii="仿宋" w:hAnsi="仿宋" w:eastAsia="仿宋" w:cs="方正仿宋_GBK"/>
          <w:color w:val="000000" w:themeColor="text1"/>
          <w:sz w:val="28"/>
          <w:szCs w:val="28"/>
          <w14:textFill>
            <w14:solidFill>
              <w14:schemeClr w14:val="tx1"/>
            </w14:solidFill>
          </w14:textFill>
        </w:rPr>
        <w:t>人员的变动</w:t>
      </w:r>
      <w:r>
        <w:rPr>
          <w:rFonts w:hint="eastAsia" w:ascii="仿宋" w:hAnsi="仿宋" w:eastAsia="仿宋" w:cs="宋体"/>
          <w:color w:val="000000" w:themeColor="text1"/>
          <w:kern w:val="0"/>
          <w:sz w:val="28"/>
          <w:szCs w:val="28"/>
          <w14:textFill>
            <w14:solidFill>
              <w14:schemeClr w14:val="tx1"/>
            </w14:solidFill>
          </w14:textFill>
        </w:rPr>
        <w:t>。人员经费用途主要包括</w:t>
      </w:r>
      <w:r>
        <w:rPr>
          <w:rFonts w:hint="eastAsia" w:ascii="仿宋" w:hAnsi="仿宋" w:eastAsia="仿宋" w:cs="方正仿宋_GBK"/>
          <w:color w:val="000000" w:themeColor="text1"/>
          <w:sz w:val="28"/>
          <w:szCs w:val="28"/>
          <w14:textFill>
            <w14:solidFill>
              <w14:schemeClr w14:val="tx1"/>
            </w14:solidFill>
          </w14:textFill>
        </w:rPr>
        <w:t>基本工资、津贴补贴、奖金、社会保障缴费、其他工资福利待遇、对个人和家庭的补助等费用</w:t>
      </w:r>
      <w:r>
        <w:rPr>
          <w:rFonts w:hint="eastAsia" w:ascii="仿宋" w:hAnsi="仿宋" w:eastAsia="仿宋" w:cs="宋体"/>
          <w:color w:val="000000" w:themeColor="text1"/>
          <w:kern w:val="0"/>
          <w:sz w:val="28"/>
          <w:szCs w:val="28"/>
          <w14:textFill>
            <w14:solidFill>
              <w14:schemeClr w14:val="tx1"/>
            </w14:solidFill>
          </w14:textFill>
        </w:rPr>
        <w:t>。公用经费1,763.07万元，较上年决算数减少380.12万元，下降17.7%，主要原因是严格控制三公经费。</w:t>
      </w:r>
      <w:r>
        <w:rPr>
          <w:rFonts w:hint="eastAsia" w:ascii="仿宋" w:hAnsi="仿宋" w:eastAsia="仿宋" w:cs="方正仿宋_GBK"/>
          <w:color w:val="000000" w:themeColor="text1"/>
          <w:sz w:val="28"/>
          <w:szCs w:val="28"/>
          <w14:textFill>
            <w14:solidFill>
              <w14:schemeClr w14:val="tx1"/>
            </w14:solidFill>
          </w14:textFill>
        </w:rPr>
        <w:t>公用经费用途主要包括办公费、邮电费、差旅费、会议费、培训费、公务接待费、公务车辆运行维护费、其他商品和服务支出等费用。</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（五）政府性基金预算收支决算情况说明。</w:t>
      </w:r>
    </w:p>
    <w:p>
      <w:pPr>
        <w:widowControl/>
        <w:shd w:val="clear" w:color="auto" w:fill="FFFFFF"/>
        <w:snapToGrid w:val="0"/>
        <w:spacing w:before="100" w:beforeAutospacing="1" w:after="100" w:afterAutospacing="1"/>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2022年度政府性基金预算财政拨款年初结转结余0.00万元，年末结转结余0.00万元。本年收入2,305.29万元，较上年决算数减少10,047.20万元，下降81.3%，主要原因是三峡库区移民等专项工作经费减少。本年支出2,305.29万元，较上年决算数减少10,047.20万元，下降81.3%，主要原因是三峡库区移民等专项工作经费减少。</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（六）国有资本经营预算财政拨款支出决算情况说明。</w:t>
      </w:r>
    </w:p>
    <w:p>
      <w:pPr>
        <w:widowControl/>
        <w:shd w:val="clear" w:color="auto" w:fill="FFFFFF"/>
        <w:snapToGrid w:val="0"/>
        <w:spacing w:before="100" w:beforeAutospacing="1" w:after="100" w:afterAutospacing="1"/>
        <w:ind w:firstLine="280" w:firstLineChars="1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本部门2022年度无国有资本经营预算财政拨款支出。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三、“三公”经费情况说明</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（一）“三公”经费支出总体情况说明</w:t>
      </w:r>
    </w:p>
    <w:p>
      <w:pPr>
        <w:widowControl/>
        <w:shd w:val="clear" w:color="auto" w:fill="FFFFFF"/>
        <w:snapToGrid w:val="0"/>
        <w:spacing w:before="100" w:beforeAutospacing="1" w:after="100" w:afterAutospacing="1"/>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2022年度“三公”经费支出共计48.17万元，较年初预算数增加0.17万元，增长0.4%，主要原因是车辆老化，油耗维修增加。较上年支出数减少17.26万元，下降26.4%，主要原因是严格控制三公经费。</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（二）“三公”经费分项支出情况</w:t>
      </w:r>
    </w:p>
    <w:p>
      <w:pPr>
        <w:snapToGrid w:val="0"/>
        <w:spacing w:line="594" w:lineRule="exact"/>
        <w:ind w:firstLine="700" w:firstLineChars="250"/>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2022年度本部门因公出国（境）费用0.00万元，</w:t>
      </w:r>
      <w:r>
        <w:rPr>
          <w:rFonts w:hint="eastAsia" w:ascii="仿宋" w:hAnsi="仿宋" w:eastAsia="仿宋" w:cs="方正仿宋_GBK"/>
          <w:color w:val="000000" w:themeColor="text1"/>
          <w:sz w:val="28"/>
          <w:szCs w:val="28"/>
          <w14:textFill>
            <w14:solidFill>
              <w14:schemeClr w14:val="tx1"/>
            </w14:solidFill>
          </w14:textFill>
        </w:rPr>
        <w:t>与年初预算和上年支出数持平。</w:t>
      </w:r>
    </w:p>
    <w:p>
      <w:pPr>
        <w:widowControl/>
        <w:shd w:val="clear" w:color="auto" w:fill="FFFFFF"/>
        <w:snapToGrid w:val="0"/>
        <w:spacing w:before="100" w:beforeAutospacing="1" w:after="100" w:afterAutospacing="1"/>
        <w:ind w:firstLine="560" w:firstLineChars="200"/>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公务车购置费0.00万元，与年初预算持平，较上年支出数减少19.68万元，主要原因是今年未新购公务车。</w:t>
      </w:r>
      <w:r>
        <w:rPr>
          <w:rFonts w:ascii="仿宋" w:hAnsi="仿宋" w:eastAsia="仿宋" w:cs="方正仿宋_GBK"/>
          <w:color w:val="000000" w:themeColor="text1"/>
          <w:sz w:val="28"/>
          <w:szCs w:val="28"/>
          <w14:textFill>
            <w14:solidFill>
              <w14:schemeClr w14:val="tx1"/>
            </w14:solidFill>
          </w14:textFill>
        </w:rPr>
        <w:cr/>
      </w:r>
      <w:r>
        <w:rPr>
          <w:rFonts w:hint="eastAsia" w:ascii="仿宋" w:hAnsi="仿宋" w:eastAsia="仿宋" w:cs="方正仿宋_GBK"/>
          <w:color w:val="000000" w:themeColor="text1"/>
          <w:sz w:val="28"/>
          <w:szCs w:val="28"/>
          <w14:textFill>
            <w14:solidFill>
              <w14:schemeClr w14:val="tx1"/>
            </w14:solidFill>
          </w14:textFill>
        </w:rPr>
        <w:t xml:space="preserve">   </w:t>
      </w:r>
    </w:p>
    <w:p>
      <w:pPr>
        <w:widowControl/>
        <w:shd w:val="clear" w:color="auto" w:fill="FFFFFF"/>
        <w:snapToGrid w:val="0"/>
        <w:spacing w:before="100" w:beforeAutospacing="1" w:after="100" w:afterAutospacing="1"/>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公务车运行维护费24.54万元，主要用</w:t>
      </w:r>
      <w:r>
        <w:rPr>
          <w:rFonts w:hint="eastAsia" w:ascii="仿宋" w:hAnsi="仿宋" w:eastAsia="仿宋" w:cs="方正仿宋_GBK"/>
          <w:color w:val="000000" w:themeColor="text1"/>
          <w:sz w:val="28"/>
          <w:szCs w:val="28"/>
          <w14:textFill>
            <w14:solidFill>
              <w14:schemeClr w14:val="tx1"/>
            </w14:solidFill>
          </w14:textFill>
        </w:rPr>
        <w:t>县内因公出行、项目检查等工作所需车辆的燃料费、维修费、过桥过路费、保险费等。</w:t>
      </w:r>
      <w:r>
        <w:rPr>
          <w:rFonts w:hint="eastAsia" w:ascii="仿宋" w:hAnsi="仿宋" w:eastAsia="仿宋" w:cs="宋体"/>
          <w:color w:val="000000" w:themeColor="text1"/>
          <w:kern w:val="0"/>
          <w:sz w:val="28"/>
          <w:szCs w:val="28"/>
          <w14:textFill>
            <w14:solidFill>
              <w14:schemeClr w14:val="tx1"/>
            </w14:solidFill>
          </w14:textFill>
        </w:rPr>
        <w:t>费用支出较年初预算数增加4.54万元，增长22.7%，主要原因是2021年新增一辆公务用车，开支增加，较上年支出数增加7.69万元，增长45.6%，主要原因是</w:t>
      </w:r>
      <w:r>
        <w:rPr>
          <w:rFonts w:hint="eastAsia" w:ascii="仿宋" w:hAnsi="仿宋" w:eastAsia="仿宋" w:cs="方正仿宋_GBK"/>
          <w:color w:val="000000" w:themeColor="text1"/>
          <w:sz w:val="28"/>
          <w:szCs w:val="28"/>
          <w14:textFill>
            <w14:solidFill>
              <w14:schemeClr w14:val="tx1"/>
            </w14:solidFill>
          </w14:textFill>
        </w:rPr>
        <w:t>车辆老化严重，维修费及油耗增加。</w:t>
      </w:r>
    </w:p>
    <w:p>
      <w:pPr>
        <w:widowControl/>
        <w:shd w:val="clear" w:color="auto" w:fill="FFFFFF"/>
        <w:snapToGrid w:val="0"/>
        <w:spacing w:before="100" w:beforeAutospacing="1" w:after="100" w:afterAutospacing="1"/>
        <w:ind w:firstLine="560" w:firstLineChars="200"/>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公务接待费23.63万元，主要用于接待</w:t>
      </w:r>
      <w:r>
        <w:rPr>
          <w:rFonts w:hint="eastAsia" w:ascii="仿宋" w:hAnsi="仿宋" w:eastAsia="仿宋" w:cs="方正仿宋_GBK"/>
          <w:color w:val="000000" w:themeColor="text1"/>
          <w:sz w:val="28"/>
          <w:szCs w:val="28"/>
          <w14:textFill>
            <w14:solidFill>
              <w14:schemeClr w14:val="tx1"/>
            </w14:solidFill>
          </w14:textFill>
        </w:rPr>
        <w:t>招商引资工作、接受相关部门检查项目指导工作发生的接待支出。</w:t>
      </w:r>
      <w:r>
        <w:rPr>
          <w:rFonts w:hint="eastAsia" w:ascii="仿宋" w:hAnsi="仿宋" w:eastAsia="仿宋" w:cs="宋体"/>
          <w:color w:val="000000" w:themeColor="text1"/>
          <w:kern w:val="0"/>
          <w:sz w:val="28"/>
          <w:szCs w:val="28"/>
          <w14:textFill>
            <w14:solidFill>
              <w14:schemeClr w14:val="tx1"/>
            </w14:solidFill>
          </w14:textFill>
        </w:rPr>
        <w:t>费用支出较年初预算数减少4.37万元，下降15.6%，主要原因是</w:t>
      </w:r>
      <w:r>
        <w:rPr>
          <w:rFonts w:hint="eastAsia" w:ascii="仿宋" w:hAnsi="仿宋" w:eastAsia="仿宋" w:cs="方正仿宋_GBK"/>
          <w:color w:val="000000" w:themeColor="text1"/>
          <w:sz w:val="28"/>
          <w:szCs w:val="28"/>
          <w14:textFill>
            <w14:solidFill>
              <w14:schemeClr w14:val="tx1"/>
            </w14:solidFill>
          </w14:textFill>
        </w:rPr>
        <w:t>强化公务接待支出管理，严格遵守公务接待开支范围和开支标准，严格控制陪餐人数。</w:t>
      </w:r>
      <w:r>
        <w:rPr>
          <w:rFonts w:hint="eastAsia" w:ascii="仿宋" w:hAnsi="仿宋" w:eastAsia="仿宋" w:cs="宋体"/>
          <w:color w:val="000000" w:themeColor="text1"/>
          <w:kern w:val="0"/>
          <w:sz w:val="28"/>
          <w:szCs w:val="28"/>
          <w14:textFill>
            <w14:solidFill>
              <w14:schemeClr w14:val="tx1"/>
            </w14:solidFill>
          </w14:textFill>
        </w:rPr>
        <w:t>较上年支出数减少5.27万元，下降18.2%，主要原因是</w:t>
      </w:r>
      <w:r>
        <w:rPr>
          <w:rFonts w:hint="eastAsia" w:ascii="仿宋" w:hAnsi="仿宋" w:eastAsia="仿宋" w:cs="方正仿宋_GBK"/>
          <w:color w:val="000000" w:themeColor="text1"/>
          <w:sz w:val="28"/>
          <w:szCs w:val="28"/>
          <w14:textFill>
            <w14:solidFill>
              <w14:schemeClr w14:val="tx1"/>
            </w14:solidFill>
          </w14:textFill>
        </w:rPr>
        <w:t>强化公务接待支出管理，严格遵守公务接待开支范围和开支标准，严格控制陪餐人数。</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（三）“三公”经费实物量情况</w:t>
      </w:r>
    </w:p>
    <w:p>
      <w:pPr>
        <w:widowControl/>
        <w:shd w:val="clear" w:color="auto" w:fill="FFFFFF"/>
        <w:snapToGrid w:val="0"/>
        <w:spacing w:before="100" w:beforeAutospacing="1" w:after="100" w:afterAutospacing="1"/>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2022年度本部门因公出国（境）共计0个团组，0人；公务用车购置0辆，公务车保有量为5辆；国内公务接待267批次2,766人，其中：国内外事接待0批次，0人；国（境）外公务接待0批次，0人。2022年本部门人均接待费85.42元，车均购置费0.00万元，车均维护费4.91万元。</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四、其他需要说明的事项</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（一）财政拨款会议费和培训费情况说明</w:t>
      </w:r>
    </w:p>
    <w:p>
      <w:pPr>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本年度会议费支出0.29万元，较上年决算数增加0.29万元，增长%，主要原因是疫情防控等各类会议增加。本年度培训费支出1.33万元，较上年决算数减少3.29万元，下降71.2%，主要原因是疫情防控等各类会议增加。</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（二）机关运行经费支出情况说明</w:t>
      </w:r>
    </w:p>
    <w:p>
      <w:pPr>
        <w:widowControl/>
        <w:shd w:val="clear" w:color="auto" w:fill="FFFFFF"/>
        <w:snapToGrid w:val="0"/>
        <w:spacing w:before="100" w:beforeAutospacing="1" w:after="100" w:afterAutospacing="1"/>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2022年度本部门机关运行经费支出547.09万元，主要用于开支</w:t>
      </w:r>
      <w:r>
        <w:rPr>
          <w:rFonts w:hint="eastAsia" w:ascii="仿宋" w:hAnsi="仿宋" w:eastAsia="仿宋" w:cs="方正仿宋_GBK"/>
          <w:color w:val="000000" w:themeColor="text1"/>
          <w:sz w:val="28"/>
          <w:szCs w:val="28"/>
          <w14:textFill>
            <w14:solidFill>
              <w14:schemeClr w14:val="tx1"/>
            </w14:solidFill>
          </w14:textFill>
        </w:rPr>
        <w:t>办公费、印刷费、手续费、日常维护费、水电费、物管费、邮电费、差旅费、租赁费、公务用车运行维护等。</w:t>
      </w:r>
      <w:r>
        <w:rPr>
          <w:rFonts w:hint="eastAsia" w:ascii="仿宋" w:hAnsi="仿宋" w:eastAsia="仿宋" w:cs="宋体"/>
          <w:color w:val="000000" w:themeColor="text1"/>
          <w:kern w:val="0"/>
          <w:sz w:val="28"/>
          <w:szCs w:val="28"/>
          <w14:textFill>
            <w14:solidFill>
              <w14:schemeClr w14:val="tx1"/>
            </w14:solidFill>
          </w14:textFill>
        </w:rPr>
        <w:t>机关运行经费较上年决算数减少316.23万元，下降36.6%，主要原因是严格按照标准，控制经费支出。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（三）国有资产占用情况说明</w:t>
      </w:r>
    </w:p>
    <w:p>
      <w:pPr>
        <w:widowControl/>
        <w:shd w:val="clear" w:color="auto" w:fill="FFFFFF"/>
        <w:snapToGrid w:val="0"/>
        <w:spacing w:before="100" w:beforeAutospacing="1" w:after="100" w:afterAutospacing="1"/>
        <w:ind w:firstLine="700" w:firstLineChars="25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截至2022年12月31日，本部门共有车辆10辆，其中，副部（省）级及以上领导用车0辆、主要领导干部用车0辆、机要通信用车4辆、应急保障用车5辆、执法执勤用车0辆，特种专业技术用车1辆，离退休干部用车0辆，其他用车0辆。单价100万元（含）以上设备（不含车辆）0台（套）。</w:t>
      </w:r>
    </w:p>
    <w:p>
      <w:pPr>
        <w:widowControl/>
        <w:shd w:val="clear" w:color="auto" w:fill="FFFFFF"/>
        <w:snapToGrid w:val="0"/>
        <w:spacing w:before="100" w:beforeAutospacing="1" w:after="100" w:afterAutospacing="1"/>
        <w:jc w:val="left"/>
        <w:rPr>
          <w:rFonts w:ascii="宋体" w:hAnsi="宋体" w:eastAsia="宋体" w:cs="宋体"/>
          <w:kern w:val="0"/>
          <w:sz w:val="24"/>
          <w:szCs w:val="24"/>
        </w:rPr>
      </w:pPr>
      <w:r>
        <w:rPr>
          <w:rFonts w:hint="eastAsia" w:ascii="仿宋" w:hAnsi="仿宋" w:eastAsia="仿宋" w:cs="宋体"/>
          <w:b/>
          <w:bCs/>
          <w:color w:val="000000" w:themeColor="text1"/>
          <w:kern w:val="0"/>
          <w:sz w:val="28"/>
          <w14:textFill>
            <w14:solidFill>
              <w14:schemeClr w14:val="tx1"/>
            </w14:solidFill>
          </w14:textFill>
        </w:rPr>
        <w:t>（四）政府采购支出说明</w:t>
      </w:r>
    </w:p>
    <w:p>
      <w:pPr>
        <w:widowControl/>
        <w:shd w:val="clear" w:color="auto" w:fill="FFFFFF"/>
        <w:snapToGrid w:val="0"/>
        <w:spacing w:before="100" w:beforeAutospacing="1" w:after="100" w:afterAutospacing="1"/>
        <w:ind w:firstLine="420" w:firstLineChars="150"/>
        <w:jc w:val="left"/>
        <w:rPr>
          <w:rFonts w:ascii="宋体" w:hAnsi="宋体" w:eastAsia="宋体" w:cs="宋体"/>
          <w:kern w:val="0"/>
          <w:sz w:val="24"/>
          <w:szCs w:val="24"/>
        </w:rPr>
      </w:pPr>
      <w:r>
        <w:rPr>
          <w:rFonts w:hint="eastAsia" w:ascii="仿宋" w:hAnsi="仿宋" w:eastAsia="仿宋" w:cs="宋体"/>
          <w:color w:val="000000" w:themeColor="text1"/>
          <w:kern w:val="0"/>
          <w:sz w:val="28"/>
          <w:szCs w:val="28"/>
          <w14:textFill>
            <w14:solidFill>
              <w14:schemeClr w14:val="tx1"/>
            </w14:solidFill>
          </w14:textFill>
        </w:rPr>
        <w:t>2022年度我单位未发生政府采购事项，无相关经费支出。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五、预算绩效管理情况说明</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（一）预算绩效管理工作开展情况</w:t>
      </w:r>
    </w:p>
    <w:p>
      <w:pPr>
        <w:snapToGrid w:val="0"/>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根据预算绩效管理要求，本部门对部门整体绩效和</w:t>
      </w:r>
      <w:r>
        <w:rPr>
          <w:rFonts w:hint="eastAsia" w:ascii="仿宋" w:hAnsi="仿宋" w:eastAsia="仿宋" w:cs="宋体"/>
          <w:color w:val="000000" w:themeColor="text1"/>
          <w:sz w:val="28"/>
          <w:szCs w:val="28"/>
          <w14:textFill>
            <w14:solidFill>
              <w14:schemeClr w14:val="tx1"/>
            </w14:solidFill>
          </w14:textFill>
        </w:rPr>
        <w:t>127</w:t>
      </w:r>
      <w:r>
        <w:rPr>
          <w:rFonts w:hint="eastAsia" w:ascii="仿宋" w:hAnsi="仿宋" w:eastAsia="仿宋" w:cs="方正仿宋_GBK"/>
          <w:color w:val="000000" w:themeColor="text1"/>
          <w:sz w:val="28"/>
          <w:szCs w:val="28"/>
          <w14:textFill>
            <w14:solidFill>
              <w14:schemeClr w14:val="tx1"/>
            </w14:solidFill>
          </w14:textFill>
        </w:rPr>
        <w:t>个项目开展了绩效自评，以委托第三方出具报告的方式开展绩效评价127项，涉及资金26931万元。从评价情况来看，项目立项较为规范，绩效目标明确，预算编制合理，管理科学规范，资金到位及时，总体完成情况较好，有力保障了项目的进度，</w:t>
      </w:r>
      <w:r>
        <w:rPr>
          <w:rFonts w:hint="eastAsia" w:ascii="仿宋" w:hAnsi="仿宋" w:eastAsia="仿宋" w:cs="宋体"/>
          <w:color w:val="000000" w:themeColor="text1"/>
          <w:sz w:val="28"/>
          <w:szCs w:val="28"/>
          <w14:textFill>
            <w14:solidFill>
              <w14:schemeClr w14:val="tx1"/>
            </w14:solidFill>
          </w14:textFill>
        </w:rPr>
        <w:t>202</w:t>
      </w:r>
      <w:r>
        <w:rPr>
          <w:rFonts w:hint="eastAsia" w:ascii="仿宋" w:hAnsi="仿宋" w:eastAsia="仿宋" w:cs="Times New Roman"/>
          <w:color w:val="000000" w:themeColor="text1"/>
          <w:sz w:val="28"/>
          <w:szCs w:val="28"/>
          <w14:textFill>
            <w14:solidFill>
              <w14:schemeClr w14:val="tx1"/>
            </w14:solidFill>
          </w14:textFill>
        </w:rPr>
        <w:t>2</w:t>
      </w:r>
      <w:r>
        <w:rPr>
          <w:rFonts w:hint="eastAsia" w:ascii="仿宋" w:hAnsi="仿宋" w:eastAsia="仿宋" w:cs="方正仿宋_GBK"/>
          <w:color w:val="000000" w:themeColor="text1"/>
          <w:sz w:val="28"/>
          <w:szCs w:val="28"/>
          <w14:textFill>
            <w14:solidFill>
              <w14:schemeClr w14:val="tx1"/>
            </w14:solidFill>
          </w14:textFill>
        </w:rPr>
        <w:t>年财政预算安排</w:t>
      </w:r>
      <w:r>
        <w:rPr>
          <w:rFonts w:hint="eastAsia" w:ascii="仿宋" w:hAnsi="仿宋" w:eastAsia="仿宋" w:cs="宋体"/>
          <w:color w:val="000000" w:themeColor="text1"/>
          <w:sz w:val="28"/>
          <w:szCs w:val="28"/>
          <w14:textFill>
            <w14:solidFill>
              <w14:schemeClr w14:val="tx1"/>
            </w14:solidFill>
          </w14:textFill>
        </w:rPr>
        <w:t>127</w:t>
      </w:r>
      <w:r>
        <w:rPr>
          <w:rFonts w:hint="eastAsia" w:ascii="仿宋" w:hAnsi="仿宋" w:eastAsia="仿宋" w:cs="方正仿宋_GBK"/>
          <w:color w:val="000000" w:themeColor="text1"/>
          <w:sz w:val="28"/>
          <w:szCs w:val="28"/>
          <w14:textFill>
            <w14:solidFill>
              <w14:schemeClr w14:val="tx1"/>
            </w14:solidFill>
          </w14:textFill>
        </w:rPr>
        <w:t>个项目，评价等级均为优等级，项目基本达到了预期绩效目标.</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（二）绩效自评结果。</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1.绩效目标自评表。</w:t>
      </w:r>
    </w:p>
    <w:p>
      <w:pPr>
        <w:widowControl/>
        <w:shd w:val="clear" w:color="auto" w:fill="FFFFFF"/>
        <w:snapToGrid w:val="0"/>
        <w:spacing w:before="100" w:beforeAutospacing="1" w:after="100" w:afterAutospacing="1"/>
        <w:jc w:val="left"/>
        <w:rPr>
          <w:rFonts w:ascii="仿宋" w:hAnsi="仿宋" w:eastAsia="仿宋" w:cs="方正仿宋_GBK"/>
          <w:color w:val="000000" w:themeColor="text1"/>
          <w:sz w:val="28"/>
          <w:szCs w:val="28"/>
          <w14:textFill>
            <w14:solidFill>
              <w14:schemeClr w14:val="tx1"/>
            </w14:solidFill>
          </w14:textFill>
        </w:rPr>
      </w:pPr>
      <w:r>
        <w:rPr>
          <w:rFonts w:hint="eastAsia" w:ascii="宋体" w:hAnsi="宋体" w:eastAsia="宋体" w:cs="方正仿宋_GBK"/>
          <w:b/>
          <w:bCs/>
          <w:sz w:val="24"/>
          <w:szCs w:val="24"/>
        </w:rPr>
        <w:t>（1）公开范围。</w:t>
      </w:r>
    </w:p>
    <w:p>
      <w:pPr>
        <w:widowControl/>
        <w:shd w:val="clear" w:color="auto" w:fill="FFFFFF"/>
        <w:snapToGrid w:val="0"/>
        <w:spacing w:before="100" w:beforeAutospacing="1" w:after="100" w:afterAutospacing="1"/>
        <w:ind w:firstLine="420" w:firstLineChars="150"/>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部门整体绩效目标以及127个项目绩效目标。</w:t>
      </w:r>
    </w:p>
    <w:p>
      <w:pPr>
        <w:widowControl/>
        <w:shd w:val="clear" w:color="auto" w:fill="FFFFFF"/>
        <w:snapToGrid w:val="0"/>
        <w:spacing w:before="100" w:beforeAutospacing="1" w:after="100" w:afterAutospacing="1"/>
        <w:jc w:val="left"/>
        <w:rPr>
          <w:rFonts w:ascii="宋体" w:hAnsi="宋体" w:eastAsia="宋体" w:cs="方正仿宋_GBK"/>
          <w:b/>
          <w:bCs/>
          <w:sz w:val="24"/>
          <w:szCs w:val="24"/>
        </w:rPr>
      </w:pPr>
      <w:r>
        <w:rPr>
          <w:rFonts w:hint="eastAsia" w:ascii="宋体" w:hAnsi="宋体" w:eastAsia="宋体" w:cs="方正仿宋_GBK"/>
          <w:b/>
          <w:bCs/>
          <w:sz w:val="24"/>
          <w:szCs w:val="24"/>
        </w:rPr>
        <w:t>（2）公开内容。</w:t>
      </w:r>
    </w:p>
    <w:tbl>
      <w:tblPr>
        <w:tblStyle w:val="5"/>
        <w:tblW w:w="10357" w:type="dxa"/>
        <w:jc w:val="center"/>
        <w:tblLayout w:type="autofit"/>
        <w:tblCellMar>
          <w:top w:w="0" w:type="dxa"/>
          <w:left w:w="108" w:type="dxa"/>
          <w:bottom w:w="0" w:type="dxa"/>
          <w:right w:w="108" w:type="dxa"/>
        </w:tblCellMar>
      </w:tblPr>
      <w:tblGrid>
        <w:gridCol w:w="1277"/>
        <w:gridCol w:w="567"/>
        <w:gridCol w:w="850"/>
        <w:gridCol w:w="992"/>
        <w:gridCol w:w="908"/>
        <w:gridCol w:w="757"/>
        <w:gridCol w:w="1043"/>
        <w:gridCol w:w="709"/>
        <w:gridCol w:w="799"/>
        <w:gridCol w:w="992"/>
        <w:gridCol w:w="902"/>
        <w:gridCol w:w="706"/>
      </w:tblGrid>
      <w:tr>
        <w:tblPrEx>
          <w:tblCellMar>
            <w:top w:w="0" w:type="dxa"/>
            <w:left w:w="108" w:type="dxa"/>
            <w:bottom w:w="0" w:type="dxa"/>
            <w:right w:w="108" w:type="dxa"/>
          </w:tblCellMar>
        </w:tblPrEx>
        <w:trPr>
          <w:trHeight w:val="584" w:hRule="atLeast"/>
          <w:jc w:val="center"/>
        </w:trPr>
        <w:tc>
          <w:tcPr>
            <w:tcW w:w="1035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36"/>
                <w:szCs w:val="40"/>
              </w:rPr>
            </w:pPr>
            <w:r>
              <w:rPr>
                <w:rFonts w:hint="eastAsia" w:ascii="微软雅黑" w:hAnsi="微软雅黑" w:eastAsia="微软雅黑" w:cs="宋体"/>
                <w:b/>
                <w:bCs/>
                <w:color w:val="000000"/>
                <w:kern w:val="0"/>
                <w:sz w:val="32"/>
                <w:szCs w:val="40"/>
              </w:rPr>
              <w:t>2022年度部门整体绩效自评表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b/>
                <w:bCs/>
                <w:color w:val="000000"/>
                <w:kern w:val="0"/>
                <w:sz w:val="16"/>
                <w:szCs w:val="16"/>
              </w:rPr>
            </w:pPr>
            <w:r>
              <w:rPr>
                <w:rFonts w:hint="eastAsia" w:ascii="宋体" w:hAnsi="宋体" w:cs="宋体"/>
                <w:b/>
                <w:bCs/>
                <w:color w:val="000000"/>
                <w:kern w:val="0"/>
                <w:sz w:val="16"/>
                <w:szCs w:val="16"/>
              </w:rPr>
              <w:t>项目名称：</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16"/>
                <w:szCs w:val="16"/>
              </w:rPr>
            </w:pPr>
            <w:r>
              <w:rPr>
                <w:rFonts w:hint="eastAsia" w:ascii="宋体" w:hAnsi="宋体" w:cs="宋体"/>
                <w:color w:val="000000"/>
                <w:kern w:val="0"/>
                <w:sz w:val="16"/>
                <w:szCs w:val="16"/>
              </w:rPr>
              <w:t>丰都县三合街道办事处整体自评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b/>
                <w:bCs/>
                <w:color w:val="000000"/>
                <w:kern w:val="0"/>
                <w:sz w:val="16"/>
                <w:szCs w:val="16"/>
              </w:rPr>
            </w:pPr>
            <w:r>
              <w:rPr>
                <w:rFonts w:hint="eastAsia" w:ascii="宋体" w:hAnsi="宋体" w:cs="宋体"/>
                <w:b/>
                <w:bCs/>
                <w:color w:val="000000"/>
                <w:kern w:val="0"/>
                <w:sz w:val="16"/>
                <w:szCs w:val="16"/>
              </w:rPr>
              <w:t>项目编码：</w:t>
            </w:r>
          </w:p>
        </w:tc>
        <w:tc>
          <w:tcPr>
            <w:tcW w:w="165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50023000022P000099</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b/>
                <w:bCs/>
                <w:color w:val="000000"/>
                <w:kern w:val="0"/>
                <w:sz w:val="16"/>
                <w:szCs w:val="16"/>
              </w:rPr>
            </w:pPr>
            <w:r>
              <w:rPr>
                <w:rFonts w:hint="eastAsia" w:ascii="宋体" w:hAnsi="宋体" w:cs="宋体"/>
                <w:b/>
                <w:bCs/>
                <w:color w:val="000000"/>
                <w:kern w:val="0"/>
                <w:sz w:val="16"/>
                <w:szCs w:val="16"/>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95.69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b/>
                <w:bCs/>
                <w:color w:val="000000"/>
                <w:kern w:val="0"/>
                <w:sz w:val="16"/>
                <w:szCs w:val="16"/>
              </w:rPr>
            </w:pPr>
          </w:p>
        </w:tc>
        <w:tc>
          <w:tcPr>
            <w:tcW w:w="147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b/>
                <w:bCs/>
                <w:color w:val="000000"/>
                <w:kern w:val="0"/>
                <w:sz w:val="16"/>
                <w:szCs w:val="16"/>
              </w:rPr>
            </w:pPr>
            <w:r>
              <w:rPr>
                <w:rFonts w:hint="eastAsia" w:ascii="宋体" w:hAnsi="宋体" w:cs="宋体"/>
                <w:b/>
                <w:bCs/>
                <w:color w:val="000000"/>
                <w:kern w:val="0"/>
                <w:sz w:val="16"/>
                <w:szCs w:val="16"/>
              </w:rPr>
              <w:t>项目主管部门：</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932-丰都县三合街道办事处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b/>
                <w:bCs/>
                <w:color w:val="000000"/>
                <w:kern w:val="0"/>
                <w:sz w:val="16"/>
                <w:szCs w:val="16"/>
              </w:rPr>
            </w:pPr>
            <w:r>
              <w:rPr>
                <w:rFonts w:hint="eastAsia" w:ascii="宋体" w:hAnsi="宋体" w:cs="宋体"/>
                <w:b/>
                <w:bCs/>
                <w:color w:val="000000"/>
                <w:kern w:val="0"/>
                <w:sz w:val="16"/>
                <w:szCs w:val="16"/>
              </w:rPr>
              <w:t>财政归口处室：</w:t>
            </w:r>
          </w:p>
        </w:tc>
        <w:tc>
          <w:tcPr>
            <w:tcW w:w="165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ascii="宋体" w:hAnsi="宋体" w:cs="宋体"/>
                <w:color w:val="000000"/>
                <w:kern w:val="0"/>
                <w:sz w:val="16"/>
                <w:szCs w:val="16"/>
              </w:rPr>
            </w:pPr>
            <w:r>
              <w:rPr>
                <w:rFonts w:hint="eastAsia" w:ascii="宋体" w:hAnsi="宋体" w:eastAsia="宋体" w:cs="宋体"/>
                <w:color w:val="000000"/>
                <w:kern w:val="0"/>
                <w:sz w:val="16"/>
                <w:szCs w:val="16"/>
              </w:rPr>
              <w:t>007-基财科</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240" w:lineRule="atLeast"/>
              <w:ind w:right="483"/>
              <w:jc w:val="center"/>
              <w:rPr>
                <w:rFonts w:ascii="宋体" w:hAnsi="宋体" w:cs="宋体"/>
                <w:b/>
                <w:bCs/>
                <w:color w:val="000000"/>
                <w:kern w:val="0"/>
                <w:sz w:val="16"/>
                <w:szCs w:val="16"/>
              </w:rPr>
            </w:pPr>
            <w:r>
              <w:rPr>
                <w:rFonts w:hint="eastAsia" w:ascii="宋体" w:hAnsi="宋体" w:cs="宋体"/>
                <w:b/>
                <w:bCs/>
                <w:color w:val="000000"/>
                <w:kern w:val="0"/>
                <w:sz w:val="16"/>
                <w:szCs w:val="16"/>
              </w:rPr>
              <w:t>部门</w:t>
            </w:r>
          </w:p>
          <w:p>
            <w:pPr>
              <w:widowControl/>
              <w:spacing w:line="240" w:lineRule="atLeast"/>
              <w:ind w:right="161"/>
              <w:jc w:val="center"/>
              <w:rPr>
                <w:rFonts w:ascii="宋体" w:hAnsi="宋体" w:cs="宋体"/>
                <w:b/>
                <w:bCs/>
                <w:color w:val="000000"/>
                <w:kern w:val="0"/>
                <w:sz w:val="16"/>
                <w:szCs w:val="16"/>
              </w:rPr>
            </w:pPr>
            <w:r>
              <w:rPr>
                <w:rFonts w:hint="eastAsia" w:ascii="宋体" w:hAnsi="宋体" w:cs="宋体"/>
                <w:b/>
                <w:bCs/>
                <w:color w:val="000000"/>
                <w:kern w:val="0"/>
                <w:sz w:val="16"/>
                <w:szCs w:val="16"/>
              </w:rPr>
              <w:t>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谭燕</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tLeast"/>
              <w:ind w:right="181"/>
              <w:jc w:val="center"/>
              <w:rPr>
                <w:rFonts w:ascii="宋体" w:hAnsi="宋体" w:cs="宋体"/>
                <w:b/>
                <w:bCs/>
                <w:color w:val="000000"/>
                <w:kern w:val="0"/>
                <w:sz w:val="16"/>
                <w:szCs w:val="16"/>
              </w:rPr>
            </w:pPr>
            <w:r>
              <w:rPr>
                <w:rFonts w:hint="eastAsia" w:ascii="宋体" w:hAnsi="宋体" w:cs="宋体"/>
                <w:b/>
                <w:bCs/>
                <w:color w:val="000000"/>
                <w:kern w:val="0"/>
                <w:sz w:val="16"/>
                <w:szCs w:val="16"/>
              </w:rPr>
              <w:t>联系</w:t>
            </w:r>
          </w:p>
          <w:p>
            <w:pPr>
              <w:widowControl/>
              <w:spacing w:line="240" w:lineRule="atLeast"/>
              <w:ind w:right="181"/>
              <w:jc w:val="center"/>
              <w:rPr>
                <w:rFonts w:ascii="宋体" w:hAnsi="宋体" w:cs="宋体"/>
                <w:b/>
                <w:bCs/>
                <w:color w:val="000000"/>
                <w:kern w:val="0"/>
                <w:sz w:val="16"/>
                <w:szCs w:val="16"/>
              </w:rPr>
            </w:pPr>
            <w:r>
              <w:rPr>
                <w:rFonts w:hint="eastAsia" w:ascii="宋体" w:hAnsi="宋体" w:cs="宋体"/>
                <w:b/>
                <w:bCs/>
                <w:color w:val="000000"/>
                <w:kern w:val="0"/>
                <w:sz w:val="16"/>
                <w:szCs w:val="16"/>
              </w:rPr>
              <w:t>电话</w:t>
            </w:r>
          </w:p>
        </w:tc>
        <w:tc>
          <w:tcPr>
            <w:tcW w:w="14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13983338454</w:t>
            </w:r>
          </w:p>
        </w:tc>
      </w:tr>
      <w:tr>
        <w:tblPrEx>
          <w:tblCellMar>
            <w:top w:w="0" w:type="dxa"/>
            <w:left w:w="108" w:type="dxa"/>
            <w:bottom w:w="0" w:type="dxa"/>
            <w:right w:w="108" w:type="dxa"/>
          </w:tblCellMar>
        </w:tblPrEx>
        <w:trPr>
          <w:trHeight w:val="469" w:hRule="atLeast"/>
          <w:jc w:val="center"/>
        </w:trPr>
        <w:tc>
          <w:tcPr>
            <w:tcW w:w="1035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184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84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724"/>
              <w:jc w:val="center"/>
              <w:rPr>
                <w:rFonts w:ascii="宋体" w:hAnsi="宋体" w:cs="宋体"/>
                <w:b/>
                <w:bCs/>
                <w:color w:val="000000"/>
                <w:kern w:val="0"/>
                <w:sz w:val="16"/>
                <w:szCs w:val="16"/>
              </w:rPr>
            </w:pPr>
            <w:r>
              <w:rPr>
                <w:rFonts w:hint="eastAsia" w:ascii="宋体" w:hAnsi="宋体" w:cs="宋体"/>
                <w:b/>
                <w:bCs/>
                <w:color w:val="000000"/>
                <w:kern w:val="0"/>
                <w:sz w:val="16"/>
                <w:szCs w:val="16"/>
              </w:rPr>
              <w:t>年初预算数</w:t>
            </w:r>
          </w:p>
        </w:tc>
        <w:tc>
          <w:tcPr>
            <w:tcW w:w="165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w:t>
            </w:r>
          </w:p>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161"/>
              <w:jc w:val="center"/>
              <w:rPr>
                <w:rFonts w:ascii="宋体" w:hAnsi="宋体" w:cs="宋体"/>
                <w:b/>
                <w:bCs/>
                <w:color w:val="000000"/>
                <w:kern w:val="0"/>
                <w:sz w:val="16"/>
                <w:szCs w:val="16"/>
              </w:rPr>
            </w:pPr>
            <w:r>
              <w:rPr>
                <w:rFonts w:hint="eastAsia" w:ascii="宋体" w:hAnsi="宋体" w:cs="宋体"/>
                <w:b/>
                <w:bCs/>
                <w:color w:val="000000"/>
                <w:kern w:val="0"/>
                <w:sz w:val="16"/>
                <w:szCs w:val="16"/>
              </w:rPr>
              <w:t>全年执行数</w:t>
            </w:r>
          </w:p>
        </w:tc>
        <w:tc>
          <w:tcPr>
            <w:tcW w:w="179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322"/>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权重</w:t>
            </w:r>
          </w:p>
        </w:tc>
        <w:tc>
          <w:tcPr>
            <w:tcW w:w="5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得分</w:t>
            </w:r>
          </w:p>
        </w:tc>
      </w:tr>
      <w:tr>
        <w:tblPrEx>
          <w:tblCellMar>
            <w:top w:w="0" w:type="dxa"/>
            <w:left w:w="108" w:type="dxa"/>
            <w:bottom w:w="0" w:type="dxa"/>
            <w:right w:w="108" w:type="dxa"/>
          </w:tblCellMar>
        </w:tblPrEx>
        <w:trPr>
          <w:trHeight w:val="499" w:hRule="atLeast"/>
          <w:jc w:val="center"/>
        </w:trPr>
        <w:tc>
          <w:tcPr>
            <w:tcW w:w="184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60" w:firstLineChars="100"/>
              <w:jc w:val="center"/>
              <w:rPr>
                <w:rFonts w:ascii="宋体" w:hAnsi="宋体" w:cs="宋体"/>
                <w:color w:val="000000"/>
                <w:kern w:val="0"/>
                <w:sz w:val="16"/>
                <w:szCs w:val="16"/>
              </w:rPr>
            </w:pPr>
            <w:r>
              <w:rPr>
                <w:rFonts w:hint="eastAsia" w:ascii="宋体" w:hAnsi="宋体" w:cs="宋体"/>
                <w:color w:val="000000"/>
                <w:kern w:val="0"/>
                <w:sz w:val="16"/>
                <w:szCs w:val="16"/>
              </w:rPr>
              <w:t>年度总金额</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65201828.61　</w:t>
            </w:r>
          </w:p>
        </w:tc>
        <w:tc>
          <w:tcPr>
            <w:tcW w:w="165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269311883.47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153189001.73　</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56.88　</w:t>
            </w:r>
          </w:p>
        </w:tc>
        <w:tc>
          <w:tcPr>
            <w:tcW w:w="90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kern w:val="0"/>
                <w:sz w:val="16"/>
                <w:szCs w:val="16"/>
              </w:rPr>
            </w:pPr>
            <w:r>
              <w:rPr>
                <w:rFonts w:hint="eastAsia" w:ascii="宋体" w:hAnsi="宋体" w:cs="宋体"/>
                <w:kern w:val="0"/>
                <w:sz w:val="16"/>
                <w:szCs w:val="16"/>
              </w:rPr>
              <w:t>10　</w:t>
            </w:r>
          </w:p>
        </w:tc>
        <w:tc>
          <w:tcPr>
            <w:tcW w:w="570"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kern w:val="0"/>
                <w:sz w:val="16"/>
                <w:szCs w:val="16"/>
              </w:rPr>
            </w:pPr>
            <w:r>
              <w:rPr>
                <w:rFonts w:hint="eastAsia" w:ascii="宋体" w:hAnsi="宋体" w:cs="宋体"/>
                <w:kern w:val="0"/>
                <w:sz w:val="16"/>
                <w:szCs w:val="16"/>
              </w:rPr>
              <w:t>5.69　</w:t>
            </w:r>
          </w:p>
        </w:tc>
      </w:tr>
      <w:tr>
        <w:tblPrEx>
          <w:tblCellMar>
            <w:top w:w="0" w:type="dxa"/>
            <w:left w:w="108" w:type="dxa"/>
            <w:bottom w:w="0" w:type="dxa"/>
            <w:right w:w="108" w:type="dxa"/>
          </w:tblCellMar>
        </w:tblPrEx>
        <w:trPr>
          <w:trHeight w:val="415" w:hRule="atLeast"/>
          <w:jc w:val="center"/>
        </w:trPr>
        <w:tc>
          <w:tcPr>
            <w:tcW w:w="184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60" w:firstLineChars="100"/>
              <w:jc w:val="center"/>
              <w:rPr>
                <w:rFonts w:ascii="宋体" w:hAnsi="宋体" w:cs="宋体"/>
                <w:color w:val="000000"/>
                <w:kern w:val="0"/>
                <w:sz w:val="16"/>
                <w:szCs w:val="16"/>
              </w:rPr>
            </w:pPr>
            <w:r>
              <w:rPr>
                <w:rFonts w:hint="eastAsia" w:ascii="宋体" w:hAnsi="宋体" w:cs="宋体"/>
                <w:color w:val="000000"/>
                <w:kern w:val="0"/>
                <w:sz w:val="16"/>
                <w:szCs w:val="16"/>
              </w:rPr>
              <w:t>其中：财政拨款</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65201828.61　</w:t>
            </w:r>
          </w:p>
        </w:tc>
        <w:tc>
          <w:tcPr>
            <w:tcW w:w="165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269311883.47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153189001.73　</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90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kern w:val="0"/>
                <w:sz w:val="16"/>
                <w:szCs w:val="16"/>
              </w:rPr>
            </w:pPr>
            <w:r>
              <w:rPr>
                <w:rFonts w:hint="eastAsia" w:ascii="宋体" w:hAnsi="宋体" w:cs="宋体"/>
                <w:kern w:val="0"/>
                <w:sz w:val="16"/>
                <w:szCs w:val="16"/>
              </w:rPr>
              <w:t>　</w:t>
            </w:r>
          </w:p>
        </w:tc>
        <w:tc>
          <w:tcPr>
            <w:tcW w:w="570"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600" w:hRule="atLeast"/>
          <w:jc w:val="center"/>
        </w:trPr>
        <w:tc>
          <w:tcPr>
            <w:tcW w:w="1035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绩效目标</w:t>
            </w:r>
          </w:p>
        </w:tc>
      </w:tr>
      <w:tr>
        <w:tblPrEx>
          <w:tblCellMar>
            <w:top w:w="0" w:type="dxa"/>
            <w:left w:w="108" w:type="dxa"/>
            <w:bottom w:w="0" w:type="dxa"/>
            <w:right w:w="108" w:type="dxa"/>
          </w:tblCellMar>
        </w:tblPrEx>
        <w:trPr>
          <w:trHeight w:val="499" w:hRule="atLeast"/>
          <w:jc w:val="center"/>
        </w:trPr>
        <w:tc>
          <w:tcPr>
            <w:tcW w:w="368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年初绩效目标</w:t>
            </w:r>
          </w:p>
        </w:tc>
        <w:tc>
          <w:tcPr>
            <w:tcW w:w="340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全年（调整）绩效目标</w:t>
            </w:r>
          </w:p>
        </w:tc>
        <w:tc>
          <w:tcPr>
            <w:tcW w:w="326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全年目标实际完成情况</w:t>
            </w:r>
          </w:p>
        </w:tc>
      </w:tr>
      <w:tr>
        <w:tblPrEx>
          <w:tblCellMar>
            <w:top w:w="0" w:type="dxa"/>
            <w:left w:w="108" w:type="dxa"/>
            <w:bottom w:w="0" w:type="dxa"/>
            <w:right w:w="108" w:type="dxa"/>
          </w:tblCellMar>
        </w:tblPrEx>
        <w:trPr>
          <w:trHeight w:val="1602" w:hRule="atLeast"/>
          <w:jc w:val="center"/>
        </w:trPr>
        <w:tc>
          <w:tcPr>
            <w:tcW w:w="3686"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一、认真贯彻落实中央、市、县系列会议精神，紧盯年度工作目标任务积极推动重点项目，持续提升城市环境综合治理水平；统筹化解不稳定因素；完善文化基础设施；突出重点项目建设；紧盯重要经济指标，确保经济较快增长；巩固创新成果，提高城市管理水平，营造干净整洁环境；保护青山绿水，突出人居环境治理，打造城市名片；弘扬文明新风，加大力度改善民生，推动社会和谐发展；加强自身建设，提高行政效率标准，完善政务服务职能。</w:t>
            </w:r>
          </w:p>
        </w:tc>
        <w:tc>
          <w:tcPr>
            <w:tcW w:w="3408"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3263"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一、认真贯彻落实中央、市、县系列会议精神，紧盯年度工作目标任务积极推动重点项目，持续提升城市环境综合治理水平；统筹化解不稳定因素；完善文化基础设施；突出重点项目建设；紧盯重要经济指标，确保经济较快增长；巩固创新成果，提高城市管理水平，营造干净整洁环境；保护青山绿水，突出人居环境治理，打造城市名片；弘扬文明新风，加大力度改善民生，推动社会和谐发展；加强自身建设，提高行政效率标准，完善政务服务职能。</w:t>
            </w:r>
          </w:p>
        </w:tc>
      </w:tr>
      <w:tr>
        <w:tblPrEx>
          <w:tblCellMar>
            <w:top w:w="0" w:type="dxa"/>
            <w:left w:w="108" w:type="dxa"/>
            <w:bottom w:w="0" w:type="dxa"/>
            <w:right w:w="108" w:type="dxa"/>
          </w:tblCellMar>
        </w:tblPrEx>
        <w:trPr>
          <w:trHeight w:val="600" w:hRule="atLeast"/>
          <w:jc w:val="center"/>
        </w:trPr>
        <w:tc>
          <w:tcPr>
            <w:tcW w:w="1035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jc w:val="center"/>
              <w:rPr>
                <w:rFonts w:ascii="宋体" w:hAnsi="宋体" w:cs="宋体"/>
                <w:b/>
                <w:bCs/>
                <w:color w:val="000000"/>
                <w:kern w:val="0"/>
                <w:sz w:val="16"/>
              </w:rPr>
            </w:pPr>
            <w:r>
              <w:rPr>
                <w:rFonts w:hint="eastAsia" w:ascii="宋体" w:hAnsi="宋体" w:cs="宋体"/>
                <w:b/>
                <w:bCs/>
                <w:color w:val="000000"/>
                <w:kern w:val="0"/>
                <w:sz w:val="16"/>
              </w:rPr>
              <w:t>名称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计量单位</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jc w:val="center"/>
              <w:rPr>
                <w:rFonts w:ascii="宋体" w:hAnsi="宋体" w:cs="宋体"/>
                <w:b/>
                <w:bCs/>
                <w:color w:val="000000"/>
                <w:kern w:val="0"/>
                <w:sz w:val="16"/>
              </w:rPr>
            </w:pPr>
            <w:r>
              <w:rPr>
                <w:rFonts w:hint="eastAsia" w:ascii="宋体" w:hAnsi="宋体" w:cs="宋体"/>
                <w:b/>
                <w:bCs/>
                <w:color w:val="000000"/>
                <w:kern w:val="0"/>
                <w:sz w:val="16"/>
              </w:rPr>
              <w:t>性质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指标值</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全年完成值</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偏离度（%）</w:t>
            </w:r>
          </w:p>
        </w:tc>
        <w:tc>
          <w:tcPr>
            <w:tcW w:w="10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得分系数（%）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jc w:val="center"/>
              <w:rPr>
                <w:rFonts w:ascii="宋体" w:hAnsi="宋体" w:cs="宋体"/>
                <w:b/>
                <w:bCs/>
                <w:color w:val="000000"/>
                <w:kern w:val="0"/>
                <w:sz w:val="16"/>
              </w:rPr>
            </w:pPr>
            <w:r>
              <w:rPr>
                <w:rFonts w:hint="eastAsia" w:ascii="宋体" w:hAnsi="宋体" w:cs="宋体"/>
                <w:b/>
                <w:bCs/>
                <w:color w:val="000000"/>
                <w:kern w:val="0"/>
                <w:sz w:val="16"/>
              </w:rPr>
              <w:t>权重</w:t>
            </w:r>
          </w:p>
        </w:tc>
        <w:tc>
          <w:tcPr>
            <w:tcW w:w="7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jc w:val="center"/>
              <w:rPr>
                <w:rFonts w:ascii="宋体" w:hAnsi="宋体" w:cs="宋体"/>
                <w:b/>
                <w:bCs/>
                <w:color w:val="000000"/>
                <w:kern w:val="0"/>
                <w:sz w:val="16"/>
              </w:rPr>
            </w:pPr>
            <w:r>
              <w:rPr>
                <w:rFonts w:hint="eastAsia" w:ascii="宋体" w:hAnsi="宋体" w:cs="宋体"/>
                <w:b/>
                <w:bCs/>
                <w:color w:val="000000"/>
                <w:kern w:val="0"/>
                <w:sz w:val="16"/>
              </w:rPr>
              <w:t>得分</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是否核心指标</w:t>
            </w: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安全事故发生次数</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次</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城镇新增就业人数</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人</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控制信访维稳人数</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人</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15</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15</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上报信息报道条数</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条</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100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主题党日活动次数</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次</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12</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12</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防灾减灾救灾能力</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定性</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有所增加</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基层党组织战斗力</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定性</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好</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市容环境整治效果</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定性</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明显改善</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特殊群体（优抚对象、低保对象、残疾人对象、困境儿、高龄老年人、计生奖扶对象等）补助覆盖率</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好</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100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行政内务</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定性</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明显改善</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法制宣传知晓率</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85</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防邪宣传活动</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次</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11</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基层民主法治建设水平</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定性</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有所增加</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居民安全感指数</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85</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垃圾分类知晓率</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85</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群众文化生活需求满意率</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85</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群众文明指数</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85</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城市综合环境居民满意度</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70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服务企业及群众满意度</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85</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社会治安综合治理群众满意度</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90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85</w:t>
            </w:r>
          </w:p>
        </w:tc>
        <w:tc>
          <w:tcPr>
            <w:tcW w:w="75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0</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5</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ascii="宋体" w:hAnsi="宋体" w:cs="宋体"/>
                <w:color w:val="000000"/>
                <w:kern w:val="0"/>
                <w:sz w:val="16"/>
                <w:szCs w:val="16"/>
              </w:rPr>
            </w:pPr>
          </w:p>
        </w:tc>
        <w:tc>
          <w:tcPr>
            <w:tcW w:w="147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6"/>
                <w:szCs w:val="16"/>
              </w:rPr>
            </w:pPr>
          </w:p>
        </w:tc>
      </w:tr>
    </w:tbl>
    <w:p>
      <w:pPr>
        <w:widowControl/>
        <w:shd w:val="clear" w:color="auto" w:fill="FFFFFF"/>
        <w:snapToGrid w:val="0"/>
        <w:spacing w:before="100" w:beforeAutospacing="1" w:after="100" w:afterAutospacing="1"/>
        <w:jc w:val="left"/>
        <w:rPr>
          <w:rFonts w:ascii="仿宋" w:hAnsi="仿宋" w:eastAsia="仿宋" w:cs="宋体"/>
          <w:b/>
          <w:bCs/>
          <w:color w:val="000000" w:themeColor="text1"/>
          <w:kern w:val="0"/>
          <w:sz w:val="28"/>
          <w14:textFill>
            <w14:solidFill>
              <w14:schemeClr w14:val="tx1"/>
            </w14:solidFill>
          </w14:textFill>
        </w:rPr>
      </w:pPr>
    </w:p>
    <w:p>
      <w:pPr>
        <w:widowControl/>
        <w:shd w:val="clear" w:color="auto" w:fill="FFFFFF"/>
        <w:snapToGrid w:val="0"/>
        <w:spacing w:before="100" w:beforeAutospacing="1" w:after="100" w:afterAutospacing="1"/>
        <w:jc w:val="left"/>
        <w:rPr>
          <w:rFonts w:ascii="仿宋" w:hAnsi="仿宋" w:eastAsia="仿宋" w:cs="宋体"/>
          <w:b/>
          <w:bCs/>
          <w:color w:val="000000" w:themeColor="text1"/>
          <w:kern w:val="0"/>
          <w:sz w:val="28"/>
          <w14:textFill>
            <w14:solidFill>
              <w14:schemeClr w14:val="tx1"/>
            </w14:solidFill>
          </w14:textFill>
        </w:rPr>
      </w:pPr>
    </w:p>
    <w:p>
      <w:pPr>
        <w:widowControl/>
        <w:shd w:val="clear" w:color="auto" w:fill="FFFFFF"/>
        <w:snapToGrid w:val="0"/>
        <w:spacing w:before="100" w:beforeAutospacing="1" w:after="100" w:afterAutospacing="1"/>
        <w:jc w:val="left"/>
        <w:rPr>
          <w:rFonts w:ascii="仿宋" w:hAnsi="仿宋" w:eastAsia="仿宋" w:cs="宋体"/>
          <w:b/>
          <w:bCs/>
          <w:color w:val="000000" w:themeColor="text1"/>
          <w:kern w:val="0"/>
          <w:sz w:val="28"/>
          <w14:textFill>
            <w14:solidFill>
              <w14:schemeClr w14:val="tx1"/>
            </w14:solidFill>
          </w14:textFill>
        </w:rPr>
      </w:pPr>
    </w:p>
    <w:p>
      <w:pPr>
        <w:widowControl/>
        <w:shd w:val="clear" w:color="auto" w:fill="FFFFFF"/>
        <w:snapToGrid w:val="0"/>
        <w:spacing w:before="100" w:beforeAutospacing="1" w:after="100" w:afterAutospacing="1"/>
        <w:jc w:val="left"/>
        <w:rPr>
          <w:rFonts w:ascii="仿宋" w:hAnsi="仿宋" w:eastAsia="仿宋" w:cs="宋体"/>
          <w:b/>
          <w:bCs/>
          <w:color w:val="000000" w:themeColor="text1"/>
          <w:kern w:val="0"/>
          <w:sz w:val="28"/>
          <w14:textFill>
            <w14:solidFill>
              <w14:schemeClr w14:val="tx1"/>
            </w14:solidFill>
          </w14:textFill>
        </w:rPr>
      </w:pPr>
    </w:p>
    <w:tbl>
      <w:tblPr>
        <w:tblStyle w:val="5"/>
        <w:tblW w:w="10683" w:type="dxa"/>
        <w:jc w:val="center"/>
        <w:tblLayout w:type="fixed"/>
        <w:tblCellMar>
          <w:top w:w="0" w:type="dxa"/>
          <w:left w:w="108" w:type="dxa"/>
          <w:bottom w:w="0" w:type="dxa"/>
          <w:right w:w="108" w:type="dxa"/>
        </w:tblCellMar>
      </w:tblPr>
      <w:tblGrid>
        <w:gridCol w:w="1277"/>
        <w:gridCol w:w="567"/>
        <w:gridCol w:w="850"/>
        <w:gridCol w:w="992"/>
        <w:gridCol w:w="851"/>
        <w:gridCol w:w="709"/>
        <w:gridCol w:w="1043"/>
        <w:gridCol w:w="709"/>
        <w:gridCol w:w="799"/>
        <w:gridCol w:w="992"/>
        <w:gridCol w:w="902"/>
        <w:gridCol w:w="992"/>
      </w:tblGrid>
      <w:tr>
        <w:tblPrEx>
          <w:tblCellMar>
            <w:top w:w="0" w:type="dxa"/>
            <w:left w:w="108" w:type="dxa"/>
            <w:bottom w:w="0" w:type="dxa"/>
            <w:right w:w="108" w:type="dxa"/>
          </w:tblCellMar>
        </w:tblPrEx>
        <w:trPr>
          <w:trHeight w:val="584" w:hRule="atLeast"/>
          <w:jc w:val="center"/>
        </w:trPr>
        <w:tc>
          <w:tcPr>
            <w:tcW w:w="10683"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bCs/>
                <w:color w:val="000000"/>
                <w:kern w:val="0"/>
                <w:sz w:val="36"/>
                <w:szCs w:val="40"/>
              </w:rPr>
            </w:pPr>
            <w:r>
              <w:rPr>
                <w:rFonts w:hint="eastAsia" w:ascii="微软雅黑" w:hAnsi="微软雅黑" w:eastAsia="微软雅黑" w:cs="宋体"/>
                <w:b/>
                <w:bCs/>
                <w:color w:val="000000"/>
                <w:kern w:val="0"/>
                <w:sz w:val="32"/>
                <w:szCs w:val="40"/>
              </w:rPr>
              <w:t>2022年度项目绩效自评表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项目名称：</w:t>
            </w:r>
          </w:p>
        </w:tc>
        <w:tc>
          <w:tcPr>
            <w:tcW w:w="1417" w:type="dxa"/>
            <w:gridSpan w:val="2"/>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丰都县三合街道2022年涉农公益性岗位</w:t>
            </w:r>
          </w:p>
          <w:p>
            <w:pPr>
              <w:widowControl/>
              <w:spacing w:line="240" w:lineRule="atLeast"/>
              <w:jc w:val="left"/>
              <w:rPr>
                <w:rFonts w:ascii="宋体" w:hAnsi="宋体" w:eastAsia="宋体" w:cs="宋体"/>
                <w:color w:val="000000"/>
                <w:kern w:val="0"/>
                <w:sz w:val="16"/>
                <w:szCs w:val="16"/>
              </w:rPr>
            </w:pPr>
          </w:p>
        </w:tc>
        <w:tc>
          <w:tcPr>
            <w:tcW w:w="992"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项目编码：</w:t>
            </w:r>
          </w:p>
        </w:tc>
        <w:tc>
          <w:tcPr>
            <w:tcW w:w="1560" w:type="dxa"/>
            <w:gridSpan w:val="2"/>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50023022T000002424479</w:t>
            </w:r>
          </w:p>
          <w:p>
            <w:pPr>
              <w:widowControl/>
              <w:spacing w:line="240" w:lineRule="atLeast"/>
              <w:jc w:val="left"/>
              <w:rPr>
                <w:rFonts w:ascii="宋体" w:hAnsi="宋体" w:eastAsia="宋体" w:cs="宋体"/>
                <w:color w:val="000000"/>
                <w:kern w:val="0"/>
                <w:sz w:val="16"/>
                <w:szCs w:val="16"/>
              </w:rPr>
            </w:pPr>
          </w:p>
        </w:tc>
        <w:tc>
          <w:tcPr>
            <w:tcW w:w="104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自评总分：</w:t>
            </w:r>
          </w:p>
        </w:tc>
        <w:tc>
          <w:tcPr>
            <w:tcW w:w="1508" w:type="dxa"/>
            <w:gridSpan w:val="2"/>
            <w:tcBorders>
              <w:top w:val="nil"/>
              <w:left w:val="nil"/>
              <w:bottom w:val="single" w:color="auto" w:sz="4" w:space="0"/>
              <w:right w:val="single" w:color="auto" w:sz="4" w:space="0"/>
            </w:tcBorders>
            <w:noWrap/>
            <w:vAlign w:val="center"/>
          </w:tcPr>
          <w:p>
            <w:pPr>
              <w:widowControl/>
              <w:spacing w:line="240" w:lineRule="atLeast"/>
              <w:ind w:firstLine="160" w:firstLineChars="100"/>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992"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eastAsia="宋体" w:cs="宋体"/>
                <w:b/>
                <w:bCs/>
                <w:color w:val="000000"/>
                <w:kern w:val="0"/>
                <w:sz w:val="16"/>
                <w:szCs w:val="16"/>
              </w:rPr>
            </w:pPr>
          </w:p>
        </w:tc>
        <w:tc>
          <w:tcPr>
            <w:tcW w:w="1894" w:type="dxa"/>
            <w:gridSpan w:val="2"/>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项目主管部门：</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932-丰都县人民政府三合街道办事处</w:t>
            </w:r>
          </w:p>
          <w:p>
            <w:pPr>
              <w:widowControl/>
              <w:spacing w:line="240" w:lineRule="atLeast"/>
              <w:ind w:firstLine="160" w:firstLineChars="100"/>
              <w:jc w:val="left"/>
              <w:rPr>
                <w:rFonts w:ascii="宋体" w:hAnsi="宋体" w:eastAsia="宋体" w:cs="宋体"/>
                <w:color w:val="000000"/>
                <w:kern w:val="0"/>
                <w:sz w:val="16"/>
                <w:szCs w:val="16"/>
              </w:rPr>
            </w:pPr>
          </w:p>
        </w:tc>
        <w:tc>
          <w:tcPr>
            <w:tcW w:w="992"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财政归口处室：</w:t>
            </w:r>
          </w:p>
        </w:tc>
        <w:tc>
          <w:tcPr>
            <w:tcW w:w="1560"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007-基财科</w:t>
            </w:r>
          </w:p>
        </w:tc>
        <w:tc>
          <w:tcPr>
            <w:tcW w:w="1043" w:type="dxa"/>
            <w:tcBorders>
              <w:top w:val="nil"/>
              <w:left w:val="nil"/>
              <w:bottom w:val="single" w:color="auto" w:sz="4" w:space="0"/>
              <w:right w:val="single" w:color="auto" w:sz="4" w:space="0"/>
            </w:tcBorders>
            <w:noWrap/>
            <w:vAlign w:val="center"/>
          </w:tcPr>
          <w:p>
            <w:pPr>
              <w:widowControl/>
              <w:spacing w:line="240" w:lineRule="atLeast"/>
              <w:ind w:right="483"/>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部门</w:t>
            </w:r>
          </w:p>
          <w:p>
            <w:pPr>
              <w:widowControl/>
              <w:spacing w:line="240" w:lineRule="atLeast"/>
              <w:ind w:right="161"/>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联系人：</w:t>
            </w:r>
          </w:p>
        </w:tc>
        <w:tc>
          <w:tcPr>
            <w:tcW w:w="1508"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李瑶</w:t>
            </w:r>
          </w:p>
          <w:p>
            <w:pPr>
              <w:widowControl/>
              <w:spacing w:line="240" w:lineRule="atLeast"/>
              <w:ind w:firstLine="160" w:firstLineChars="100"/>
              <w:jc w:val="left"/>
              <w:rPr>
                <w:rFonts w:ascii="宋体" w:hAnsi="宋体" w:eastAsia="宋体" w:cs="宋体"/>
                <w:color w:val="000000"/>
                <w:kern w:val="0"/>
                <w:sz w:val="16"/>
                <w:szCs w:val="16"/>
              </w:rPr>
            </w:pPr>
          </w:p>
        </w:tc>
        <w:tc>
          <w:tcPr>
            <w:tcW w:w="992" w:type="dxa"/>
            <w:tcBorders>
              <w:top w:val="nil"/>
              <w:left w:val="nil"/>
              <w:bottom w:val="single" w:color="auto" w:sz="4" w:space="0"/>
              <w:right w:val="single" w:color="auto" w:sz="4" w:space="0"/>
            </w:tcBorders>
            <w:noWrap/>
            <w:vAlign w:val="center"/>
          </w:tcPr>
          <w:p>
            <w:pPr>
              <w:widowControl/>
              <w:spacing w:line="240" w:lineRule="atLeast"/>
              <w:ind w:right="181"/>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联系</w:t>
            </w:r>
          </w:p>
          <w:p>
            <w:pPr>
              <w:widowControl/>
              <w:spacing w:line="240" w:lineRule="atLeast"/>
              <w:ind w:right="181"/>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电话</w:t>
            </w:r>
          </w:p>
        </w:tc>
        <w:tc>
          <w:tcPr>
            <w:tcW w:w="1894"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70710303</w:t>
            </w:r>
          </w:p>
          <w:p>
            <w:pPr>
              <w:widowControl/>
              <w:spacing w:line="240" w:lineRule="atLeast"/>
              <w:ind w:firstLine="160" w:firstLineChars="100"/>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469" w:hRule="atLeast"/>
          <w:jc w:val="center"/>
        </w:trPr>
        <w:tc>
          <w:tcPr>
            <w:tcW w:w="10683"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1844"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42" w:type="dxa"/>
            <w:gridSpan w:val="2"/>
            <w:tcBorders>
              <w:top w:val="single" w:color="auto" w:sz="4" w:space="0"/>
              <w:left w:val="nil"/>
              <w:bottom w:val="single" w:color="auto" w:sz="4" w:space="0"/>
              <w:right w:val="single" w:color="000000" w:sz="4" w:space="0"/>
            </w:tcBorders>
            <w:noWrap/>
            <w:vAlign w:val="center"/>
          </w:tcPr>
          <w:p>
            <w:pPr>
              <w:widowControl/>
              <w:ind w:right="724"/>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年初预算数</w:t>
            </w:r>
          </w:p>
        </w:tc>
        <w:tc>
          <w:tcPr>
            <w:tcW w:w="1560"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全年（调整）</w:t>
            </w:r>
          </w:p>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预算数</w:t>
            </w:r>
          </w:p>
        </w:tc>
        <w:tc>
          <w:tcPr>
            <w:tcW w:w="1752" w:type="dxa"/>
            <w:gridSpan w:val="2"/>
            <w:tcBorders>
              <w:top w:val="single" w:color="auto" w:sz="4" w:space="0"/>
              <w:left w:val="nil"/>
              <w:bottom w:val="single" w:color="auto" w:sz="4" w:space="0"/>
              <w:right w:val="single" w:color="000000" w:sz="4" w:space="0"/>
            </w:tcBorders>
            <w:noWrap/>
            <w:vAlign w:val="center"/>
          </w:tcPr>
          <w:p>
            <w:pPr>
              <w:widowControl/>
              <w:ind w:right="161"/>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全年执行数</w:t>
            </w:r>
          </w:p>
        </w:tc>
        <w:tc>
          <w:tcPr>
            <w:tcW w:w="1791" w:type="dxa"/>
            <w:gridSpan w:val="2"/>
            <w:tcBorders>
              <w:top w:val="single" w:color="auto" w:sz="4" w:space="0"/>
              <w:left w:val="nil"/>
              <w:bottom w:val="single" w:color="auto" w:sz="4" w:space="0"/>
              <w:right w:val="single" w:color="000000" w:sz="4" w:space="0"/>
            </w:tcBorders>
            <w:noWrap/>
            <w:vAlign w:val="center"/>
          </w:tcPr>
          <w:p>
            <w:pPr>
              <w:widowControl/>
              <w:ind w:right="322"/>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执行率</w:t>
            </w:r>
          </w:p>
        </w:tc>
        <w:tc>
          <w:tcPr>
            <w:tcW w:w="90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执行率</w:t>
            </w:r>
          </w:p>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权重</w:t>
            </w:r>
          </w:p>
        </w:tc>
        <w:tc>
          <w:tcPr>
            <w:tcW w:w="99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执行率</w:t>
            </w:r>
          </w:p>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得分</w:t>
            </w:r>
          </w:p>
        </w:tc>
      </w:tr>
      <w:tr>
        <w:tblPrEx>
          <w:tblCellMar>
            <w:top w:w="0" w:type="dxa"/>
            <w:left w:w="108" w:type="dxa"/>
            <w:bottom w:w="0" w:type="dxa"/>
            <w:right w:w="108" w:type="dxa"/>
          </w:tblCellMar>
        </w:tblPrEx>
        <w:trPr>
          <w:trHeight w:val="499" w:hRule="atLeast"/>
          <w:jc w:val="center"/>
        </w:trPr>
        <w:tc>
          <w:tcPr>
            <w:tcW w:w="1844"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年度总金额</w:t>
            </w:r>
          </w:p>
        </w:tc>
        <w:tc>
          <w:tcPr>
            <w:tcW w:w="1842" w:type="dxa"/>
            <w:gridSpan w:val="2"/>
            <w:tcBorders>
              <w:top w:val="single" w:color="auto" w:sz="4" w:space="0"/>
              <w:left w:val="nil"/>
              <w:bottom w:val="single" w:color="auto" w:sz="4" w:space="0"/>
              <w:right w:val="single" w:color="auto" w:sz="4" w:space="0"/>
            </w:tcBorders>
            <w:noWrap/>
            <w:vAlign w:val="center"/>
          </w:tcPr>
          <w:p>
            <w:pPr>
              <w:widowControl/>
              <w:ind w:firstLine="160" w:firstLineChars="100"/>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60"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1,132,200.00</w:t>
            </w:r>
          </w:p>
        </w:tc>
        <w:tc>
          <w:tcPr>
            <w:tcW w:w="1752"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1,132,200.00</w:t>
            </w:r>
          </w:p>
        </w:tc>
        <w:tc>
          <w:tcPr>
            <w:tcW w:w="1791" w:type="dxa"/>
            <w:gridSpan w:val="2"/>
            <w:tcBorders>
              <w:top w:val="single" w:color="auto" w:sz="4" w:space="0"/>
              <w:left w:val="nil"/>
              <w:bottom w:val="single" w:color="auto" w:sz="4" w:space="0"/>
              <w:right w:val="single" w:color="auto" w:sz="4" w:space="0"/>
            </w:tcBorders>
            <w:noWrap/>
            <w:vAlign w:val="center"/>
          </w:tcPr>
          <w:p>
            <w:pPr>
              <w:widowControl/>
              <w:ind w:firstLine="160" w:firstLineChars="100"/>
              <w:jc w:val="center"/>
              <w:rPr>
                <w:rFonts w:ascii="宋体" w:hAnsi="宋体" w:eastAsia="宋体" w:cs="宋体"/>
                <w:color w:val="000000"/>
                <w:kern w:val="0"/>
                <w:sz w:val="16"/>
                <w:szCs w:val="16"/>
              </w:rPr>
            </w:pPr>
          </w:p>
        </w:tc>
        <w:tc>
          <w:tcPr>
            <w:tcW w:w="902" w:type="dxa"/>
            <w:tcBorders>
              <w:top w:val="nil"/>
              <w:left w:val="nil"/>
              <w:bottom w:val="single" w:color="auto" w:sz="4" w:space="0"/>
              <w:right w:val="single" w:color="auto" w:sz="4" w:space="0"/>
            </w:tcBorders>
            <w:noWrap/>
            <w:vAlign w:val="center"/>
          </w:tcPr>
          <w:p>
            <w:pPr>
              <w:widowControl/>
              <w:ind w:firstLine="160" w:firstLineChars="100"/>
              <w:jc w:val="center"/>
              <w:rPr>
                <w:rFonts w:ascii="宋体" w:hAnsi="宋体" w:eastAsia="宋体" w:cs="宋体"/>
                <w:kern w:val="0"/>
                <w:sz w:val="16"/>
                <w:szCs w:val="16"/>
              </w:rPr>
            </w:pPr>
          </w:p>
        </w:tc>
        <w:tc>
          <w:tcPr>
            <w:tcW w:w="992" w:type="dxa"/>
            <w:tcBorders>
              <w:top w:val="nil"/>
              <w:left w:val="nil"/>
              <w:bottom w:val="single" w:color="auto" w:sz="4" w:space="0"/>
              <w:right w:val="single" w:color="auto" w:sz="4" w:space="0"/>
            </w:tcBorders>
            <w:noWrap/>
            <w:vAlign w:val="center"/>
          </w:tcPr>
          <w:p>
            <w:pPr>
              <w:widowControl/>
              <w:ind w:firstLine="160" w:firstLineChars="100"/>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415" w:hRule="atLeast"/>
          <w:jc w:val="center"/>
        </w:trPr>
        <w:tc>
          <w:tcPr>
            <w:tcW w:w="1844"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160" w:firstLineChars="100"/>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其中：财政拨款</w:t>
            </w:r>
          </w:p>
        </w:tc>
        <w:tc>
          <w:tcPr>
            <w:tcW w:w="1842" w:type="dxa"/>
            <w:gridSpan w:val="2"/>
            <w:tcBorders>
              <w:top w:val="single" w:color="auto" w:sz="4" w:space="0"/>
              <w:left w:val="nil"/>
              <w:bottom w:val="single" w:color="auto" w:sz="4" w:space="0"/>
              <w:right w:val="single" w:color="auto" w:sz="4" w:space="0"/>
            </w:tcBorders>
            <w:noWrap/>
            <w:vAlign w:val="center"/>
          </w:tcPr>
          <w:p>
            <w:pPr>
              <w:widowControl/>
              <w:ind w:firstLine="160" w:firstLineChars="100"/>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60"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1,132,200.00</w:t>
            </w:r>
          </w:p>
        </w:tc>
        <w:tc>
          <w:tcPr>
            <w:tcW w:w="1752"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1,132,200.00</w:t>
            </w:r>
          </w:p>
        </w:tc>
        <w:tc>
          <w:tcPr>
            <w:tcW w:w="1791" w:type="dxa"/>
            <w:gridSpan w:val="2"/>
            <w:tcBorders>
              <w:top w:val="single" w:color="auto" w:sz="4" w:space="0"/>
              <w:left w:val="nil"/>
              <w:bottom w:val="single" w:color="auto" w:sz="4" w:space="0"/>
              <w:right w:val="single" w:color="auto" w:sz="4" w:space="0"/>
            </w:tcBorders>
            <w:noWrap/>
            <w:vAlign w:val="center"/>
          </w:tcPr>
          <w:p>
            <w:pPr>
              <w:widowControl/>
              <w:ind w:firstLine="160" w:firstLineChars="100"/>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902" w:type="dxa"/>
            <w:tcBorders>
              <w:top w:val="nil"/>
              <w:left w:val="nil"/>
              <w:bottom w:val="single" w:color="auto" w:sz="4" w:space="0"/>
              <w:right w:val="single" w:color="auto" w:sz="4" w:space="0"/>
            </w:tcBorders>
            <w:noWrap/>
            <w:vAlign w:val="center"/>
          </w:tcPr>
          <w:p>
            <w:pPr>
              <w:widowControl/>
              <w:ind w:firstLine="160" w:firstLineChars="100"/>
              <w:jc w:val="center"/>
              <w:rPr>
                <w:rFonts w:ascii="宋体" w:hAnsi="宋体" w:eastAsia="宋体" w:cs="宋体"/>
                <w:kern w:val="0"/>
                <w:sz w:val="16"/>
                <w:szCs w:val="16"/>
              </w:rPr>
            </w:pPr>
            <w:r>
              <w:rPr>
                <w:rFonts w:hint="eastAsia" w:ascii="宋体" w:hAnsi="宋体" w:eastAsia="宋体" w:cs="宋体"/>
                <w:kern w:val="0"/>
                <w:sz w:val="16"/>
                <w:szCs w:val="16"/>
              </w:rPr>
              <w:t>10.00</w:t>
            </w:r>
          </w:p>
        </w:tc>
        <w:tc>
          <w:tcPr>
            <w:tcW w:w="992" w:type="dxa"/>
            <w:tcBorders>
              <w:top w:val="nil"/>
              <w:left w:val="nil"/>
              <w:bottom w:val="single" w:color="auto" w:sz="4" w:space="0"/>
              <w:right w:val="single" w:color="auto" w:sz="4" w:space="0"/>
            </w:tcBorders>
            <w:noWrap/>
            <w:vAlign w:val="center"/>
          </w:tcPr>
          <w:p>
            <w:pPr>
              <w:widowControl/>
              <w:ind w:firstLine="160" w:firstLineChars="100"/>
              <w:jc w:val="center"/>
              <w:rPr>
                <w:rFonts w:ascii="宋体" w:hAnsi="宋体" w:eastAsia="宋体" w:cs="宋体"/>
                <w:kern w:val="0"/>
                <w:sz w:val="16"/>
                <w:szCs w:val="16"/>
              </w:rPr>
            </w:pPr>
            <w:r>
              <w:rPr>
                <w:rFonts w:hint="eastAsia" w:ascii="宋体" w:hAnsi="宋体" w:eastAsia="宋体" w:cs="宋体"/>
                <w:kern w:val="0"/>
                <w:sz w:val="16"/>
                <w:szCs w:val="16"/>
              </w:rPr>
              <w:t>10.00</w:t>
            </w:r>
          </w:p>
        </w:tc>
      </w:tr>
      <w:tr>
        <w:tblPrEx>
          <w:tblCellMar>
            <w:top w:w="0" w:type="dxa"/>
            <w:left w:w="108" w:type="dxa"/>
            <w:bottom w:w="0" w:type="dxa"/>
            <w:right w:w="108" w:type="dxa"/>
          </w:tblCellMar>
        </w:tblPrEx>
        <w:trPr>
          <w:trHeight w:val="600" w:hRule="atLeast"/>
          <w:jc w:val="center"/>
        </w:trPr>
        <w:tc>
          <w:tcPr>
            <w:tcW w:w="10683"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绩效目标</w:t>
            </w:r>
          </w:p>
        </w:tc>
      </w:tr>
      <w:tr>
        <w:tblPrEx>
          <w:tblCellMar>
            <w:top w:w="0" w:type="dxa"/>
            <w:left w:w="108" w:type="dxa"/>
            <w:bottom w:w="0" w:type="dxa"/>
            <w:right w:w="108" w:type="dxa"/>
          </w:tblCellMar>
        </w:tblPrEx>
        <w:trPr>
          <w:trHeight w:val="499" w:hRule="atLeast"/>
          <w:jc w:val="center"/>
        </w:trPr>
        <w:tc>
          <w:tcPr>
            <w:tcW w:w="368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年初绩效目标</w:t>
            </w:r>
          </w:p>
        </w:tc>
        <w:tc>
          <w:tcPr>
            <w:tcW w:w="331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全年（调整）绩效目标</w:t>
            </w:r>
          </w:p>
        </w:tc>
        <w:tc>
          <w:tcPr>
            <w:tcW w:w="368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全年目标实际完成情况</w:t>
            </w:r>
          </w:p>
        </w:tc>
      </w:tr>
      <w:tr>
        <w:tblPrEx>
          <w:tblCellMar>
            <w:top w:w="0" w:type="dxa"/>
            <w:left w:w="108" w:type="dxa"/>
            <w:bottom w:w="0" w:type="dxa"/>
            <w:right w:w="108" w:type="dxa"/>
          </w:tblCellMar>
        </w:tblPrEx>
        <w:trPr>
          <w:trHeight w:val="1015" w:hRule="atLeast"/>
          <w:jc w:val="center"/>
        </w:trPr>
        <w:tc>
          <w:tcPr>
            <w:tcW w:w="3686" w:type="dxa"/>
            <w:gridSpan w:val="4"/>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312" w:type="dxa"/>
            <w:gridSpan w:val="4"/>
            <w:tcBorders>
              <w:top w:val="single" w:color="auto" w:sz="4" w:space="0"/>
              <w:left w:val="nil"/>
              <w:bottom w:val="single" w:color="auto" w:sz="4" w:space="0"/>
              <w:right w:val="single" w:color="auto" w:sz="4" w:space="0"/>
            </w:tcBorders>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丰都县三合街道2022年涉农公益性岗位，三合街道共计55.5个岗位，按照1700元/月的标准补助</w:t>
            </w:r>
          </w:p>
          <w:p>
            <w:pPr>
              <w:widowControl/>
              <w:jc w:val="left"/>
              <w:rPr>
                <w:rFonts w:ascii="宋体" w:hAnsi="宋体" w:eastAsia="宋体" w:cs="宋体"/>
                <w:color w:val="000000"/>
                <w:kern w:val="0"/>
                <w:sz w:val="16"/>
                <w:szCs w:val="16"/>
              </w:rPr>
            </w:pPr>
          </w:p>
        </w:tc>
        <w:tc>
          <w:tcPr>
            <w:tcW w:w="3685" w:type="dxa"/>
            <w:gridSpan w:val="4"/>
            <w:tcBorders>
              <w:top w:val="single" w:color="auto" w:sz="4" w:space="0"/>
              <w:left w:val="nil"/>
              <w:bottom w:val="single" w:color="auto" w:sz="4" w:space="0"/>
              <w:right w:val="single" w:color="auto" w:sz="4" w:space="0"/>
            </w:tcBorders>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丰都县三合街道2022年涉农公益性岗位，三合街道共计55.5个岗位，按照1700元/月的标准补助</w:t>
            </w:r>
          </w:p>
          <w:p>
            <w:pPr>
              <w:widowControl/>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600" w:hRule="atLeast"/>
          <w:jc w:val="center"/>
        </w:trPr>
        <w:tc>
          <w:tcPr>
            <w:tcW w:w="10683"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指标</w:t>
            </w:r>
          </w:p>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名称</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计量单位</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指标</w:t>
            </w:r>
          </w:p>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性质</w:t>
            </w:r>
          </w:p>
        </w:tc>
        <w:tc>
          <w:tcPr>
            <w:tcW w:w="99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指标值</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全年完成值</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偏离度（%）</w:t>
            </w:r>
          </w:p>
        </w:tc>
        <w:tc>
          <w:tcPr>
            <w:tcW w:w="104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得分系数（%）</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指标</w:t>
            </w:r>
          </w:p>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权重</w:t>
            </w:r>
          </w:p>
        </w:tc>
        <w:tc>
          <w:tcPr>
            <w:tcW w:w="79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指标</w:t>
            </w:r>
          </w:p>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得分</w:t>
            </w:r>
          </w:p>
        </w:tc>
        <w:tc>
          <w:tcPr>
            <w:tcW w:w="99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是否核心指标</w:t>
            </w:r>
          </w:p>
        </w:tc>
        <w:tc>
          <w:tcPr>
            <w:tcW w:w="1894"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
                <w:bCs/>
                <w:color w:val="000000"/>
                <w:kern w:val="0"/>
                <w:sz w:val="16"/>
              </w:rPr>
            </w:pPr>
            <w:r>
              <w:rPr>
                <w:rFonts w:hint="eastAsia" w:ascii="宋体" w:hAnsi="宋体" w:eastAsia="宋体" w:cs="宋体"/>
                <w:b/>
                <w:bCs/>
                <w:color w:val="000000"/>
                <w:kern w:val="0"/>
                <w:sz w:val="16"/>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三合街道岗位人数</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人</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55</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55</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财政补助经费使用率</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人</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★补助资金及时发放率（≥**%）</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99</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99</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社会和谐稳定、安全保障</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定性</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良</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项目受益人群众满意度</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80</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85</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07"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三合街道岗位人数</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人</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55</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55</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财政补助经费使用率</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人</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★补助资金及时发放率（≥**%）</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99</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99</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社会和谐稳定、安全保障</w:t>
            </w:r>
          </w:p>
        </w:tc>
        <w:tc>
          <w:tcPr>
            <w:tcW w:w="567"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50"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定性</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良</w:t>
            </w:r>
          </w:p>
        </w:tc>
        <w:tc>
          <w:tcPr>
            <w:tcW w:w="851"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43"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0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799"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992" w:type="dxa"/>
            <w:tcBorders>
              <w:top w:val="nil"/>
              <w:left w:val="nil"/>
              <w:bottom w:val="single" w:color="auto" w:sz="4" w:space="0"/>
              <w:right w:val="single" w:color="auto"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noWrap/>
            <w:vAlign w:val="center"/>
          </w:tcPr>
          <w:p>
            <w:pPr>
              <w:widowControl/>
              <w:spacing w:line="240" w:lineRule="atLeast"/>
              <w:ind w:firstLine="160" w:firstLineChars="1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bl>
    <w:p>
      <w:pPr>
        <w:widowControl/>
        <w:shd w:val="clear" w:color="auto" w:fill="FFFFFF"/>
        <w:snapToGrid w:val="0"/>
        <w:spacing w:before="100" w:beforeAutospacing="1" w:after="100" w:afterAutospacing="1"/>
        <w:jc w:val="left"/>
        <w:rPr>
          <w:rFonts w:ascii="仿宋" w:hAnsi="仿宋" w:eastAsia="仿宋" w:cs="宋体"/>
          <w:b/>
          <w:bCs/>
          <w:color w:val="000000" w:themeColor="text1"/>
          <w:kern w:val="0"/>
          <w:sz w:val="28"/>
          <w14:textFill>
            <w14:solidFill>
              <w14:schemeClr w14:val="tx1"/>
            </w14:solidFill>
          </w14:textFill>
        </w:rPr>
      </w:pPr>
    </w:p>
    <w:p>
      <w:pPr>
        <w:widowControl/>
        <w:shd w:val="clear" w:color="auto" w:fill="FFFFFF"/>
        <w:snapToGrid w:val="0"/>
        <w:spacing w:before="100" w:beforeAutospacing="1" w:after="100" w:afterAutospacing="1"/>
        <w:jc w:val="left"/>
        <w:rPr>
          <w:rFonts w:ascii="仿宋" w:hAnsi="仿宋" w:eastAsia="仿宋" w:cs="宋体"/>
          <w:b/>
          <w:bCs/>
          <w:color w:val="000000" w:themeColor="text1"/>
          <w:kern w:val="0"/>
          <w:sz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2.绩效自评报告或案例。</w:t>
      </w:r>
    </w:p>
    <w:p>
      <w:pPr>
        <w:widowControl/>
        <w:shd w:val="clear" w:color="auto" w:fill="FFFFFF"/>
        <w:snapToGrid w:val="0"/>
        <w:spacing w:before="100" w:beforeAutospacing="1" w:after="100" w:afterAutospacing="1"/>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本部门有委托第三方开展绩效自评。绩效自评报告详见附件。</w:t>
      </w:r>
    </w:p>
    <w:p>
      <w:pPr>
        <w:widowControl/>
        <w:shd w:val="clear" w:color="auto" w:fill="FFFFFF"/>
        <w:snapToGrid w:val="0"/>
        <w:spacing w:before="100" w:beforeAutospacing="1" w:after="100" w:afterAutospacing="1"/>
        <w:jc w:val="left"/>
        <w:rPr>
          <w:rFonts w:ascii="宋体" w:hAnsi="宋体" w:eastAsia="宋体" w:cs="宋体"/>
          <w:b/>
          <w:bCs/>
          <w:kern w:val="0"/>
          <w:sz w:val="24"/>
          <w:szCs w:val="24"/>
        </w:rPr>
      </w:pPr>
      <w:r>
        <w:rPr>
          <w:rFonts w:hint="eastAsia" w:ascii="仿宋" w:hAnsi="仿宋" w:eastAsia="仿宋" w:cs="宋体"/>
          <w:b/>
          <w:bCs/>
          <w:color w:val="000000" w:themeColor="text1"/>
          <w:kern w:val="0"/>
          <w:sz w:val="28"/>
          <w14:textFill>
            <w14:solidFill>
              <w14:schemeClr w14:val="tx1"/>
            </w14:solidFill>
          </w14:textFill>
        </w:rPr>
        <w:t>3.关于绩效自评结果的说明。</w:t>
      </w:r>
    </w:p>
    <w:p>
      <w:pPr>
        <w:widowControl/>
        <w:shd w:val="clear" w:color="auto" w:fill="FFFFFF"/>
        <w:snapToGrid w:val="0"/>
        <w:spacing w:before="100" w:beforeAutospacing="1" w:after="100" w:afterAutospacing="1"/>
        <w:jc w:val="left"/>
        <w:rPr>
          <w:rFonts w:ascii="宋体" w:hAnsi="宋体" w:eastAsia="宋体" w:cs="宋体"/>
          <w:kern w:val="0"/>
          <w:sz w:val="24"/>
          <w:szCs w:val="24"/>
        </w:rPr>
      </w:pPr>
      <w:r>
        <w:rPr>
          <w:rFonts w:hint="eastAsia" w:ascii="仿宋" w:hAnsi="仿宋" w:eastAsia="仿宋" w:cs="方正仿宋_GBK"/>
          <w:color w:val="000000" w:themeColor="text1"/>
          <w:sz w:val="28"/>
          <w:szCs w:val="28"/>
          <w14:textFill>
            <w14:solidFill>
              <w14:schemeClr w14:val="tx1"/>
            </w14:solidFill>
          </w14:textFill>
        </w:rPr>
        <w:t>我单位绩效自评均已完成年度绩效目标</w:t>
      </w:r>
    </w:p>
    <w:p>
      <w:pPr>
        <w:widowControl/>
        <w:shd w:val="clear" w:color="auto" w:fill="FFFFFF"/>
        <w:snapToGrid w:val="0"/>
        <w:spacing w:before="100" w:beforeAutospacing="1" w:after="100" w:afterAutospacing="1"/>
        <w:jc w:val="left"/>
        <w:rPr>
          <w:rFonts w:ascii="仿宋" w:hAnsi="仿宋" w:eastAsia="仿宋" w:cs="宋体"/>
          <w:b/>
          <w:bCs/>
          <w:color w:val="000000" w:themeColor="text1"/>
          <w:kern w:val="0"/>
          <w:sz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（三）重点绩效评价结果。</w:t>
      </w:r>
    </w:p>
    <w:p>
      <w:pPr>
        <w:widowControl/>
        <w:shd w:val="clear" w:color="auto" w:fill="FFFFFF"/>
        <w:snapToGrid w:val="0"/>
        <w:spacing w:before="100" w:beforeAutospacing="1" w:after="100" w:afterAutospacing="1"/>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我单位有委托第三方开展重点绩效评价。重点绩效评价已完成年度绩效目标。</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六、专业名词解释</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（一）财政拨款收入</w:t>
      </w:r>
      <w:r>
        <w:rPr>
          <w:rFonts w:hint="eastAsia" w:ascii="仿宋" w:hAnsi="仿宋" w:eastAsia="仿宋" w:cs="宋体"/>
          <w:color w:val="000000" w:themeColor="text1"/>
          <w:kern w:val="0"/>
          <w:sz w:val="28"/>
          <w:szCs w:val="28"/>
          <w14:textFill>
            <w14:solidFill>
              <w14:schemeClr w14:val="tx1"/>
            </w14:solidFill>
          </w14:textFill>
        </w:rPr>
        <w:t>：指本年度从本级财政部门取得的财政拨款，包括一般公共预算财政拨款和政府性基金预算财政拨款。</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（二）事业收入</w:t>
      </w:r>
      <w:r>
        <w:rPr>
          <w:rFonts w:hint="eastAsia" w:ascii="仿宋" w:hAnsi="仿宋" w:eastAsia="仿宋" w:cs="宋体"/>
          <w:color w:val="000000" w:themeColor="text1"/>
          <w:kern w:val="0"/>
          <w:sz w:val="28"/>
          <w:szCs w:val="28"/>
          <w14:textFill>
            <w14:solidFill>
              <w14:schemeClr w14:val="tx1"/>
            </w14:solidFill>
          </w14:textFill>
        </w:rPr>
        <w:t>：指事业单位开展专业业务活动及其辅助活动取得的现金流入；事业单位收到的财政专户实际核拨的教育收费等资金在此反映。</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（三）经营收入</w:t>
      </w:r>
      <w:r>
        <w:rPr>
          <w:rFonts w:hint="eastAsia" w:ascii="仿宋" w:hAnsi="仿宋" w:eastAsia="仿宋" w:cs="宋体"/>
          <w:color w:val="000000" w:themeColor="text1"/>
          <w:kern w:val="0"/>
          <w:sz w:val="28"/>
          <w:szCs w:val="28"/>
          <w14:textFill>
            <w14:solidFill>
              <w14:schemeClr w14:val="tx1"/>
            </w14:solidFill>
          </w14:textFill>
        </w:rPr>
        <w:t>：指事业单位在专业业务活动及其辅助活动之外开展非独立核算经营活动取得的现金流入。</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（四）其他收入</w:t>
      </w:r>
      <w:r>
        <w:rPr>
          <w:rFonts w:hint="eastAsia" w:ascii="仿宋" w:hAnsi="仿宋" w:eastAsia="仿宋" w:cs="宋体"/>
          <w:color w:val="000000" w:themeColor="text1"/>
          <w:kern w:val="0"/>
          <w:sz w:val="28"/>
          <w:szCs w:val="28"/>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（五）使用非财政拨款结余</w:t>
      </w:r>
      <w:r>
        <w:rPr>
          <w:rFonts w:hint="eastAsia" w:ascii="仿宋" w:hAnsi="仿宋" w:eastAsia="仿宋" w:cs="宋体"/>
          <w:color w:val="000000" w:themeColor="text1"/>
          <w:kern w:val="0"/>
          <w:sz w:val="28"/>
          <w:szCs w:val="28"/>
          <w14:textFill>
            <w14:solidFill>
              <w14:schemeClr w14:val="tx1"/>
            </w14:solidFill>
          </w14:textFill>
        </w:rPr>
        <w:t>：指单位在当年的“财政拨款收入”、“事业收入”、“经营收入”、“其他收入”等不足以安排当年支出的情况下，使用以前年度积累的非财政拨款结余弥补本年度收支缺口的资金。</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（六）年初结转和结余</w:t>
      </w:r>
      <w:r>
        <w:rPr>
          <w:rFonts w:hint="eastAsia" w:ascii="仿宋" w:hAnsi="仿宋" w:eastAsia="仿宋" w:cs="宋体"/>
          <w:color w:val="000000" w:themeColor="text1"/>
          <w:kern w:val="0"/>
          <w:sz w:val="28"/>
          <w:szCs w:val="28"/>
          <w14:textFill>
            <w14:solidFill>
              <w14:schemeClr w14:val="tx1"/>
            </w14:solidFill>
          </w14:textFill>
        </w:rPr>
        <w:t>：指单位上年结转本年使用的基本支出结转、项目支出结转和结余、经营结余。</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（七）结余分配</w:t>
      </w:r>
      <w:r>
        <w:rPr>
          <w:rFonts w:hint="eastAsia" w:ascii="仿宋" w:hAnsi="仿宋" w:eastAsia="仿宋" w:cs="宋体"/>
          <w:color w:val="000000" w:themeColor="text1"/>
          <w:kern w:val="0"/>
          <w:sz w:val="28"/>
          <w:szCs w:val="28"/>
          <w14:textFill>
            <w14:solidFill>
              <w14:schemeClr w14:val="tx1"/>
            </w14:solidFill>
          </w14:textFill>
        </w:rPr>
        <w:t>：指单位按照国家有关规定，缴纳所得税、提取专用基金、转入非财政拨款结余等当年结余的分配情况。</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（八）年末结转和结余</w:t>
      </w:r>
      <w:r>
        <w:rPr>
          <w:rFonts w:hint="eastAsia" w:ascii="仿宋" w:hAnsi="仿宋" w:eastAsia="仿宋" w:cs="宋体"/>
          <w:color w:val="000000" w:themeColor="text1"/>
          <w:kern w:val="0"/>
          <w:sz w:val="28"/>
          <w:szCs w:val="28"/>
          <w14:textFill>
            <w14:solidFill>
              <w14:schemeClr w14:val="tx1"/>
            </w14:solidFill>
          </w14:textFill>
        </w:rPr>
        <w:t>：指单位结转下年的基本支出结转、项目支出结转和结余、经营结余。</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（九）基本支出</w:t>
      </w:r>
      <w:r>
        <w:rPr>
          <w:rFonts w:hint="eastAsia" w:ascii="仿宋" w:hAnsi="仿宋" w:eastAsia="仿宋" w:cs="宋体"/>
          <w:color w:val="000000" w:themeColor="text1"/>
          <w:kern w:val="0"/>
          <w:sz w:val="28"/>
          <w:szCs w:val="28"/>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（十）项目支出</w:t>
      </w:r>
      <w:r>
        <w:rPr>
          <w:rFonts w:hint="eastAsia" w:ascii="仿宋" w:hAnsi="仿宋" w:eastAsia="仿宋" w:cs="宋体"/>
          <w:color w:val="000000" w:themeColor="text1"/>
          <w:kern w:val="0"/>
          <w:sz w:val="28"/>
          <w:szCs w:val="28"/>
          <w14:textFill>
            <w14:solidFill>
              <w14:schemeClr w14:val="tx1"/>
            </w14:solidFill>
          </w14:textFill>
        </w:rPr>
        <w:t>：指在基本支出之外为完成特定行政任务和事业发展目标所发生的支出。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（十一）经营支出</w:t>
      </w:r>
      <w:r>
        <w:rPr>
          <w:rFonts w:hint="eastAsia" w:ascii="仿宋" w:hAnsi="仿宋" w:eastAsia="仿宋" w:cs="宋体"/>
          <w:color w:val="000000" w:themeColor="text1"/>
          <w:kern w:val="0"/>
          <w:sz w:val="28"/>
          <w:szCs w:val="28"/>
          <w14:textFill>
            <w14:solidFill>
              <w14:schemeClr w14:val="tx1"/>
            </w14:solidFill>
          </w14:textFill>
        </w:rPr>
        <w:t>：指事业单位在专业业务活动及其辅助活动之外开展非独立核算经营活动发生的支出。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（十二）“三公”经费</w:t>
      </w:r>
      <w:r>
        <w:rPr>
          <w:rFonts w:hint="eastAsia" w:ascii="仿宋" w:hAnsi="仿宋" w:eastAsia="仿宋" w:cs="宋体"/>
          <w:color w:val="000000" w:themeColor="text1"/>
          <w:kern w:val="0"/>
          <w:sz w:val="28"/>
          <w:szCs w:val="28"/>
          <w14:textFill>
            <w14:solidFill>
              <w14:schemeClr w14:val="tx1"/>
            </w14:solidFill>
          </w14:textFill>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（十三）机关运行经费</w:t>
      </w:r>
      <w:r>
        <w:rPr>
          <w:rFonts w:hint="eastAsia" w:ascii="仿宋" w:hAnsi="仿宋" w:eastAsia="仿宋" w:cs="宋体"/>
          <w:color w:val="000000" w:themeColor="text1"/>
          <w:kern w:val="0"/>
          <w:sz w:val="28"/>
          <w:szCs w:val="28"/>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（十四）工资福利支出（支出经济分类科目类级）</w:t>
      </w:r>
      <w:r>
        <w:rPr>
          <w:rFonts w:hint="eastAsia" w:ascii="仿宋" w:hAnsi="仿宋" w:eastAsia="仿宋" w:cs="宋体"/>
          <w:color w:val="000000" w:themeColor="text1"/>
          <w:kern w:val="0"/>
          <w:sz w:val="28"/>
          <w:szCs w:val="28"/>
          <w14:textFill>
            <w14:solidFill>
              <w14:schemeClr w14:val="tx1"/>
            </w14:solidFill>
          </w14:textFill>
        </w:rPr>
        <w:t>：反映单位开支的在职职工和编制外长期聘用人员的各类劳动报酬，以及为上述人员缴纳的各项社会保险费等。</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（十五）商品和服务支出（支出经济分类科目类级）</w:t>
      </w:r>
      <w:r>
        <w:rPr>
          <w:rFonts w:hint="eastAsia" w:ascii="仿宋" w:hAnsi="仿宋" w:eastAsia="仿宋" w:cs="宋体"/>
          <w:color w:val="000000" w:themeColor="text1"/>
          <w:kern w:val="0"/>
          <w:sz w:val="28"/>
          <w:szCs w:val="28"/>
          <w14:textFill>
            <w14:solidFill>
              <w14:schemeClr w14:val="tx1"/>
            </w14:solidFill>
          </w14:textFill>
        </w:rPr>
        <w:t>：反映单位购买商品和服务的支出（不包括用于购置固定资产的支出、战略性和应急储备支出）。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（十六）对个人和家庭的补助（支出经济分类科目类级）</w:t>
      </w:r>
      <w:r>
        <w:rPr>
          <w:rFonts w:hint="eastAsia" w:ascii="仿宋" w:hAnsi="仿宋" w:eastAsia="仿宋" w:cs="宋体"/>
          <w:color w:val="000000" w:themeColor="text1"/>
          <w:kern w:val="0"/>
          <w:sz w:val="28"/>
          <w:szCs w:val="28"/>
          <w14:textFill>
            <w14:solidFill>
              <w14:schemeClr w14:val="tx1"/>
            </w14:solidFill>
          </w14:textFill>
        </w:rPr>
        <w:t>：反映用于对个人和家庭的补助支出。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（十七）其他资本性支出（支出经济分类科目类级）</w:t>
      </w:r>
      <w:r>
        <w:rPr>
          <w:rFonts w:hint="eastAsia" w:ascii="仿宋" w:hAnsi="仿宋" w:eastAsia="仿宋" w:cs="宋体"/>
          <w:color w:val="000000" w:themeColor="text1"/>
          <w:kern w:val="0"/>
          <w:sz w:val="28"/>
          <w:szCs w:val="28"/>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14:textFill>
            <w14:solidFill>
              <w14:schemeClr w14:val="tx1"/>
            </w14:solidFill>
          </w14:textFill>
        </w:rPr>
        <w:t>七、决算公开联系方式及信息反馈渠道</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本单位决算公开信息反馈和联系方式：</w:t>
      </w:r>
    </w:p>
    <w:p>
      <w:pPr>
        <w:widowControl/>
        <w:shd w:val="clear" w:color="auto" w:fill="FFFFFF"/>
        <w:snapToGrid w:val="0"/>
        <w:spacing w:before="100" w:beforeAutospacing="1" w:after="100" w:afterAutospacing="1"/>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xml:space="preserve">凡显芳 </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sz w:val="28"/>
          <w:szCs w:val="28"/>
          <w14:textFill>
            <w14:solidFill>
              <w14:schemeClr w14:val="tx1"/>
            </w14:solidFill>
          </w14:textFill>
        </w:rPr>
        <w:t>023-70709879</w:t>
      </w:r>
      <w:r>
        <w:rPr>
          <w:rFonts w:hint="eastAsia" w:ascii="仿宋" w:hAnsi="仿宋" w:eastAsia="仿宋" w:cs="方正仿宋_GBK"/>
          <w:color w:val="000000" w:themeColor="text1"/>
          <w:sz w:val="28"/>
          <w:szCs w:val="28"/>
          <w14:textFill>
            <w14:solidFill>
              <w14:schemeClr w14:val="tx1"/>
            </w14:solidFill>
          </w14:textFill>
        </w:rPr>
        <w:t>。</w:t>
      </w:r>
    </w:p>
    <w:p>
      <w:pPr>
        <w:widowControl/>
        <w:shd w:val="clear" w:color="auto" w:fill="FFFFFF"/>
        <w:snapToGrid w:val="0"/>
        <w:spacing w:before="100" w:beforeAutospacing="1" w:after="100" w:afterAutospacing="1"/>
        <w:jc w:val="left"/>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方正仿宋_GBK"/>
          <w:color w:val="000000" w:themeColor="text1"/>
          <w:sz w:val="28"/>
          <w:szCs w:val="28"/>
          <w14:textFill>
            <w14:solidFill>
              <w14:schemeClr w14:val="tx1"/>
            </w14:solidFill>
          </w14:textFill>
        </w:rPr>
        <w:t>附件：</w:t>
      </w:r>
    </w:p>
    <w:p>
      <w:pPr>
        <w:spacing w:line="600" w:lineRule="exact"/>
        <w:jc w:val="center"/>
        <w:rPr>
          <w:rFonts w:ascii="宋体" w:hAnsi="宋体" w:eastAsia="宋体" w:cs="宋体"/>
          <w:b/>
          <w:sz w:val="48"/>
          <w:szCs w:val="48"/>
        </w:rPr>
      </w:pPr>
      <w:r>
        <w:rPr>
          <w:rFonts w:hint="eastAsia" w:ascii="宋体" w:hAnsi="宋体" w:eastAsia="宋体" w:cs="宋体"/>
          <w:b/>
          <w:sz w:val="48"/>
          <w:szCs w:val="48"/>
        </w:rPr>
        <w:t>丰都县人民政府三合街道办事处</w:t>
      </w:r>
    </w:p>
    <w:p>
      <w:pPr>
        <w:spacing w:line="600" w:lineRule="exact"/>
        <w:jc w:val="center"/>
        <w:rPr>
          <w:rFonts w:ascii="宋体" w:hAnsi="宋体" w:eastAsia="宋体" w:cs="宋体"/>
          <w:b/>
          <w:sz w:val="48"/>
          <w:szCs w:val="48"/>
        </w:rPr>
      </w:pPr>
      <w:r>
        <w:rPr>
          <w:rFonts w:hint="eastAsia" w:ascii="宋体" w:hAnsi="宋体" w:eastAsia="宋体" w:cs="宋体"/>
          <w:b/>
          <w:sz w:val="48"/>
          <w:szCs w:val="48"/>
        </w:rPr>
        <w:t>2022年度整体绩效自评工作报告</w:t>
      </w:r>
    </w:p>
    <w:p>
      <w:pPr>
        <w:spacing w:line="600" w:lineRule="exact"/>
        <w:ind w:firstLine="420" w:firstLineChars="200"/>
        <w:rPr>
          <w:rFonts w:ascii="宋体" w:hAnsi="宋体" w:eastAsia="宋体"/>
          <w:szCs w:val="32"/>
        </w:rPr>
      </w:pPr>
    </w:p>
    <w:p>
      <w:pPr>
        <w:spacing w:line="600" w:lineRule="exact"/>
        <w:ind w:firstLine="421" w:firstLineChars="200"/>
        <w:rPr>
          <w:rFonts w:ascii="宋体" w:hAnsi="宋体" w:eastAsia="宋体" w:cs="黑体"/>
          <w:b/>
          <w:bCs/>
          <w:szCs w:val="32"/>
        </w:rPr>
      </w:pPr>
      <w:r>
        <w:rPr>
          <w:rFonts w:hint="eastAsia" w:ascii="宋体" w:hAnsi="宋体" w:eastAsia="宋体" w:cs="黑体"/>
          <w:b/>
          <w:bCs/>
          <w:szCs w:val="32"/>
        </w:rPr>
        <w:t>一、基本情况</w:t>
      </w:r>
    </w:p>
    <w:p>
      <w:pPr>
        <w:spacing w:line="600" w:lineRule="exact"/>
        <w:ind w:firstLine="421" w:firstLineChars="200"/>
        <w:outlineLvl w:val="0"/>
        <w:rPr>
          <w:rFonts w:ascii="宋体" w:hAnsi="宋体" w:eastAsia="宋体" w:cs="楷体_GB2312"/>
          <w:b/>
          <w:bCs/>
          <w:szCs w:val="32"/>
        </w:rPr>
      </w:pPr>
      <w:r>
        <w:rPr>
          <w:rFonts w:hint="eastAsia" w:ascii="宋体" w:hAnsi="宋体" w:eastAsia="宋体" w:cs="楷体_GB2312"/>
          <w:b/>
          <w:bCs/>
          <w:szCs w:val="32"/>
        </w:rPr>
        <w:t>（一）项目背景、内容。</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重庆市丰都县三合街道办事处贯彻执行党的路线方针政策和国家的法律法规、促进经济社会发展、加强社会管理和公共服务、维护社会和谐稳定，进一步强化城市管理和社区服务工作。三合街道2022年开展了招商引资工作经费、宗教职业者补助、三合街道食品药品安全协管员经费、城乡社区人居环境整治项目、三合街道2022年农村户厕改造、三合街道新冠肺炎疫情工作经费、三合街道老旧小区改造、三峡移民后扶资金、三合街道养老服务站建设、三合街道残疾人市级发展资金、三合街道社区配套基础设施建设、城管办改造电力、管网等、应急办中央市级冬春救助救灾资金、经发办基础设施建设及乡村振兴项目、农服中心茨竹沟水库、国土绿化、退耕还林、松材线虫除治、撂荒地盘活利用、县级动物疫病防疫、2021年畜禽养殖示范户补助、村级供水、农村</w:t>
      </w:r>
      <w:r>
        <w:rPr>
          <w:rFonts w:hint="eastAsia" w:ascii="宋体" w:hAnsi="宋体" w:eastAsia="宋体" w:cs="楷体_GB2312"/>
          <w:bCs/>
          <w:szCs w:val="32"/>
          <w:lang w:eastAsia="zh-CN"/>
        </w:rPr>
        <w:t>公益性岗位</w:t>
      </w:r>
      <w:r>
        <w:rPr>
          <w:rFonts w:hint="eastAsia" w:ascii="宋体" w:hAnsi="宋体" w:eastAsia="宋体" w:cs="楷体_GB2312"/>
          <w:bCs/>
          <w:szCs w:val="32"/>
        </w:rPr>
        <w:t>、四就近试点工作、职工死亡抚恤、驻村驻乡工作队经费以及三合街道本级实施的公共事务运行专项项目、村级补助支出、征兵工作经费等127个项目，我单位根据丰都财政发【2023】24号文件要求、对这些项目进行绩效评价。</w:t>
      </w:r>
    </w:p>
    <w:p>
      <w:pPr>
        <w:spacing w:line="600" w:lineRule="exact"/>
        <w:ind w:firstLine="421" w:firstLineChars="200"/>
        <w:outlineLvl w:val="0"/>
        <w:rPr>
          <w:rFonts w:ascii="宋体" w:hAnsi="宋体" w:eastAsia="宋体" w:cs="楷体_GB2312"/>
          <w:b/>
          <w:bCs/>
          <w:szCs w:val="32"/>
        </w:rPr>
      </w:pPr>
      <w:r>
        <w:rPr>
          <w:rFonts w:hint="eastAsia" w:ascii="宋体" w:hAnsi="宋体" w:eastAsia="宋体" w:cs="楷体_GB2312"/>
          <w:b/>
          <w:bCs/>
          <w:szCs w:val="32"/>
        </w:rPr>
        <w:t>（二）项目资金情况。</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 xml:space="preserve">项目预算安排26931万元，全年执行数15318万元。项目资金到位率100%，项目资金执行率56.88%。 </w:t>
      </w:r>
    </w:p>
    <w:p>
      <w:pPr>
        <w:spacing w:line="600" w:lineRule="exact"/>
        <w:ind w:firstLine="421" w:firstLineChars="200"/>
        <w:outlineLvl w:val="0"/>
        <w:rPr>
          <w:rFonts w:ascii="宋体" w:hAnsi="宋体" w:eastAsia="宋体" w:cs="楷体_GB2312"/>
          <w:b/>
          <w:bCs/>
          <w:szCs w:val="32"/>
        </w:rPr>
      </w:pPr>
      <w:r>
        <w:rPr>
          <w:rFonts w:hint="eastAsia" w:ascii="宋体" w:hAnsi="宋体" w:eastAsia="宋体" w:cs="楷体_GB2312"/>
          <w:b/>
          <w:bCs/>
          <w:szCs w:val="32"/>
        </w:rPr>
        <w:t>（三）绩效目标。</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本年预期目标为完成各项目工作。</w:t>
      </w:r>
    </w:p>
    <w:p>
      <w:pPr>
        <w:spacing w:line="600" w:lineRule="exact"/>
        <w:ind w:firstLine="421" w:firstLineChars="200"/>
        <w:outlineLvl w:val="0"/>
        <w:rPr>
          <w:rFonts w:ascii="宋体" w:hAnsi="宋体" w:eastAsia="宋体" w:cs="楷体_GB2312"/>
          <w:b/>
          <w:bCs/>
          <w:szCs w:val="32"/>
        </w:rPr>
      </w:pPr>
      <w:r>
        <w:rPr>
          <w:rFonts w:hint="eastAsia" w:ascii="宋体" w:hAnsi="宋体" w:eastAsia="宋体" w:cs="楷体_GB2312"/>
          <w:b/>
          <w:bCs/>
          <w:szCs w:val="32"/>
        </w:rPr>
        <w:t>（四）部门（单位）职能职责。</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1.贯彻上级党委、人民政府的决议、决定，对居民进行思想、政治教育和</w:t>
      </w:r>
      <w:r>
        <w:rPr>
          <w:rFonts w:hint="eastAsia" w:ascii="宋体" w:hAnsi="宋体" w:eastAsia="宋体" w:cs="楷体_GB2312"/>
          <w:bCs/>
          <w:szCs w:val="32"/>
          <w:lang w:eastAsia="zh-CN"/>
        </w:rPr>
        <w:t>社会主义法治</w:t>
      </w:r>
      <w:r>
        <w:rPr>
          <w:rFonts w:hint="eastAsia" w:ascii="宋体" w:hAnsi="宋体" w:eastAsia="宋体" w:cs="楷体_GB2312"/>
          <w:bCs/>
          <w:szCs w:val="32"/>
        </w:rPr>
        <w:t>教育，在辖区内积极组织开展两个文明建设；承办上级党委、政府交办的其他工作；</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2.管理街道经济工作，制定街道经济发展规划并组织分布实施；</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3.管理街道财政，配合有关部门进行财务审计和有关项目统计工作，协助有关部门做好街道工商、税务、物价等工作；</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4.接待办理人民群众来信来访，真实反应群众的意见和要求，保障地区稳定；</w:t>
      </w:r>
    </w:p>
    <w:p>
      <w:pPr>
        <w:spacing w:line="570" w:lineRule="exact"/>
        <w:ind w:firstLine="420" w:firstLineChars="200"/>
        <w:rPr>
          <w:rFonts w:ascii="宋体" w:hAnsi="宋体" w:eastAsia="宋体"/>
          <w:snapToGrid w:val="0"/>
          <w:color w:val="000000"/>
          <w:kern w:val="0"/>
          <w:szCs w:val="32"/>
        </w:rPr>
      </w:pPr>
      <w:r>
        <w:rPr>
          <w:rFonts w:hint="eastAsia" w:ascii="宋体" w:hAnsi="宋体" w:eastAsia="宋体" w:cs="楷体_GB2312"/>
          <w:bCs/>
          <w:szCs w:val="32"/>
        </w:rPr>
        <w:t>5.</w:t>
      </w:r>
      <w:r>
        <w:rPr>
          <w:rFonts w:hint="eastAsia" w:ascii="宋体" w:hAnsi="宋体" w:eastAsia="宋体"/>
          <w:snapToGrid w:val="0"/>
          <w:color w:val="000000"/>
          <w:kern w:val="0"/>
          <w:szCs w:val="32"/>
        </w:rPr>
        <w:t xml:space="preserve"> 主要负责民政、教育、文化、体育、社会救助、残疾人事业、劳动就业、社会保障，统筹负责卫生、计生、老龄事业发展、物业管理等职责。</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6.负责指导、帮助辖区社区居民委员会开展工作，提高社区自治管理能力；</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7.协助劳动、就业部门做好待业人员的管理、劳动就业和再就业工作；</w:t>
      </w:r>
    </w:p>
    <w:p>
      <w:pPr>
        <w:spacing w:line="600" w:lineRule="exact"/>
        <w:ind w:firstLine="420" w:firstLineChars="200"/>
        <w:outlineLvl w:val="0"/>
        <w:rPr>
          <w:rFonts w:ascii="宋体" w:hAnsi="宋体" w:eastAsia="宋体" w:cs="楷体_GB2312"/>
          <w:bCs/>
          <w:szCs w:val="32"/>
        </w:rPr>
      </w:pPr>
      <w:r>
        <w:rPr>
          <w:rFonts w:hint="eastAsia" w:ascii="宋体" w:hAnsi="宋体" w:eastAsia="宋体" w:cs="楷体_GB2312"/>
          <w:bCs/>
          <w:szCs w:val="32"/>
        </w:rPr>
        <w:t>8.负责指导和组织开展群众文化、科普、体育及卫生保健工作；</w:t>
      </w:r>
    </w:p>
    <w:p>
      <w:pPr>
        <w:spacing w:line="600" w:lineRule="exact"/>
        <w:ind w:firstLine="420" w:firstLineChars="200"/>
        <w:outlineLvl w:val="0"/>
        <w:rPr>
          <w:rFonts w:ascii="宋体" w:hAnsi="宋体" w:eastAsia="宋体"/>
          <w:szCs w:val="32"/>
        </w:rPr>
      </w:pPr>
      <w:r>
        <w:rPr>
          <w:rFonts w:hint="eastAsia" w:ascii="宋体" w:hAnsi="宋体" w:eastAsia="宋体" w:cs="楷体_GB2312"/>
          <w:bCs/>
          <w:szCs w:val="32"/>
        </w:rPr>
        <w:t>9.</w:t>
      </w:r>
      <w:r>
        <w:rPr>
          <w:rFonts w:hint="eastAsia" w:ascii="宋体" w:hAnsi="宋体" w:eastAsia="宋体"/>
          <w:szCs w:val="32"/>
        </w:rPr>
        <w:t xml:space="preserve"> 主要承担农技、农机、林业、水利水保、水产、畜牧兽医等方面的技术推广、信息、资源环境保护、灾害防治、水利工程等服务工作。</w:t>
      </w:r>
    </w:p>
    <w:p>
      <w:pPr>
        <w:spacing w:line="570" w:lineRule="exact"/>
        <w:ind w:firstLine="420" w:firstLineChars="200"/>
        <w:rPr>
          <w:rFonts w:ascii="宋体" w:hAnsi="宋体" w:eastAsia="宋体"/>
          <w:szCs w:val="32"/>
        </w:rPr>
      </w:pPr>
      <w:r>
        <w:rPr>
          <w:rFonts w:hint="eastAsia" w:ascii="宋体" w:hAnsi="宋体" w:eastAsia="宋体"/>
          <w:szCs w:val="32"/>
        </w:rPr>
        <w:t>10. 负责辖区内退役军人保障服务工作，做好关系转接、信息采集、情况反映、慰问帮扶等工作。</w:t>
      </w:r>
    </w:p>
    <w:p>
      <w:pPr>
        <w:spacing w:line="600" w:lineRule="exact"/>
        <w:ind w:firstLine="421" w:firstLineChars="200"/>
        <w:rPr>
          <w:rFonts w:ascii="宋体" w:hAnsi="宋体" w:eastAsia="宋体" w:cs="黑体"/>
          <w:b/>
          <w:bCs/>
          <w:szCs w:val="32"/>
        </w:rPr>
      </w:pPr>
      <w:r>
        <w:rPr>
          <w:rFonts w:hint="eastAsia" w:ascii="宋体" w:hAnsi="宋体" w:eastAsia="宋体" w:cs="黑体"/>
          <w:b/>
          <w:bCs/>
          <w:szCs w:val="32"/>
        </w:rPr>
        <w:t>二、绩效目标完成情况分析</w:t>
      </w:r>
    </w:p>
    <w:p>
      <w:pPr>
        <w:spacing w:line="600" w:lineRule="exact"/>
        <w:ind w:firstLine="421" w:firstLineChars="200"/>
        <w:outlineLvl w:val="0"/>
        <w:rPr>
          <w:rFonts w:ascii="宋体" w:hAnsi="宋体" w:eastAsia="宋体"/>
          <w:b/>
          <w:szCs w:val="32"/>
        </w:rPr>
      </w:pPr>
      <w:r>
        <w:rPr>
          <w:rFonts w:hint="eastAsia" w:ascii="宋体" w:hAnsi="宋体" w:eastAsia="宋体"/>
          <w:b/>
          <w:szCs w:val="32"/>
        </w:rPr>
        <w:t>（一）总体绩效目标完成情况分析</w:t>
      </w:r>
    </w:p>
    <w:p>
      <w:pPr>
        <w:spacing w:line="600" w:lineRule="exact"/>
        <w:ind w:firstLine="420" w:firstLineChars="200"/>
        <w:outlineLvl w:val="0"/>
        <w:rPr>
          <w:rFonts w:ascii="宋体" w:hAnsi="宋体" w:eastAsia="宋体"/>
          <w:szCs w:val="32"/>
        </w:rPr>
      </w:pPr>
      <w:r>
        <w:rPr>
          <w:rFonts w:hint="eastAsia" w:ascii="宋体" w:hAnsi="宋体" w:eastAsia="宋体"/>
          <w:szCs w:val="32"/>
        </w:rPr>
        <w:t>今年预期目标为完成各项目工作。根据年初制定目标，已完成全年目标。</w:t>
      </w:r>
    </w:p>
    <w:p>
      <w:pPr>
        <w:spacing w:line="600" w:lineRule="exact"/>
        <w:ind w:firstLine="421" w:firstLineChars="200"/>
        <w:outlineLvl w:val="0"/>
        <w:rPr>
          <w:rFonts w:ascii="宋体" w:hAnsi="宋体" w:eastAsia="宋体"/>
          <w:b/>
          <w:szCs w:val="32"/>
        </w:rPr>
      </w:pPr>
      <w:r>
        <w:rPr>
          <w:rFonts w:hint="eastAsia" w:ascii="宋体" w:hAnsi="宋体" w:eastAsia="宋体"/>
          <w:b/>
          <w:szCs w:val="32"/>
        </w:rPr>
        <w:t>（二）绩效指标完成情况分析</w:t>
      </w:r>
    </w:p>
    <w:p>
      <w:pPr>
        <w:spacing w:line="600" w:lineRule="exact"/>
        <w:ind w:firstLine="420" w:firstLineChars="200"/>
        <w:outlineLvl w:val="0"/>
        <w:rPr>
          <w:rFonts w:ascii="宋体" w:hAnsi="宋体" w:eastAsia="宋体"/>
          <w:szCs w:val="32"/>
        </w:rPr>
      </w:pPr>
      <w:r>
        <w:rPr>
          <w:rFonts w:hint="eastAsia" w:ascii="宋体" w:hAnsi="宋体" w:eastAsia="宋体"/>
          <w:szCs w:val="32"/>
        </w:rPr>
        <w:t>数量指标：项目涉及村社区29个。</w:t>
      </w:r>
    </w:p>
    <w:p>
      <w:pPr>
        <w:spacing w:line="600" w:lineRule="exact"/>
        <w:ind w:firstLine="420" w:firstLineChars="200"/>
        <w:outlineLvl w:val="0"/>
        <w:rPr>
          <w:rFonts w:ascii="宋体" w:hAnsi="宋体" w:eastAsia="宋体"/>
          <w:szCs w:val="32"/>
        </w:rPr>
      </w:pPr>
      <w:r>
        <w:rPr>
          <w:rFonts w:hint="eastAsia" w:ascii="宋体" w:hAnsi="宋体" w:eastAsia="宋体"/>
          <w:szCs w:val="32"/>
        </w:rPr>
        <w:t>质量指标：项目验收合格率100%。</w:t>
      </w:r>
    </w:p>
    <w:p>
      <w:pPr>
        <w:spacing w:line="600" w:lineRule="exact"/>
        <w:ind w:firstLine="420" w:firstLineChars="200"/>
        <w:outlineLvl w:val="0"/>
        <w:rPr>
          <w:rFonts w:ascii="宋体" w:hAnsi="宋体" w:eastAsia="宋体"/>
          <w:szCs w:val="32"/>
        </w:rPr>
      </w:pPr>
      <w:r>
        <w:rPr>
          <w:rFonts w:hint="eastAsia" w:ascii="宋体" w:hAnsi="宋体" w:eastAsia="宋体"/>
          <w:szCs w:val="32"/>
        </w:rPr>
        <w:t>时效指标：工作按计划完成率100%，资金下达率及时率95%。</w:t>
      </w:r>
    </w:p>
    <w:p>
      <w:pPr>
        <w:spacing w:line="600" w:lineRule="exact"/>
        <w:ind w:firstLine="420" w:firstLineChars="200"/>
        <w:outlineLvl w:val="0"/>
        <w:rPr>
          <w:rFonts w:ascii="宋体" w:hAnsi="宋体" w:eastAsia="宋体"/>
          <w:szCs w:val="32"/>
        </w:rPr>
      </w:pPr>
      <w:r>
        <w:rPr>
          <w:rFonts w:hint="eastAsia" w:ascii="宋体" w:hAnsi="宋体" w:eastAsia="宋体"/>
          <w:szCs w:val="32"/>
        </w:rPr>
        <w:t>成本指标：成本控制在项目预算内，未超出预算安排。</w:t>
      </w:r>
    </w:p>
    <w:p>
      <w:pPr>
        <w:spacing w:line="600" w:lineRule="exact"/>
        <w:ind w:firstLine="420" w:firstLineChars="200"/>
        <w:outlineLvl w:val="0"/>
        <w:rPr>
          <w:rFonts w:ascii="宋体" w:hAnsi="宋体" w:eastAsia="宋体"/>
          <w:szCs w:val="32"/>
        </w:rPr>
      </w:pPr>
      <w:r>
        <w:rPr>
          <w:rFonts w:hint="eastAsia" w:ascii="宋体" w:hAnsi="宋体" w:eastAsia="宋体"/>
          <w:szCs w:val="32"/>
        </w:rPr>
        <w:t>经济效益指标：提高受益区域经济，提高受益人员工资。增加农民收入。</w:t>
      </w:r>
    </w:p>
    <w:p>
      <w:pPr>
        <w:spacing w:line="600" w:lineRule="exact"/>
        <w:ind w:firstLine="420" w:firstLineChars="200"/>
        <w:outlineLvl w:val="0"/>
        <w:rPr>
          <w:rFonts w:ascii="宋体" w:hAnsi="宋体" w:eastAsia="宋体"/>
          <w:szCs w:val="32"/>
        </w:rPr>
      </w:pPr>
      <w:r>
        <w:rPr>
          <w:rFonts w:hint="eastAsia" w:ascii="宋体" w:hAnsi="宋体" w:eastAsia="宋体"/>
          <w:szCs w:val="32"/>
        </w:rPr>
        <w:t>社会效益指标：民众环保意识提升70%，改善行政村的卫生环境，为城镇居民提供靓丽的环境，改善干群关系，维护社会稳定，减少上访率。</w:t>
      </w:r>
    </w:p>
    <w:p>
      <w:pPr>
        <w:spacing w:line="600" w:lineRule="exact"/>
        <w:ind w:firstLine="420" w:firstLineChars="200"/>
        <w:outlineLvl w:val="0"/>
        <w:rPr>
          <w:rFonts w:ascii="宋体" w:hAnsi="宋体" w:eastAsia="宋体"/>
          <w:szCs w:val="32"/>
        </w:rPr>
      </w:pPr>
      <w:r>
        <w:rPr>
          <w:rFonts w:hint="eastAsia" w:ascii="宋体" w:hAnsi="宋体" w:eastAsia="宋体"/>
          <w:szCs w:val="32"/>
        </w:rPr>
        <w:t>生态效益指标：提高环境清洁度，营造良好的安全舒适环境，促进生态稳定为良好。</w:t>
      </w:r>
    </w:p>
    <w:p>
      <w:pPr>
        <w:spacing w:line="600" w:lineRule="exact"/>
        <w:ind w:firstLine="420" w:firstLineChars="200"/>
        <w:outlineLvl w:val="0"/>
        <w:rPr>
          <w:rFonts w:ascii="宋体" w:hAnsi="宋体" w:eastAsia="宋体"/>
          <w:szCs w:val="32"/>
        </w:rPr>
      </w:pPr>
      <w:r>
        <w:rPr>
          <w:rFonts w:hint="eastAsia" w:ascii="宋体" w:hAnsi="宋体" w:eastAsia="宋体"/>
          <w:szCs w:val="32"/>
        </w:rPr>
        <w:t>可持续影响指标：项目长期管护延续性为长期。</w:t>
      </w:r>
    </w:p>
    <w:p>
      <w:pPr>
        <w:spacing w:line="600" w:lineRule="exact"/>
        <w:ind w:firstLine="420" w:firstLineChars="200"/>
        <w:outlineLvl w:val="0"/>
        <w:rPr>
          <w:rFonts w:ascii="宋体" w:hAnsi="宋体" w:eastAsia="宋体"/>
          <w:szCs w:val="32"/>
        </w:rPr>
      </w:pPr>
      <w:r>
        <w:rPr>
          <w:rFonts w:hint="eastAsia" w:ascii="宋体" w:hAnsi="宋体" w:eastAsia="宋体"/>
          <w:szCs w:val="32"/>
        </w:rPr>
        <w:t>服务对象满意度指标：主管部门满意度95%以上，受益群众满意度90%以上。</w:t>
      </w:r>
    </w:p>
    <w:p>
      <w:pPr>
        <w:spacing w:line="600" w:lineRule="exact"/>
        <w:ind w:firstLine="316" w:firstLineChars="150"/>
        <w:outlineLvl w:val="0"/>
        <w:rPr>
          <w:rFonts w:ascii="宋体" w:hAnsi="宋体" w:eastAsia="宋体"/>
          <w:b/>
          <w:szCs w:val="32"/>
        </w:rPr>
      </w:pPr>
      <w:r>
        <w:rPr>
          <w:rFonts w:hint="eastAsia" w:ascii="宋体" w:hAnsi="宋体" w:eastAsia="宋体"/>
          <w:b/>
          <w:szCs w:val="32"/>
        </w:rPr>
        <w:t>（三）评价结果</w:t>
      </w:r>
    </w:p>
    <w:p>
      <w:pPr>
        <w:spacing w:line="600" w:lineRule="exact"/>
        <w:ind w:firstLine="420" w:firstLineChars="200"/>
        <w:rPr>
          <w:rFonts w:ascii="宋体" w:hAnsi="宋体" w:eastAsia="宋体" w:cs="黑体"/>
          <w:bCs/>
          <w:szCs w:val="32"/>
        </w:rPr>
      </w:pPr>
      <w:r>
        <w:rPr>
          <w:rFonts w:hint="eastAsia" w:ascii="宋体" w:hAnsi="宋体" w:eastAsia="宋体"/>
          <w:szCs w:val="32"/>
        </w:rPr>
        <w:t>本次对丰都县三合街道2022年度项目自评得分90分以上，评价等级为优，已达到预期绩效目标。</w:t>
      </w:r>
    </w:p>
    <w:p>
      <w:pPr>
        <w:spacing w:line="600" w:lineRule="exact"/>
        <w:ind w:firstLine="421" w:firstLineChars="200"/>
        <w:rPr>
          <w:rFonts w:ascii="宋体" w:hAnsi="宋体" w:eastAsia="宋体" w:cs="黑体"/>
          <w:b/>
          <w:bCs/>
          <w:szCs w:val="32"/>
        </w:rPr>
      </w:pPr>
      <w:r>
        <w:rPr>
          <w:rFonts w:hint="eastAsia" w:ascii="宋体" w:hAnsi="宋体" w:eastAsia="宋体" w:cs="黑体"/>
          <w:b/>
          <w:bCs/>
          <w:szCs w:val="32"/>
        </w:rPr>
        <w:t>三、存在问题</w:t>
      </w:r>
    </w:p>
    <w:p>
      <w:pPr>
        <w:spacing w:line="600" w:lineRule="exact"/>
        <w:ind w:firstLine="421" w:firstLineChars="200"/>
        <w:rPr>
          <w:rFonts w:ascii="宋体" w:hAnsi="宋体" w:eastAsia="宋体" w:cs="楷体_GB2312"/>
          <w:b/>
          <w:bCs/>
          <w:szCs w:val="32"/>
        </w:rPr>
      </w:pPr>
      <w:r>
        <w:rPr>
          <w:rFonts w:hint="eastAsia" w:ascii="宋体" w:hAnsi="宋体" w:eastAsia="宋体" w:cs="楷体_GB2312"/>
          <w:b/>
          <w:bCs/>
          <w:szCs w:val="32"/>
        </w:rPr>
        <w:t>（一）项目管理方面的问题</w:t>
      </w:r>
    </w:p>
    <w:p>
      <w:pPr>
        <w:spacing w:line="600" w:lineRule="exact"/>
        <w:ind w:firstLine="420" w:firstLineChars="200"/>
        <w:rPr>
          <w:rFonts w:ascii="宋体" w:hAnsi="宋体" w:eastAsia="宋体" w:cs="楷体_GB2312"/>
          <w:bCs/>
          <w:szCs w:val="32"/>
        </w:rPr>
      </w:pPr>
      <w:r>
        <w:rPr>
          <w:rFonts w:hint="eastAsia" w:ascii="宋体" w:hAnsi="宋体" w:eastAsia="宋体" w:cs="楷体_GB2312"/>
          <w:bCs/>
          <w:szCs w:val="32"/>
        </w:rPr>
        <w:t>无。</w:t>
      </w:r>
    </w:p>
    <w:p>
      <w:pPr>
        <w:spacing w:line="600" w:lineRule="exact"/>
        <w:ind w:firstLine="421" w:firstLineChars="200"/>
        <w:rPr>
          <w:rFonts w:ascii="宋体" w:hAnsi="宋体" w:eastAsia="宋体" w:cs="楷体_GB2312"/>
          <w:b/>
          <w:bCs/>
          <w:szCs w:val="32"/>
        </w:rPr>
      </w:pPr>
      <w:r>
        <w:rPr>
          <w:rFonts w:hint="eastAsia" w:ascii="宋体" w:hAnsi="宋体" w:eastAsia="宋体" w:cs="楷体_GB2312"/>
          <w:b/>
          <w:bCs/>
          <w:szCs w:val="32"/>
        </w:rPr>
        <w:t>（二）资金使用方面的问题</w:t>
      </w:r>
    </w:p>
    <w:p>
      <w:pPr>
        <w:spacing w:line="600" w:lineRule="exact"/>
        <w:ind w:firstLine="420" w:firstLineChars="200"/>
        <w:rPr>
          <w:rFonts w:ascii="宋体" w:hAnsi="宋体" w:eastAsia="宋体" w:cs="楷体_GB2312"/>
          <w:bCs/>
          <w:szCs w:val="32"/>
        </w:rPr>
      </w:pPr>
      <w:r>
        <w:rPr>
          <w:rFonts w:hint="eastAsia" w:ascii="宋体" w:hAnsi="宋体" w:eastAsia="宋体" w:cs="楷体_GB2312"/>
          <w:bCs/>
          <w:szCs w:val="32"/>
        </w:rPr>
        <w:t>无。</w:t>
      </w:r>
    </w:p>
    <w:p>
      <w:pPr>
        <w:spacing w:line="600" w:lineRule="exact"/>
        <w:ind w:firstLine="421" w:firstLineChars="200"/>
        <w:rPr>
          <w:rFonts w:ascii="宋体" w:hAnsi="宋体" w:eastAsia="宋体" w:cs="楷体_GB2312"/>
          <w:b/>
          <w:bCs/>
          <w:szCs w:val="32"/>
        </w:rPr>
      </w:pPr>
      <w:r>
        <w:rPr>
          <w:rFonts w:hint="eastAsia" w:ascii="宋体" w:hAnsi="宋体" w:eastAsia="宋体" w:cs="楷体_GB2312"/>
          <w:b/>
          <w:bCs/>
          <w:szCs w:val="32"/>
        </w:rPr>
        <w:t>（三）项目绩效方面的问题</w:t>
      </w:r>
    </w:p>
    <w:p>
      <w:pPr>
        <w:spacing w:line="600" w:lineRule="exact"/>
        <w:ind w:firstLine="420" w:firstLineChars="200"/>
        <w:rPr>
          <w:rFonts w:ascii="宋体" w:hAnsi="宋体" w:eastAsia="宋体" w:cs="楷体_GB2312"/>
          <w:bCs/>
          <w:szCs w:val="32"/>
        </w:rPr>
      </w:pPr>
      <w:r>
        <w:rPr>
          <w:rFonts w:hint="eastAsia" w:ascii="宋体" w:hAnsi="宋体" w:eastAsia="宋体" w:cs="楷体_GB2312"/>
          <w:bCs/>
          <w:szCs w:val="32"/>
        </w:rPr>
        <w:t>绩效管理的经验不足，项目的部分成果无法用指标形式表示；在绩效考评指标的设计上，有待完善。</w:t>
      </w:r>
    </w:p>
    <w:p>
      <w:pPr>
        <w:spacing w:line="600" w:lineRule="exact"/>
        <w:ind w:firstLine="421" w:firstLineChars="200"/>
        <w:rPr>
          <w:rFonts w:ascii="宋体" w:hAnsi="宋体" w:eastAsia="宋体" w:cs="楷体_GB2312"/>
          <w:b/>
          <w:bCs/>
          <w:szCs w:val="32"/>
        </w:rPr>
      </w:pPr>
      <w:r>
        <w:rPr>
          <w:rFonts w:hint="eastAsia" w:ascii="宋体" w:hAnsi="宋体" w:eastAsia="宋体" w:cs="楷体_GB2312"/>
          <w:b/>
          <w:bCs/>
          <w:szCs w:val="32"/>
        </w:rPr>
        <w:t>（四）其他方面的问题</w:t>
      </w:r>
    </w:p>
    <w:p>
      <w:pPr>
        <w:spacing w:line="600" w:lineRule="exact"/>
        <w:ind w:firstLine="420" w:firstLineChars="200"/>
        <w:rPr>
          <w:rFonts w:ascii="宋体" w:hAnsi="宋体" w:eastAsia="宋体" w:cs="楷体_GB2312"/>
          <w:bCs/>
          <w:szCs w:val="32"/>
        </w:rPr>
      </w:pPr>
      <w:r>
        <w:rPr>
          <w:rFonts w:hint="eastAsia" w:ascii="宋体" w:hAnsi="宋体" w:eastAsia="宋体" w:cs="楷体_GB2312"/>
          <w:bCs/>
          <w:szCs w:val="32"/>
        </w:rPr>
        <w:t>无。</w:t>
      </w:r>
    </w:p>
    <w:p>
      <w:pPr>
        <w:spacing w:line="600" w:lineRule="exact"/>
        <w:ind w:firstLine="421" w:firstLineChars="200"/>
        <w:rPr>
          <w:rFonts w:ascii="宋体" w:hAnsi="宋体" w:eastAsia="宋体" w:cs="黑体"/>
          <w:b/>
          <w:bCs/>
          <w:szCs w:val="32"/>
        </w:rPr>
      </w:pPr>
      <w:r>
        <w:rPr>
          <w:rFonts w:hint="eastAsia" w:ascii="宋体" w:hAnsi="宋体" w:eastAsia="宋体" w:cs="黑体"/>
          <w:b/>
          <w:bCs/>
          <w:szCs w:val="32"/>
        </w:rPr>
        <w:t>四、下一步改进措施</w:t>
      </w:r>
    </w:p>
    <w:p>
      <w:pPr>
        <w:spacing w:line="600" w:lineRule="exact"/>
        <w:ind w:firstLine="420" w:firstLineChars="200"/>
        <w:rPr>
          <w:rFonts w:ascii="宋体" w:hAnsi="宋体" w:eastAsia="宋体"/>
          <w:szCs w:val="32"/>
        </w:rPr>
      </w:pPr>
      <w:r>
        <w:rPr>
          <w:rFonts w:hint="eastAsia" w:ascii="宋体" w:hAnsi="宋体" w:eastAsia="宋体"/>
          <w:szCs w:val="32"/>
        </w:rPr>
        <w:t>规范绩效管理方面需要细化，指标的设计需要更加科学。</w:t>
      </w:r>
    </w:p>
    <w:p>
      <w:pPr>
        <w:spacing w:line="600" w:lineRule="exact"/>
        <w:ind w:firstLine="420" w:firstLineChars="200"/>
        <w:rPr>
          <w:rFonts w:ascii="宋体" w:hAnsi="宋体" w:eastAsia="宋体" w:cs="黑体"/>
          <w:bCs/>
          <w:szCs w:val="32"/>
        </w:rPr>
      </w:pPr>
      <w:r>
        <w:rPr>
          <w:rFonts w:hint="eastAsia" w:ascii="宋体" w:hAnsi="宋体" w:eastAsia="宋体" w:cs="黑体"/>
          <w:bCs/>
          <w:szCs w:val="32"/>
        </w:rPr>
        <w:t>五、绩效自评结果拟应用和公开情况</w:t>
      </w:r>
    </w:p>
    <w:p>
      <w:pPr>
        <w:spacing w:line="600" w:lineRule="exact"/>
        <w:ind w:firstLine="420" w:firstLineChars="200"/>
        <w:rPr>
          <w:rFonts w:ascii="宋体" w:hAnsi="宋体" w:eastAsia="宋体" w:cs="黑体"/>
          <w:bCs/>
          <w:szCs w:val="32"/>
        </w:rPr>
      </w:pPr>
      <w:r>
        <w:rPr>
          <w:rFonts w:hint="eastAsia" w:ascii="宋体" w:hAnsi="宋体" w:eastAsia="宋体"/>
          <w:szCs w:val="32"/>
        </w:rPr>
        <w:t>绩效自评结果将在丰都县人民政府公众信息网站上进行公开，绩效评价结果与下年度资金安排直接挂钩。</w:t>
      </w:r>
    </w:p>
    <w:p>
      <w:pPr>
        <w:spacing w:line="600" w:lineRule="exact"/>
        <w:ind w:firstLine="421" w:firstLineChars="200"/>
        <w:rPr>
          <w:rFonts w:ascii="宋体" w:hAnsi="宋体" w:eastAsia="宋体" w:cs="黑体"/>
          <w:b/>
          <w:bCs/>
          <w:szCs w:val="32"/>
        </w:rPr>
      </w:pPr>
      <w:r>
        <w:rPr>
          <w:rFonts w:hint="eastAsia" w:ascii="宋体" w:hAnsi="宋体" w:eastAsia="宋体" w:cs="黑体"/>
          <w:b/>
          <w:bCs/>
          <w:szCs w:val="32"/>
        </w:rPr>
        <w:t>六、其他需要说明</w:t>
      </w:r>
      <w:r>
        <w:rPr>
          <w:rFonts w:ascii="宋体" w:hAnsi="宋体" w:eastAsia="宋体" w:cs="黑体"/>
          <w:b/>
          <w:bCs/>
          <w:szCs w:val="32"/>
        </w:rPr>
        <w:t>的问题</w:t>
      </w:r>
    </w:p>
    <w:p>
      <w:pPr>
        <w:spacing w:line="600" w:lineRule="exact"/>
        <w:ind w:firstLine="420" w:firstLineChars="200"/>
        <w:rPr>
          <w:rFonts w:ascii="宋体" w:hAnsi="宋体" w:eastAsia="宋体"/>
          <w:szCs w:val="32"/>
        </w:rPr>
      </w:pPr>
      <w:r>
        <w:rPr>
          <w:rFonts w:hint="eastAsia" w:ascii="宋体" w:hAnsi="宋体" w:eastAsia="宋体"/>
          <w:szCs w:val="32"/>
        </w:rPr>
        <w:t>本年度项目无中央巡视、各级审计和财政监督中发现的问题及所涉及的金额。</w:t>
      </w:r>
    </w:p>
    <w:p>
      <w:pPr>
        <w:spacing w:line="600" w:lineRule="exact"/>
        <w:ind w:firstLine="420" w:firstLineChars="200"/>
        <w:rPr>
          <w:rFonts w:ascii="宋体" w:hAnsi="宋体" w:eastAsia="宋体"/>
          <w:szCs w:val="32"/>
        </w:rPr>
      </w:pPr>
    </w:p>
    <w:p>
      <w:pPr>
        <w:spacing w:line="600" w:lineRule="exact"/>
        <w:ind w:firstLine="420" w:firstLineChars="200"/>
        <w:rPr>
          <w:rFonts w:ascii="宋体" w:hAnsi="宋体" w:eastAsia="宋体"/>
          <w:szCs w:val="32"/>
        </w:rPr>
      </w:pPr>
      <w:r>
        <w:rPr>
          <w:rFonts w:hint="eastAsia" w:ascii="宋体" w:hAnsi="宋体" w:eastAsia="宋体"/>
          <w:szCs w:val="32"/>
        </w:rPr>
        <w:t xml:space="preserve">                 </w:t>
      </w:r>
    </w:p>
    <w:p>
      <w:pPr>
        <w:widowControl/>
        <w:shd w:val="clear" w:color="auto" w:fill="FFFFFF"/>
        <w:snapToGrid w:val="0"/>
        <w:spacing w:before="100" w:beforeAutospacing="1" w:after="100" w:afterAutospacing="1"/>
        <w:jc w:val="left"/>
        <w:rPr>
          <w:rFonts w:ascii="仿宋" w:hAnsi="仿宋" w:eastAsia="仿宋" w:cs="宋体"/>
          <w:color w:val="000000" w:themeColor="text1"/>
          <w:kern w:val="0"/>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FB53B8"/>
    <w:rsid w:val="00041434"/>
    <w:rsid w:val="00082E44"/>
    <w:rsid w:val="00094989"/>
    <w:rsid w:val="000A5943"/>
    <w:rsid w:val="000C3E16"/>
    <w:rsid w:val="00164C72"/>
    <w:rsid w:val="001A14DB"/>
    <w:rsid w:val="001B11B5"/>
    <w:rsid w:val="001F05B6"/>
    <w:rsid w:val="001F2ED4"/>
    <w:rsid w:val="002229D6"/>
    <w:rsid w:val="00280A87"/>
    <w:rsid w:val="00360970"/>
    <w:rsid w:val="003F4D6D"/>
    <w:rsid w:val="004518F3"/>
    <w:rsid w:val="00491B21"/>
    <w:rsid w:val="0053562C"/>
    <w:rsid w:val="006150BC"/>
    <w:rsid w:val="00620326"/>
    <w:rsid w:val="00646FF1"/>
    <w:rsid w:val="006901E1"/>
    <w:rsid w:val="007219F7"/>
    <w:rsid w:val="0074009F"/>
    <w:rsid w:val="00754C6B"/>
    <w:rsid w:val="00755EAF"/>
    <w:rsid w:val="00765592"/>
    <w:rsid w:val="007A23FF"/>
    <w:rsid w:val="009778A9"/>
    <w:rsid w:val="009E02B1"/>
    <w:rsid w:val="00A077BD"/>
    <w:rsid w:val="00A10EE5"/>
    <w:rsid w:val="00AB082B"/>
    <w:rsid w:val="00AC35BC"/>
    <w:rsid w:val="00B311F1"/>
    <w:rsid w:val="00BA798C"/>
    <w:rsid w:val="00BB0EB1"/>
    <w:rsid w:val="00C416E8"/>
    <w:rsid w:val="00C576EB"/>
    <w:rsid w:val="00CA2204"/>
    <w:rsid w:val="00D06987"/>
    <w:rsid w:val="00D83FBF"/>
    <w:rsid w:val="00DC29C6"/>
    <w:rsid w:val="00DE2B4E"/>
    <w:rsid w:val="00E31DF9"/>
    <w:rsid w:val="00E5672D"/>
    <w:rsid w:val="00E67193"/>
    <w:rsid w:val="00EF6870"/>
    <w:rsid w:val="00F90D7E"/>
    <w:rsid w:val="00FA5817"/>
    <w:rsid w:val="00FB53B8"/>
    <w:rsid w:val="00FC595E"/>
    <w:rsid w:val="34E4627B"/>
    <w:rsid w:val="4C9C45AD"/>
    <w:rsid w:val="BFDBE714"/>
    <w:rsid w:val="DEBF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1589</Words>
  <Characters>9062</Characters>
  <Lines>75</Lines>
  <Paragraphs>21</Paragraphs>
  <TotalTime>100</TotalTime>
  <ScaleCrop>false</ScaleCrop>
  <LinksUpToDate>false</LinksUpToDate>
  <CharactersWithSpaces>10630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2023-09-13T17:08:00Z</dcterms:created>
  <dc:creator>user</dc:creator>
  <cp:lastModifiedBy>fengdu</cp:lastModifiedBy>
  <dcterms:modified xsi:type="dcterms:W3CDTF">2023-12-18T11:21:21Z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6A9134B608824F11BC400D2254EC66ED_12</vt:lpwstr>
  </property>
</Properties>
</file>