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color w:val="000000"/>
          <w:spacing w:val="-20"/>
          <w:sz w:val="44"/>
          <w:szCs w:val="44"/>
        </w:rPr>
      </w:pPr>
      <w:r>
        <w:rPr>
          <w:rFonts w:eastAsia="方正小标宋_GBK"/>
          <w:color w:val="000000"/>
          <w:spacing w:val="-20"/>
          <w:sz w:val="44"/>
          <w:szCs w:val="44"/>
        </w:rPr>
        <w:t xml:space="preserve">  丰都县仁沙镇人民政府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eastAsia="方正小标宋_GBK"/>
          <w:color w:val="000000"/>
          <w:spacing w:val="-20"/>
          <w:sz w:val="44"/>
          <w:szCs w:val="44"/>
        </w:rPr>
      </w:pPr>
      <w:r>
        <w:rPr>
          <w:rFonts w:eastAsia="方正小标宋_GBK"/>
          <w:color w:val="000000"/>
          <w:spacing w:val="-20"/>
          <w:sz w:val="44"/>
          <w:szCs w:val="44"/>
        </w:rPr>
        <w:t>关于印发《仁沙镇2019年度根治欠薪冬季攻坚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eastAsia="方正小标宋_GBK"/>
          <w:color w:val="000000"/>
          <w:spacing w:val="-20"/>
          <w:sz w:val="44"/>
          <w:szCs w:val="44"/>
        </w:rPr>
      </w:pPr>
      <w:r>
        <w:rPr>
          <w:rFonts w:eastAsia="方正小标宋_GBK"/>
          <w:color w:val="000000"/>
          <w:spacing w:val="-20"/>
          <w:sz w:val="44"/>
          <w:szCs w:val="44"/>
        </w:rPr>
        <w:t>行动方案》的通知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t>仁沙府发﹝2019﹞1</w:t>
      </w:r>
      <w:r>
        <w:rPr>
          <w:rFonts w:hint="eastAsia"/>
        </w:rPr>
        <w:t>79</w:t>
      </w:r>
      <w:r>
        <w:t>号</w:t>
      </w:r>
    </w:p>
    <w:p>
      <w:pPr>
        <w:spacing w:line="480" w:lineRule="exact"/>
        <w:jc w:val="left"/>
        <w:rPr>
          <w:color w:val="000000"/>
          <w:spacing w:val="-20"/>
          <w:szCs w:val="32"/>
        </w:rPr>
      </w:pPr>
    </w:p>
    <w:p>
      <w:pPr>
        <w:spacing w:line="560" w:lineRule="exact"/>
        <w:rPr>
          <w:szCs w:val="32"/>
        </w:rPr>
      </w:pPr>
      <w:r>
        <w:rPr>
          <w:szCs w:val="32"/>
        </w:rPr>
        <w:t>各村（居）委，镇级</w:t>
      </w:r>
      <w:r>
        <w:rPr>
          <w:rFonts w:hint="eastAsia"/>
          <w:szCs w:val="32"/>
          <w:lang w:val="en-US" w:eastAsia="zh-CN"/>
        </w:rPr>
        <w:t>有关站办所</w:t>
      </w:r>
      <w:r>
        <w:rPr>
          <w:szCs w:val="32"/>
        </w:rPr>
        <w:t>：</w:t>
      </w:r>
    </w:p>
    <w:p>
      <w:pPr>
        <w:pStyle w:val="5"/>
        <w:spacing w:line="560" w:lineRule="exact"/>
        <w:rPr>
          <w:rFonts w:eastAsia="方正仿宋_GBK"/>
          <w:szCs w:val="32"/>
        </w:rPr>
      </w:pPr>
      <w:r>
        <w:rPr>
          <w:rFonts w:eastAsia="方正仿宋_GBK"/>
          <w:szCs w:val="32"/>
        </w:rPr>
        <w:t>按照《丰都县保障农民工工资支付专项工作组办公室关于开展2019年度根治欠薪冬季攻坚行动的通知》（丰农工支办〔2019〕239号）要求，结合我镇实际，决定从2019年11月18日至2020年春节前，在全镇范围内组织开展2019年度根治欠薪冬季攻坚行动，现将《仁沙镇2019年度根治欠薪冬季攻坚行动方案》印发你们，请遵照执行。</w:t>
      </w:r>
    </w:p>
    <w:p>
      <w:pPr>
        <w:pStyle w:val="5"/>
        <w:spacing w:line="560" w:lineRule="exact"/>
        <w:rPr>
          <w:rFonts w:eastAsia="方正仿宋_GBK"/>
          <w:szCs w:val="32"/>
        </w:rPr>
      </w:pPr>
    </w:p>
    <w:p>
      <w:pPr>
        <w:pStyle w:val="5"/>
        <w:spacing w:line="560" w:lineRule="exact"/>
        <w:rPr>
          <w:rFonts w:eastAsia="方正仿宋_GBK"/>
          <w:szCs w:val="32"/>
        </w:rPr>
      </w:pPr>
    </w:p>
    <w:p>
      <w:pPr>
        <w:adjustRightInd w:val="0"/>
        <w:snapToGrid w:val="0"/>
        <w:spacing w:line="520" w:lineRule="exact"/>
        <w:ind w:firstLine="640" w:firstLineChars="200"/>
        <w:rPr>
          <w:kern w:val="0"/>
          <w:szCs w:val="32"/>
        </w:rPr>
      </w:pPr>
    </w:p>
    <w:p>
      <w:pPr>
        <w:adjustRightInd w:val="0"/>
        <w:snapToGrid w:val="0"/>
        <w:spacing w:line="520" w:lineRule="exact"/>
        <w:ind w:firstLine="640" w:firstLineChars="200"/>
        <w:rPr>
          <w:kern w:val="0"/>
          <w:szCs w:val="32"/>
        </w:rPr>
      </w:pPr>
    </w:p>
    <w:p>
      <w:pPr>
        <w:adjustRightInd w:val="0"/>
        <w:snapToGrid w:val="0"/>
        <w:spacing w:line="520" w:lineRule="exact"/>
        <w:ind w:firstLine="640" w:firstLineChars="200"/>
        <w:rPr>
          <w:kern w:val="0"/>
          <w:szCs w:val="32"/>
        </w:rPr>
      </w:pPr>
    </w:p>
    <w:p>
      <w:pPr>
        <w:widowControl/>
        <w:spacing w:line="520" w:lineRule="exact"/>
        <w:ind w:left="800" w:leftChars="200" w:hanging="160" w:hangingChars="50"/>
        <w:jc w:val="center"/>
        <w:rPr>
          <w:kern w:val="0"/>
          <w:szCs w:val="32"/>
        </w:rPr>
      </w:pPr>
      <w:r>
        <w:rPr>
          <w:szCs w:val="32"/>
        </w:rPr>
        <w:t xml:space="preserve">                     丰都县仁沙镇人民政府  </w:t>
      </w:r>
      <w:r>
        <w:rPr>
          <w:kern w:val="0"/>
          <w:szCs w:val="32"/>
        </w:rPr>
        <w:t xml:space="preserve">    </w:t>
      </w:r>
    </w:p>
    <w:p>
      <w:pPr>
        <w:spacing w:line="520" w:lineRule="exact"/>
        <w:ind w:firstLine="630"/>
        <w:jc w:val="center"/>
        <w:rPr>
          <w:szCs w:val="32"/>
        </w:rPr>
      </w:pPr>
      <w:r>
        <w:rPr>
          <w:kern w:val="0"/>
          <w:szCs w:val="32"/>
        </w:rPr>
        <w:t xml:space="preserve">                     2019年11月19日</w:t>
      </w:r>
      <w:r>
        <w:rPr>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kern w:val="0"/>
          <w:szCs w:val="32"/>
          <w:lang w:eastAsia="zh-CN"/>
        </w:rPr>
      </w:pPr>
      <w:r>
        <w:rPr>
          <w:rFonts w:hint="eastAsia"/>
          <w:kern w:val="0"/>
          <w:szCs w:val="32"/>
          <w:lang w:eastAsia="zh-CN"/>
        </w:rPr>
        <w:t>（</w:t>
      </w:r>
      <w:r>
        <w:rPr>
          <w:rFonts w:hint="eastAsia"/>
          <w:kern w:val="0"/>
          <w:szCs w:val="32"/>
          <w:lang w:val="en-US" w:eastAsia="zh-CN"/>
        </w:rPr>
        <w:t>此件公开发布</w:t>
      </w:r>
      <w:r>
        <w:rPr>
          <w:rFonts w:hint="eastAsia"/>
          <w:kern w:val="0"/>
          <w:szCs w:val="32"/>
          <w:lang w:eastAsia="zh-CN"/>
        </w:rPr>
        <w:t>）</w:t>
      </w:r>
    </w:p>
    <w:p>
      <w:pPr>
        <w:spacing w:line="520" w:lineRule="exact"/>
        <w:ind w:firstLine="630"/>
        <w:jc w:val="center"/>
        <w:rPr>
          <w:kern w:val="0"/>
          <w:szCs w:val="32"/>
        </w:rPr>
      </w:pPr>
      <w:r>
        <w:rPr>
          <w:szCs w:val="32"/>
        </w:rPr>
        <w:t xml:space="preserve">              </w:t>
      </w:r>
    </w:p>
    <w:p>
      <w:pPr>
        <w:spacing w:line="480" w:lineRule="exact"/>
        <w:rPr>
          <w:kern w:val="0"/>
          <w:szCs w:val="32"/>
        </w:rPr>
      </w:pPr>
    </w:p>
    <w:p>
      <w:pPr>
        <w:spacing w:line="480" w:lineRule="exact"/>
        <w:rPr>
          <w:kern w:val="0"/>
          <w:szCs w:val="32"/>
        </w:rPr>
      </w:pPr>
    </w:p>
    <w:p>
      <w:pPr>
        <w:spacing w:line="600" w:lineRule="exact"/>
        <w:jc w:val="left"/>
        <w:rPr>
          <w:rFonts w:eastAsia="方正小标宋_GBK"/>
          <w:sz w:val="44"/>
          <w:szCs w:val="44"/>
        </w:rPr>
      </w:pPr>
      <w:r>
        <w:rPr>
          <w:rFonts w:eastAsia="方正小标宋_GBK"/>
          <w:sz w:val="44"/>
          <w:szCs w:val="44"/>
        </w:rPr>
        <w:t>仁沙镇2019年度根治欠薪冬季攻坚行动方案</w:t>
      </w:r>
    </w:p>
    <w:p>
      <w:pPr>
        <w:spacing w:line="600" w:lineRule="exact"/>
        <w:ind w:firstLine="640" w:firstLineChars="200"/>
        <w:jc w:val="left"/>
        <w:rPr>
          <w:szCs w:val="32"/>
        </w:rPr>
      </w:pPr>
    </w:p>
    <w:p>
      <w:pPr>
        <w:spacing w:line="560" w:lineRule="exact"/>
        <w:ind w:firstLine="640" w:firstLineChars="200"/>
        <w:rPr>
          <w:rFonts w:eastAsia="方正黑体_GBK"/>
          <w:szCs w:val="32"/>
        </w:rPr>
      </w:pPr>
      <w:r>
        <w:rPr>
          <w:rFonts w:eastAsia="方正黑体_GBK"/>
          <w:szCs w:val="32"/>
        </w:rPr>
        <w:t>一、行动重点</w:t>
      </w:r>
    </w:p>
    <w:p>
      <w:pPr>
        <w:spacing w:line="560" w:lineRule="exact"/>
        <w:ind w:firstLine="640" w:firstLineChars="200"/>
        <w:rPr>
          <w:szCs w:val="32"/>
        </w:rPr>
      </w:pPr>
      <w:r>
        <w:rPr>
          <w:szCs w:val="32"/>
        </w:rPr>
        <w:t>此次行动以招用农民工较多的工程建设领域和劳动密集型加工制造等行业为重点，突出政府投资工程项目和国企项目，易受出口贸易摩擦影响的加工制造业企业，以及存在拖欠农民工工资隐患的其他企业。</w:t>
      </w:r>
    </w:p>
    <w:p>
      <w:pPr>
        <w:spacing w:line="560" w:lineRule="exact"/>
        <w:ind w:firstLine="640" w:firstLineChars="200"/>
        <w:rPr>
          <w:rFonts w:eastAsia="方正黑体_GBK"/>
          <w:szCs w:val="32"/>
        </w:rPr>
      </w:pPr>
      <w:r>
        <w:rPr>
          <w:rFonts w:eastAsia="方正黑体_GBK"/>
          <w:szCs w:val="32"/>
        </w:rPr>
        <w:t>二、行动内容</w:t>
      </w:r>
    </w:p>
    <w:p>
      <w:pPr>
        <w:spacing w:line="560" w:lineRule="exact"/>
        <w:ind w:firstLine="640" w:firstLineChars="200"/>
        <w:rPr>
          <w:szCs w:val="32"/>
        </w:rPr>
      </w:pPr>
      <w:r>
        <w:rPr>
          <w:szCs w:val="32"/>
        </w:rPr>
        <w:t>主要包括：一是用人单位按时足额支付农民工工资情况；二是政府投资工程项目和国企项目工程审批监管、资金落实和工程款按期结算情况；三是工程建设领域落实农民工实名制管理、农民工工资专用账户、银行代发农民工工资、工资保证金等保障工资支付制度情况；四是依法处置拖欠农民工工资违法行为，严厉打击拒不支付劳动报酬犯罪情况；五是对欠薪违法行为依法依规实施信用惩戒情况。</w:t>
      </w:r>
    </w:p>
    <w:p>
      <w:pPr>
        <w:spacing w:line="560" w:lineRule="exact"/>
        <w:ind w:firstLine="707" w:firstLineChars="221"/>
        <w:rPr>
          <w:rFonts w:eastAsia="黑体"/>
          <w:szCs w:val="32"/>
        </w:rPr>
      </w:pPr>
      <w:r>
        <w:rPr>
          <w:rFonts w:eastAsia="黑体"/>
          <w:szCs w:val="32"/>
        </w:rPr>
        <w:t>三、行动时间安排</w:t>
      </w:r>
    </w:p>
    <w:p>
      <w:pPr>
        <w:spacing w:line="560" w:lineRule="exact"/>
        <w:ind w:firstLine="707" w:firstLineChars="221"/>
        <w:rPr>
          <w:szCs w:val="32"/>
        </w:rPr>
      </w:pPr>
      <w:r>
        <w:rPr>
          <w:szCs w:val="32"/>
        </w:rPr>
        <w:t>行动分三个阶段进行：</w:t>
      </w:r>
    </w:p>
    <w:p>
      <w:pPr>
        <w:numPr>
          <w:ilvl w:val="0"/>
          <w:numId w:val="1"/>
        </w:numPr>
        <w:spacing w:line="560" w:lineRule="exact"/>
        <w:ind w:firstLine="707" w:firstLineChars="221"/>
        <w:rPr>
          <w:szCs w:val="32"/>
        </w:rPr>
      </w:pPr>
      <w:r>
        <w:rPr>
          <w:rFonts w:eastAsia="方正楷体_GBK"/>
          <w:szCs w:val="22"/>
        </w:rPr>
        <w:t>集中宣传和自查自纠阶段（2019年11月19日至11月30日）。</w:t>
      </w:r>
      <w:r>
        <w:rPr>
          <w:szCs w:val="32"/>
        </w:rPr>
        <w:t>各相关部门联合通过开展“送法进工地”、“送法进企业”等形式，广泛宣传普及《</w:t>
      </w:r>
      <w:r>
        <w:rPr>
          <w:rFonts w:hint="eastAsia"/>
          <w:szCs w:val="32"/>
          <w:lang w:val="en-US" w:eastAsia="zh-CN"/>
        </w:rPr>
        <w:t>中华人民共和国</w:t>
      </w:r>
      <w:r>
        <w:rPr>
          <w:szCs w:val="32"/>
        </w:rPr>
        <w:t>劳动法》、《</w:t>
      </w:r>
      <w:r>
        <w:rPr>
          <w:rFonts w:hint="eastAsia"/>
          <w:szCs w:val="32"/>
          <w:lang w:val="en-US" w:eastAsia="zh-CN"/>
        </w:rPr>
        <w:t>中华人民共和国</w:t>
      </w:r>
      <w:r>
        <w:rPr>
          <w:szCs w:val="32"/>
        </w:rPr>
        <w:t>劳动合同法》等法律法规，提高企业依法支付农民工工资的自觉性；通过“赶集日”“12月6</w:t>
      </w:r>
      <w:r>
        <w:rPr>
          <w:rFonts w:hint="eastAsia"/>
          <w:szCs w:val="32"/>
          <w:lang w:eastAsia="zh-CN"/>
        </w:rPr>
        <w:t>日</w:t>
      </w:r>
      <w:bookmarkStart w:id="0" w:name="_GoBack"/>
      <w:bookmarkEnd w:id="0"/>
      <w:r>
        <w:rPr>
          <w:szCs w:val="32"/>
        </w:rPr>
        <w:t>在农民工相对集中的场地发放宣传资料等方式广泛宣传解决农民工工资的意义，增强广大农民工依法理性维权的意识，营造维护农民工劳动报酬权益的良好舆论环境。同时，组织动员本辖区（行业）的各用人单位对本年度工资支付情况和各建筑施工企业对在建工程项目“一金三制”落实情况认真开展自查自纠，使其及时发现问题并落实整改。</w:t>
      </w:r>
    </w:p>
    <w:p>
      <w:pPr>
        <w:spacing w:line="560" w:lineRule="exact"/>
        <w:ind w:firstLine="640" w:firstLineChars="200"/>
        <w:rPr>
          <w:szCs w:val="32"/>
        </w:rPr>
      </w:pPr>
      <w:r>
        <w:rPr>
          <w:rFonts w:eastAsia="方正楷体_GBK"/>
          <w:szCs w:val="32"/>
        </w:rPr>
        <w:t>（二）专项检查和整改落实阶段（2019年12月1日至2019年12月15日）。</w:t>
      </w:r>
      <w:r>
        <w:rPr>
          <w:szCs w:val="32"/>
        </w:rPr>
        <w:t>镇政府组织相关部门专项检查工作组对本辖区（行业）内各用人单位（特别是工程施工企业、劳动密集型企业、易受经贸摩擦影响的加工制造业企业以及发生过拖欠农民工工资问题的企业）的工资支付情况和各工程建设项目“一金三制”落实情况开展全面专项检查，做到底数清、情况明、不留死角。</w:t>
      </w:r>
    </w:p>
    <w:p>
      <w:pPr>
        <w:spacing w:line="560" w:lineRule="exact"/>
        <w:ind w:firstLine="640" w:firstLineChars="200"/>
        <w:rPr>
          <w:rFonts w:eastAsia="方正楷体_GBK"/>
          <w:szCs w:val="22"/>
        </w:rPr>
      </w:pPr>
      <w:r>
        <w:rPr>
          <w:rFonts w:eastAsia="方正楷体_GBK"/>
          <w:szCs w:val="22"/>
        </w:rPr>
        <w:t>（三）总结上报和迎检阶段（2019年12月16日至2020年春节前）。镇内各相关部门根据检查的情况，总结上报县农工支组办公室，同时，迎接县上相关部门检查。</w:t>
      </w:r>
    </w:p>
    <w:p>
      <w:pPr>
        <w:spacing w:line="560" w:lineRule="exact"/>
        <w:ind w:firstLine="707" w:firstLineChars="221"/>
        <w:rPr>
          <w:rFonts w:eastAsia="黑体"/>
          <w:szCs w:val="32"/>
        </w:rPr>
      </w:pPr>
      <w:r>
        <w:rPr>
          <w:rFonts w:eastAsia="黑体"/>
          <w:szCs w:val="32"/>
        </w:rPr>
        <w:t>四、工作要求</w:t>
      </w:r>
    </w:p>
    <w:p>
      <w:pPr>
        <w:spacing w:line="560" w:lineRule="exact"/>
        <w:ind w:firstLine="707" w:firstLineChars="221"/>
        <w:rPr>
          <w:szCs w:val="32"/>
        </w:rPr>
      </w:pPr>
      <w:r>
        <w:rPr>
          <w:rFonts w:eastAsia="方正楷体_GBK"/>
          <w:szCs w:val="22"/>
        </w:rPr>
        <w:t>（一）加强组织领导。</w:t>
      </w:r>
      <w:r>
        <w:rPr>
          <w:szCs w:val="32"/>
        </w:rPr>
        <w:t>镇级有关部门要以习近平新时代中国特色社会主义思想为指导，树牢“四个意识”，坚定“四个自信”，坚决做到“两个维护”，紧密结合“不忘初心、牢记使命”主题教育，进一步提高政治站位，坚守人民立场，从讲政治的高度，认真抓好本次冬季攻坚行动，切实维护广大劳动者合法权益。各部门明确任务分工，加强组织协调。</w:t>
      </w:r>
    </w:p>
    <w:p>
      <w:pPr>
        <w:spacing w:line="560" w:lineRule="exact"/>
        <w:ind w:firstLine="707" w:firstLineChars="221"/>
        <w:rPr>
          <w:szCs w:val="32"/>
        </w:rPr>
      </w:pPr>
      <w:r>
        <w:rPr>
          <w:rFonts w:eastAsia="方正楷体_GBK"/>
          <w:szCs w:val="22"/>
        </w:rPr>
        <w:t>（二）压实监管责任。</w:t>
      </w:r>
      <w:r>
        <w:rPr>
          <w:szCs w:val="32"/>
        </w:rPr>
        <w:t>镇级有关部门要按照“属地管理、分级负责、谁主管谁负责”的原则，落实解决拖欠农民工工资的工作要求，压实监管责任，健全治理欠薪目标责任制度，建立欠薪工作台账，实时掌握欠薪企业、欠薪人数、欠薪金额，及时妥善处理欠薪问题或欠薪隐患，做到欠薪问题不解决绝不销号，严厉打击拒不支付劳动报酬的犯罪行为，坚决做到违法行为没有查清不放过、劳动者合法权益没有得到维护不放过、涉案嫌疑人没有归案不放过，保持对欠薪犯罪行为的高压态势。对因监管责任不落实、组织工作不到位引发群体性事件或极端事件以及政府投资工程项目拖欠工程款导致欠薪的，依法依规严格问责。</w:t>
      </w: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rPr>
          <w:kern w:val="0"/>
          <w:szCs w:val="32"/>
        </w:rPr>
      </w:pPr>
    </w:p>
    <w:p>
      <w:pPr>
        <w:spacing w:line="480" w:lineRule="exact"/>
        <w:jc w:val="left"/>
        <w:rPr>
          <w:rFonts w:hint="eastAsia" w:eastAsia="方正仿宋_GBK"/>
          <w:sz w:val="28"/>
          <w:szCs w:val="28"/>
          <w:lang w:eastAsia="zh-CN"/>
        </w:rPr>
      </w:pPr>
    </w:p>
    <w:sectPr>
      <w:footerReference r:id="rId3" w:type="default"/>
      <w:footerReference r:id="rId4" w:type="even"/>
      <w:pgSz w:w="11906" w:h="16838"/>
      <w:pgMar w:top="2098" w:right="1474" w:bottom="1985" w:left="1588" w:header="851" w:footer="1418"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sz w:val="28"/>
        <w:szCs w:val="28"/>
      </w:rPr>
    </w:pP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- 1 -</w:t>
    </w:r>
    <w:r>
      <w:rPr>
        <w:sz w:val="24"/>
        <w:szCs w:val="24"/>
      </w:rPr>
      <w:fldChar w:fldCharType="end"/>
    </w:r>
  </w:p>
  <w:p>
    <w:pPr>
      <w:pStyle w:val="8"/>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sz w:val="28"/>
        <w:szCs w:val="28"/>
      </w:rPr>
    </w:pPr>
  </w:p>
  <w:p>
    <w:pPr>
      <w:pStyle w:val="8"/>
      <w:ind w:right="360" w:firstLine="36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388E4"/>
    <w:multiLevelType w:val="singleLevel"/>
    <w:tmpl w:val="2DD388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yYjQxYmE0MDY5MDAwMjRkZGQ4MjlkOTQyMTBiMTYifQ=="/>
  </w:docVars>
  <w:rsids>
    <w:rsidRoot w:val="00865A71"/>
    <w:rsid w:val="000770B1"/>
    <w:rsid w:val="000964AC"/>
    <w:rsid w:val="000A3B93"/>
    <w:rsid w:val="000E44CD"/>
    <w:rsid w:val="00124A68"/>
    <w:rsid w:val="001569CB"/>
    <w:rsid w:val="001853F2"/>
    <w:rsid w:val="00187C93"/>
    <w:rsid w:val="00195366"/>
    <w:rsid w:val="001A34AB"/>
    <w:rsid w:val="001D6300"/>
    <w:rsid w:val="0021144C"/>
    <w:rsid w:val="002132F3"/>
    <w:rsid w:val="00221FEC"/>
    <w:rsid w:val="00223C44"/>
    <w:rsid w:val="00231BA2"/>
    <w:rsid w:val="002938E0"/>
    <w:rsid w:val="0029694F"/>
    <w:rsid w:val="00297A16"/>
    <w:rsid w:val="002A0898"/>
    <w:rsid w:val="002C7072"/>
    <w:rsid w:val="00303D61"/>
    <w:rsid w:val="003149AE"/>
    <w:rsid w:val="00330AEE"/>
    <w:rsid w:val="0035452E"/>
    <w:rsid w:val="003625ED"/>
    <w:rsid w:val="003C36C3"/>
    <w:rsid w:val="004020A3"/>
    <w:rsid w:val="00431692"/>
    <w:rsid w:val="004913DF"/>
    <w:rsid w:val="00493E2D"/>
    <w:rsid w:val="004A396E"/>
    <w:rsid w:val="004D3183"/>
    <w:rsid w:val="004E23F9"/>
    <w:rsid w:val="004E2DB5"/>
    <w:rsid w:val="004E5188"/>
    <w:rsid w:val="005165A2"/>
    <w:rsid w:val="0051754E"/>
    <w:rsid w:val="00527109"/>
    <w:rsid w:val="00536359"/>
    <w:rsid w:val="0057197B"/>
    <w:rsid w:val="005B02D4"/>
    <w:rsid w:val="005C7289"/>
    <w:rsid w:val="006109D8"/>
    <w:rsid w:val="00627765"/>
    <w:rsid w:val="00635964"/>
    <w:rsid w:val="00645287"/>
    <w:rsid w:val="006A7F6F"/>
    <w:rsid w:val="006F3BC9"/>
    <w:rsid w:val="00703D4C"/>
    <w:rsid w:val="00730EAA"/>
    <w:rsid w:val="007452F0"/>
    <w:rsid w:val="0074613F"/>
    <w:rsid w:val="00747902"/>
    <w:rsid w:val="00762399"/>
    <w:rsid w:val="007A0277"/>
    <w:rsid w:val="00817741"/>
    <w:rsid w:val="0084432B"/>
    <w:rsid w:val="00865A71"/>
    <w:rsid w:val="00871180"/>
    <w:rsid w:val="008B0E04"/>
    <w:rsid w:val="008C5528"/>
    <w:rsid w:val="008C5B24"/>
    <w:rsid w:val="008D4B39"/>
    <w:rsid w:val="0092724D"/>
    <w:rsid w:val="00951218"/>
    <w:rsid w:val="009F1E18"/>
    <w:rsid w:val="00A45AAE"/>
    <w:rsid w:val="00A47C6E"/>
    <w:rsid w:val="00A54CB0"/>
    <w:rsid w:val="00A7296E"/>
    <w:rsid w:val="00AB72FC"/>
    <w:rsid w:val="00AD2413"/>
    <w:rsid w:val="00AD67B8"/>
    <w:rsid w:val="00AE4798"/>
    <w:rsid w:val="00AF4A3B"/>
    <w:rsid w:val="00AF648C"/>
    <w:rsid w:val="00B0363D"/>
    <w:rsid w:val="00B726DE"/>
    <w:rsid w:val="00BB4051"/>
    <w:rsid w:val="00BE2FB2"/>
    <w:rsid w:val="00BF044C"/>
    <w:rsid w:val="00C43593"/>
    <w:rsid w:val="00C56D2E"/>
    <w:rsid w:val="00C66CB4"/>
    <w:rsid w:val="00C736FE"/>
    <w:rsid w:val="00CB7552"/>
    <w:rsid w:val="00CC1E8C"/>
    <w:rsid w:val="00CE4C84"/>
    <w:rsid w:val="00CF553C"/>
    <w:rsid w:val="00D16A02"/>
    <w:rsid w:val="00D34CDF"/>
    <w:rsid w:val="00D726FD"/>
    <w:rsid w:val="00D80E7A"/>
    <w:rsid w:val="00DC06F0"/>
    <w:rsid w:val="00DD3A3D"/>
    <w:rsid w:val="00E5108A"/>
    <w:rsid w:val="00EC1029"/>
    <w:rsid w:val="00F02554"/>
    <w:rsid w:val="00F02932"/>
    <w:rsid w:val="00FC7D13"/>
    <w:rsid w:val="00FF2C1A"/>
    <w:rsid w:val="04A71254"/>
    <w:rsid w:val="0ABD0ABF"/>
    <w:rsid w:val="107240FA"/>
    <w:rsid w:val="12E75E59"/>
    <w:rsid w:val="14D7452C"/>
    <w:rsid w:val="1C56042C"/>
    <w:rsid w:val="22F83FEB"/>
    <w:rsid w:val="26BE19EF"/>
    <w:rsid w:val="28E82AAD"/>
    <w:rsid w:val="32EC51EE"/>
    <w:rsid w:val="35F40F8A"/>
    <w:rsid w:val="366B0AFC"/>
    <w:rsid w:val="36BD312A"/>
    <w:rsid w:val="37EF04E9"/>
    <w:rsid w:val="3A425636"/>
    <w:rsid w:val="3DAD076C"/>
    <w:rsid w:val="4D096889"/>
    <w:rsid w:val="546C46DA"/>
    <w:rsid w:val="5612303A"/>
    <w:rsid w:val="590C2DCE"/>
    <w:rsid w:val="5F2913F5"/>
    <w:rsid w:val="75D237F5"/>
    <w:rsid w:val="7AA3758F"/>
    <w:rsid w:val="7D237DDF"/>
    <w:rsid w:val="B77A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3">
    <w:name w:val="heading 1"/>
    <w:basedOn w:val="1"/>
    <w:next w:val="1"/>
    <w:link w:val="21"/>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w:basedOn w:val="1"/>
    <w:link w:val="20"/>
    <w:semiHidden/>
    <w:unhideWhenUsed/>
    <w:qFormat/>
    <w:uiPriority w:val="99"/>
    <w:pPr>
      <w:spacing w:after="120"/>
    </w:pPr>
  </w:style>
  <w:style w:type="paragraph" w:styleId="5">
    <w:name w:val="Body Text Indent"/>
    <w:basedOn w:val="1"/>
    <w:link w:val="19"/>
    <w:qFormat/>
    <w:uiPriority w:val="0"/>
    <w:pPr>
      <w:ind w:firstLine="640" w:firstLineChars="200"/>
    </w:pPr>
    <w:rPr>
      <w:rFonts w:eastAsia="仿宋_GB2312"/>
    </w:rPr>
  </w:style>
  <w:style w:type="paragraph" w:styleId="6">
    <w:name w:val="Plain Text"/>
    <w:basedOn w:val="1"/>
    <w:link w:val="18"/>
    <w:qFormat/>
    <w:uiPriority w:val="0"/>
    <w:rPr>
      <w:rFonts w:ascii="宋体" w:hAnsi="Courier New" w:cs="宋体" w:eastAsiaTheme="minorEastAsia"/>
      <w:sz w:val="21"/>
      <w:szCs w:val="21"/>
    </w:rPr>
  </w:style>
  <w:style w:type="paragraph" w:styleId="7">
    <w:name w:val="Date"/>
    <w:basedOn w:val="1"/>
    <w:next w:val="1"/>
    <w:link w:val="16"/>
    <w:semiHidden/>
    <w:unhideWhenUsed/>
    <w:qFormat/>
    <w:uiPriority w:val="99"/>
    <w:pPr>
      <w:ind w:left="100" w:leftChars="2500"/>
    </w:pPr>
  </w:style>
  <w:style w:type="paragraph" w:styleId="8">
    <w:name w:val="footer"/>
    <w:basedOn w:val="1"/>
    <w:link w:val="15"/>
    <w:unhideWhenUsed/>
    <w:qFormat/>
    <w:uiPriority w:val="0"/>
    <w:pPr>
      <w:tabs>
        <w:tab w:val="center" w:pos="4153"/>
        <w:tab w:val="right" w:pos="8306"/>
      </w:tabs>
      <w:snapToGrid w:val="0"/>
      <w:jc w:val="left"/>
    </w:pPr>
    <w:rPr>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ascii="Calibri" w:hAnsi="Calibri" w:eastAsia="宋体" w:cs="Calibri"/>
      <w:kern w:val="0"/>
      <w:sz w:val="24"/>
      <w:szCs w:val="24"/>
    </w:rPr>
  </w:style>
  <w:style w:type="character" w:styleId="13">
    <w:name w:val="page number"/>
    <w:basedOn w:val="12"/>
    <w:qFormat/>
    <w:uiPriority w:val="0"/>
  </w:style>
  <w:style w:type="character" w:customStyle="1" w:styleId="14">
    <w:name w:val="页眉 Char"/>
    <w:basedOn w:val="12"/>
    <w:link w:val="9"/>
    <w:semiHidden/>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日期 Char"/>
    <w:basedOn w:val="12"/>
    <w:link w:val="7"/>
    <w:semiHidden/>
    <w:qFormat/>
    <w:uiPriority w:val="99"/>
    <w:rPr>
      <w:rFonts w:ascii="Times New Roman" w:hAnsi="Times New Roman" w:eastAsia="方正仿宋_GBK" w:cs="Times New Roman"/>
      <w:sz w:val="32"/>
      <w:szCs w:val="20"/>
    </w:rPr>
  </w:style>
  <w:style w:type="character" w:customStyle="1" w:styleId="17">
    <w:name w:val="纯文本 Char"/>
    <w:link w:val="6"/>
    <w:qFormat/>
    <w:locked/>
    <w:uiPriority w:val="0"/>
    <w:rPr>
      <w:rFonts w:ascii="宋体" w:hAnsi="Courier New" w:cs="宋体"/>
      <w:szCs w:val="21"/>
    </w:rPr>
  </w:style>
  <w:style w:type="character" w:customStyle="1" w:styleId="18">
    <w:name w:val="纯文本 Char1"/>
    <w:basedOn w:val="12"/>
    <w:link w:val="6"/>
    <w:semiHidden/>
    <w:qFormat/>
    <w:uiPriority w:val="99"/>
    <w:rPr>
      <w:rFonts w:ascii="宋体" w:hAnsi="Courier New" w:eastAsia="宋体" w:cs="Courier New"/>
      <w:szCs w:val="21"/>
    </w:rPr>
  </w:style>
  <w:style w:type="character" w:customStyle="1" w:styleId="19">
    <w:name w:val="正文文本缩进 Char"/>
    <w:basedOn w:val="12"/>
    <w:link w:val="5"/>
    <w:qFormat/>
    <w:uiPriority w:val="0"/>
    <w:rPr>
      <w:rFonts w:ascii="Times New Roman" w:hAnsi="Times New Roman" w:eastAsia="仿宋_GB2312" w:cs="Times New Roman"/>
      <w:sz w:val="32"/>
      <w:szCs w:val="20"/>
    </w:rPr>
  </w:style>
  <w:style w:type="character" w:customStyle="1" w:styleId="20">
    <w:name w:val="正文文本 Char"/>
    <w:basedOn w:val="12"/>
    <w:link w:val="4"/>
    <w:semiHidden/>
    <w:qFormat/>
    <w:uiPriority w:val="99"/>
    <w:rPr>
      <w:rFonts w:ascii="Times New Roman" w:hAnsi="Times New Roman" w:eastAsia="方正仿宋_GBK" w:cs="Times New Roman"/>
      <w:sz w:val="32"/>
      <w:szCs w:val="20"/>
    </w:rPr>
  </w:style>
  <w:style w:type="character" w:customStyle="1" w:styleId="21">
    <w:name w:val="标题 1 Char"/>
    <w:basedOn w:val="12"/>
    <w:link w:val="3"/>
    <w:qFormat/>
    <w:uiPriority w:val="99"/>
    <w:rPr>
      <w:rFonts w:ascii="Tahoma" w:hAnsi="Tahoma" w:eastAsia="微软雅黑"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6</Pages>
  <Words>257</Words>
  <Characters>1469</Characters>
  <Lines>12</Lines>
  <Paragraphs>3</Paragraphs>
  <TotalTime>0</TotalTime>
  <ScaleCrop>false</ScaleCrop>
  <LinksUpToDate>false</LinksUpToDate>
  <CharactersWithSpaces>1723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2019-12-16T19:22:00Z</dcterms:created>
  <dc:creator>xiaoniu</dc:creator>
  <cp:lastModifiedBy>fengdu</cp:lastModifiedBy>
  <cp:lastPrinted>2019-11-25T18:30:00Z</cp:lastPrinted>
  <dcterms:modified xsi:type="dcterms:W3CDTF">2023-12-17T18:39:29Z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C0116B2448D641798409ABB77F05DBBA_12</vt:lpwstr>
  </property>
</Properties>
</file>