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180" w:afterAutospacing="0" w:line="600" w:lineRule="exact"/>
        <w:jc w:val="center"/>
        <w:rPr>
          <w:rFonts w:ascii="Times New Roman" w:hAnsi="Times New Roman" w:eastAsia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/>
          <w:kern w:val="2"/>
          <w:sz w:val="44"/>
          <w:szCs w:val="44"/>
        </w:rPr>
        <w:t>丰都县</w:t>
      </w:r>
      <w:r>
        <w:rPr>
          <w:rFonts w:hint="eastAsia" w:ascii="Times New Roman" w:hAnsi="Times New Roman" w:eastAsia="方正小标宋_GBK"/>
          <w:kern w:val="2"/>
          <w:sz w:val="44"/>
          <w:szCs w:val="44"/>
          <w:lang w:val="en-US" w:eastAsia="zh-CN"/>
        </w:rPr>
        <w:t>仁沙</w:t>
      </w:r>
      <w:r>
        <w:rPr>
          <w:rFonts w:hint="eastAsia" w:ascii="Times New Roman" w:hAnsi="Times New Roman" w:eastAsia="方正小标宋_GBK"/>
          <w:kern w:val="2"/>
          <w:sz w:val="44"/>
          <w:szCs w:val="44"/>
        </w:rPr>
        <w:t>镇人民政府</w:t>
      </w:r>
      <w:r>
        <w:rPr>
          <w:rFonts w:ascii="Times New Roman" w:hAnsi="Times New Roman" w:eastAsia="方正小标宋_GBK"/>
          <w:kern w:val="2"/>
          <w:sz w:val="44"/>
          <w:szCs w:val="44"/>
        </w:rPr>
        <w:t>关于2023年财政预算执行情况和2024年财政预算的报告</w:t>
      </w:r>
    </w:p>
    <w:p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一、2023年财政预算执行情况</w:t>
      </w:r>
    </w:p>
    <w:p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（一）一般公共预算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1.收入情况。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2023年仁沙镇一般公共预算收入总计为3368.38万元，为年度预算数的100%，同比增加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507.86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2. 支出情况。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2023年仁沙镇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一般公共预算支出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总计为336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.38万元,为年度预算数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99.99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%，同比增加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50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.86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支出分项情况如下：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（1）一般公共服务支出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721.13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万元，主要用于人大工作支出、政府办公楼维修、党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建设、食品药品安全、信访工作、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政府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机关职工工资福利及日常办公等；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（2）国防支出6万元，主要用于基层武装部规范化建设等；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（3）文化体育与传媒支出95.17万元，主要用于多功能运动场建设、“陶氏宗祠”保护修缮、文服中心职工工资福利及日常办公等；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（4）社会保障和就业支出472.31万元，主要用于公益性岗位补贴、养老服务站建设、助残员及阳光家园居家托养补助、网格员补助、退休职工健康休养费、缴纳行政事业单位在职职工养老保险职业年金等；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（5）卫生健康支出49.66万元，缴纳行政事业单位在职职工医疗保险；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（6）节能环保支出19万元，主要用于农村生活垃圾清运、三峡库区次级河流清漂作业；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（7）城乡社区支出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123.96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万元，主要用于人居环境整治、场镇卫生保洁、道路建设及养护、执法大队职工工资福利及日常办公等； 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（8）农林水支出988.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万元，主要用于畜牧防疫和病虫害防治工作、农村户厕改造、水利设施修复、驻村工作队日常办公、乡村治理“积分制”建设、森林防火标准检查站建设、产业路建设、低收入脱贫人口到户产业补助、旧房整治提升、新农人培育提升工程、天保工程公益林集中管护、农服中心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（9）交通运输支出317.63万元，主要用于四好农村路建设、乡村公路安防工程、公路养护、公路灾毁抢险保通等；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（10）住房保障支出55.11万元，主要用于缴存在职职工住房公积金；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（11）灾害防治及应急管理支出33.16万元，主要用于公路养护补助、交通劝导员补助、自然灾害救助补助等；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（12）债务还本支出486万元，主要用于偿还撤并村道路建设、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道路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通畅工程、汽车站汽车室及附属工程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等工程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欠款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3. 结转结余情况。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2023年仁沙镇年终结余总计为1.00万元,为老旧小区改造历年结余。</w:t>
      </w:r>
    </w:p>
    <w:p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（二）政府性基金预算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1.收入情况。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2023年仁沙镇政府性基金预算收入总计为79.86万元，为年度预算数的100%，同比减少49.85万元。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2. 支出情况。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2023年仁沙镇政府性基金预算支出总计为79.86万元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为年度预算数100%，同比减少49.85万元。主要用于社区居家养老服务站建设、七星寨村道路建设、2019年四好农村公路改建工程。</w:t>
      </w:r>
    </w:p>
    <w:p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（三）2023年重点财政工作</w:t>
      </w:r>
    </w:p>
    <w:p>
      <w:pPr>
        <w:pStyle w:val="5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1.挖收入，调结构，缓解收支矛盾。</w:t>
      </w:r>
      <w:r>
        <w:rPr>
          <w:rFonts w:ascii="Times New Roman" w:hAnsi="Times New Roman" w:eastAsia="方正仿宋_GBK"/>
          <w:sz w:val="32"/>
          <w:szCs w:val="32"/>
        </w:rPr>
        <w:t>2023年，受宏观经济政策等多重因素叠加影响，财政收入出现大幅萎缩，财政运行处于“紧平衡”状态，财政收支压力明显加大，我镇多措并举全力保障财政收支平衡。一是加大财政资源统筹力度，积极盘活存量资金，提高资金使用效率。二是建立健全厉行节约长效机制，严格落实过“紧日子”要求，大力压减一般性支出，严格控制非刚性、非重点项目支出。三是调整和优化支出结构，压减非急需非刚性支出，坚持民生、重点领域支出的优先顺序，严格控制预算追加事项，确保每笔财政资金落到实处、用得其所、用出实效。收入做加法，支出做减法，有效缓冲收支平衡压力，促进我镇各项事业健康稳定发展。</w:t>
      </w:r>
    </w:p>
    <w:p>
      <w:pPr>
        <w:pStyle w:val="5"/>
        <w:widowControl/>
        <w:shd w:val="clear" w:color="auto" w:fill="FFFFFF"/>
        <w:spacing w:beforeAutospacing="0" w:afterAutospacing="0" w:line="555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2.保民生，抓重点，促进全面发展。</w:t>
      </w:r>
      <w:r>
        <w:rPr>
          <w:rFonts w:ascii="Times New Roman" w:hAnsi="Times New Roman" w:eastAsia="方正仿宋_GBK"/>
          <w:sz w:val="32"/>
          <w:szCs w:val="32"/>
        </w:rPr>
        <w:t>坚持政引领财，把准财政工作方向，兜牢民生底线，聚焦重点领域，扎实做好“三保”工作，守住“六保”底线。一是兜牢民生底线，提高民生保障水平。严格落实困难群众救助帮扶政策，全力保障低保、特困人员、孤儿、退役军人等困难群众救助资金，不断提高民生保障水平，凝聚民心。二是加大重点领域投入，确保我镇重点工作顺利推进。有效推动新农村建设和人居环境改善，不断提高农村人居环境质量，加大强农惠农富农力度，统筹建设水利等农业基础设施。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2023年我镇财政收入平稳增长，财政预算执行情况总体良好，但也必须清醒地认识到，预算执行过程中还存在着一些矛盾和问题，主要表现在：一是受宏观经济增长趋缓、产业转型升级困难等因素影响，财政收入持续增长难度较大；二是财政支出呈刚性增长态势，项目建设资金需求较大，收支平衡矛盾比较突出，政府债务风险需要加大防范化解力度。这些问题，我们将求真务实，开拓进取，采取扎实有效措施，认真克服和解决。</w:t>
      </w:r>
    </w:p>
    <w:p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二、2024年财政预算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2024年预算编制的总体思路是：紧紧围绕镇党委、政府的中心工作，培植财源抓增收，优化支出保重点，深化改革强管理，切实保障和改善民生，完善财政监管机制，提升财政绩效管理水平，厉行节约，提高效益，促进我镇经济社会又好又快发展。</w:t>
      </w:r>
    </w:p>
    <w:p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（一）一般公共预算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2024年一般公共预算收入预期总计1923.56万元，其中上年结转结余收入1.00万元。根据收入安排相应的支出总计预算为1923.56万元。支出的分类情况是：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1.一般公共服务支出593万元，主要用于人大代表活动、人大工作、三支一扶人员支出、食堂补助、党建统领基层治理工作、招商引资工作、保障机关职工工资福利及日常办公等；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2.文化旅游体育与传媒支出50万元，主要用于乡村旅游发展支出、保障文服中心职工工资福利及日常办公等；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3.社会保障和就业支出388.54万元，主要用于网格员补助、退休职工健康休养费、缴纳行政事业单位在职职工养老保险职业年金、保障社保所与退役军人服务站职工工资福利及日常办公等；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4.卫生健康支出62.75万元，主要用于缴纳行政事业单位在职职工医疗保险；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5.城乡社区支出120.81万元，主要用于场镇卫生保洁、综合行政执法改革工作、保障执法大队职工工资福利及日常办公等；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6. 农林水支出617.87万元，主要用于村（社）干部误工补助及村级办公经费、保障农服中心职工工资福利及日常办公等；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7.交通运输支出8.12万元，主要用于交通劝导员补助、道路交通专职化劝导站建设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8.住房保障支出62.97万元，主要用于老旧小区改造、缴存在职职工住房公积金；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9.预备费19.5万元，主要用于突发事件或应急抢险救灾等支出。</w:t>
      </w:r>
    </w:p>
    <w:p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（二）政府性基金预算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丰都县仁沙镇人民政府2024年无使用政府性基金预算拨款安排的支出。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以上收支预算（草案）如因上级政策调整，预算也随之调整，并向镇人大主席团报告后组织实施。</w:t>
      </w:r>
    </w:p>
    <w:p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三、2024年财政工作主要任务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2024年全镇财政预算支出安排总体趋紧，支出安排主要还是刚性支出。我们要拓宽理财思路，坚持增收节支，在确保全镇各项事业稳定发展的前提下，实现全年财政收支预算的全面完成。2024年的财政工作要做好以下几个方面：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（一）进一步提升服务经济水平。</w:t>
      </w:r>
      <w:r>
        <w:rPr>
          <w:rFonts w:ascii="Times New Roman" w:hAnsi="Times New Roman" w:eastAsia="方正仿宋_GBK"/>
          <w:sz w:val="32"/>
          <w:szCs w:val="32"/>
        </w:rPr>
        <w:t>一是持续优化营商环境。进一步加强对全镇企业的联系和服务工作，帮助企业破解发展难题，全力打造优良营商环境，提升企业发展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信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心和竞争力。二是强化政策扶持引导。加大对辖内企业的政策扶持力度，促进在建项目加快建设，早日投产达产，形成新的税源。三是提升服务企业质效。继续加强与重点企业的联系，深入企业调研，协调解决相关问题。积极对上争取，加大项目申报力度，及时落实项目配套资金，为发展争取更多支持。四是继续深化税法宣传，增强全民的税收法纪观念和纳税财政意识，确保财政收入及时足额入库，努力增加财政收入。</w:t>
      </w:r>
    </w:p>
    <w:p>
      <w:pPr>
        <w:pStyle w:val="5"/>
        <w:widowControl/>
        <w:shd w:val="clear" w:color="auto" w:fill="FFFFFF"/>
        <w:spacing w:beforeAutospacing="0" w:afterAutospacing="0" w:line="4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（二）进一步优化重点支出保障。</w:t>
      </w:r>
      <w:r>
        <w:rPr>
          <w:rFonts w:ascii="Times New Roman" w:hAnsi="Times New Roman" w:eastAsia="方正仿宋_GBK"/>
          <w:sz w:val="32"/>
          <w:szCs w:val="32"/>
        </w:rPr>
        <w:t>完善支出结构，采取有保有压策略，切实保障各项重点项目支出。一是树立“节支即增收”的观念。继续发扬艰苦奋斗，牢固树立勤俭办事的风气，厉行节约，反对浪费。二是确保各项重点支出。严格执行支出预算，努力保障核心支出，保工资发放，保机构运转，保社会稳定。三是加强财政资金管理制度建设。按照“先有预算，后有支出；先有制度办法，后有资金分配”的要求，完善各项资金管理，并重点加强跟踪问效和审计监督。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（三）进一步加强财政预算管理</w:t>
      </w:r>
      <w:r>
        <w:rPr>
          <w:rFonts w:ascii="Times New Roman" w:hAnsi="Times New Roman" w:eastAsia="方正仿宋_GBK"/>
          <w:sz w:val="32"/>
          <w:szCs w:val="32"/>
        </w:rPr>
        <w:t>。加强部门预算的实施，严格预算管理，完善预算编制，统筹安排财政资金。一是严格控制一般性支出。进一步压缩“三公”经费，确保“三公”经费实现逐年递减。二是加强预算执行管理。贯彻执行新</w:t>
      </w:r>
      <w:r>
        <w:rPr>
          <w:rFonts w:hint="eastAsia" w:ascii="Times New Roman" w:hAnsi="Times New Roman" w:eastAsia="方正仿宋_GBK"/>
          <w:sz w:val="32"/>
          <w:szCs w:val="32"/>
        </w:rPr>
        <w:t>《中华人民共和国预算法》</w:t>
      </w:r>
      <w:r>
        <w:rPr>
          <w:rFonts w:ascii="Times New Roman" w:hAnsi="Times New Roman" w:eastAsia="方正仿宋_GBK"/>
          <w:sz w:val="32"/>
          <w:szCs w:val="32"/>
        </w:rPr>
        <w:t>，硬化预算约束，严格控制预算追加。三是推进预算绩效管理。树立绩效理念，以绩效评价为手段，优化资源配置，控制节约成本，将绩效贯穿预算编制、执行、监督全过程，确保预算绩效落到实处。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ind w:firstLine="645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（四）进一步提高财政管理水平。</w:t>
      </w:r>
      <w:r>
        <w:rPr>
          <w:rFonts w:ascii="Times New Roman" w:hAnsi="Times New Roman" w:eastAsia="方正仿宋_GBK"/>
          <w:sz w:val="32"/>
          <w:szCs w:val="32"/>
        </w:rPr>
        <w:t>以提升财政管理绩效为核心，不断提高财政管理水平。一是加强财政资金安全管理。开展资金安全检查工作，全面查堵管理漏洞，切实完善内控制度，确保资金安全。二是健全财政大监督格局。整合强化监督力量，完善监督检查，建立财政大监督格局。三是强化政府债务管理。加强债务风险监控，降低债务成本，优化债务结构，缓解债务压力。</w:t>
      </w:r>
    </w:p>
    <w:p>
      <w:pPr>
        <w:pStyle w:val="5"/>
        <w:widowControl/>
        <w:shd w:val="clear" w:color="auto" w:fill="FFFFFF"/>
        <w:spacing w:beforeAutospacing="0" w:afterAutospacing="0" w:line="615" w:lineRule="atLeast"/>
        <w:ind w:firstLine="645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32"/>
          <w:szCs w:val="32"/>
        </w:rPr>
        <w:t>相关事项说明</w:t>
      </w:r>
    </w:p>
    <w:p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一、2023年预备费使用情况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2023年预备费共使用18.5万元，全部用于信访维稳及应急抢险等支出。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二、“三公”经费相关情况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2024年“三公”经费预算26万元，比2023年减少5.5万元。其中：因公出国（境）费用0万元，与2023年持平，主要原因是仁沙镇2024年无因公出国（境）安排；公务接待费10万元，比2023年减少1.5万元，主要原因是落实三公经费只减不增要求；公务用车运行维护费16万元，比2023年减少4万元，主要原因是严格按照公车编制预算，减少1辆公务用车；公务用车购置费0万元，与2023年持平；主要原因是仁沙镇2024年无公车购置安排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00"/>
        <w:rPr>
          <w:rFonts w:ascii="Times New Roman" w:hAnsi="Times New Roman" w:eastAsia="仿宋_GB2312" w:cs="Times New Roman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7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名词解释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一般公共预算：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是对以税收为主体的财政收入，安排用于保障和改善民生、推动经济社会发展、维护国家安全、维持国家机构正常运转等方面的收支预算。包括税收收入和非税收入，其中，非税收入主要包括行政事业性收费收入、罚没收入、国有资源（资产）有偿使用收入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政府性基金预算：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是对依照法律、行政法规的规定在一定期限内向特定对象征收、收取或者以其他方式筹集的资金，专项用于特定公共事业发展的收支预算。主要包括土地收入、城市建设配套费。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国有资本经营预算：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是对国有资本收益作出支出安排的收支预算。主要为国企上缴利润收入、产权转让收入。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社保基金预算：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是对社会保险缴款、一般公共预算安排和其他方式筹集的资金，专项用于社会保险的收支预算。目前是全市统筹，由市统一编制、我县不单独编报。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债券资金：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即地方政府债券资金，是指重庆市政府以政府的信用为基础并承诺偿还本息，自主向社会发行地方政府债券筹集的财政资金。按债券发行类别分为置换债券资金和新增债券资金，按预算管理分为一般债券（纳入一般公共预算管理）和专项债券（纳入政府性基金预算管理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三公经费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：指政府部门公务出国（境）经费、公务车购置及运行费、公务接待费。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- 10 -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yN2JiNGZmOWIwNjkxOTFkNGFlN2U1YjlmOWE4ZTYifQ=="/>
  </w:docVars>
  <w:rsids>
    <w:rsidRoot w:val="003C5D59"/>
    <w:rsid w:val="00035A16"/>
    <w:rsid w:val="00081079"/>
    <w:rsid w:val="00096372"/>
    <w:rsid w:val="00157370"/>
    <w:rsid w:val="001A0897"/>
    <w:rsid w:val="00271835"/>
    <w:rsid w:val="002A07B7"/>
    <w:rsid w:val="002C44CD"/>
    <w:rsid w:val="00367D5E"/>
    <w:rsid w:val="0038771E"/>
    <w:rsid w:val="003C5D59"/>
    <w:rsid w:val="003F0089"/>
    <w:rsid w:val="0044060C"/>
    <w:rsid w:val="005511F5"/>
    <w:rsid w:val="00582FD6"/>
    <w:rsid w:val="005A7BF6"/>
    <w:rsid w:val="005C716D"/>
    <w:rsid w:val="005E0CC9"/>
    <w:rsid w:val="006318B2"/>
    <w:rsid w:val="00660B1A"/>
    <w:rsid w:val="006D4105"/>
    <w:rsid w:val="006D4D36"/>
    <w:rsid w:val="00723991"/>
    <w:rsid w:val="00776BF3"/>
    <w:rsid w:val="00800CDF"/>
    <w:rsid w:val="0080249F"/>
    <w:rsid w:val="00874DAB"/>
    <w:rsid w:val="00895947"/>
    <w:rsid w:val="008F0660"/>
    <w:rsid w:val="00941616"/>
    <w:rsid w:val="00A120CF"/>
    <w:rsid w:val="00A32C46"/>
    <w:rsid w:val="00A90D6B"/>
    <w:rsid w:val="00B06FBE"/>
    <w:rsid w:val="00B608F7"/>
    <w:rsid w:val="00B90839"/>
    <w:rsid w:val="00BF66DA"/>
    <w:rsid w:val="00BF7D4D"/>
    <w:rsid w:val="00C0036E"/>
    <w:rsid w:val="00C013E2"/>
    <w:rsid w:val="00C4019D"/>
    <w:rsid w:val="00C61C79"/>
    <w:rsid w:val="00CC22B0"/>
    <w:rsid w:val="00D40466"/>
    <w:rsid w:val="00D463F0"/>
    <w:rsid w:val="00D57BA5"/>
    <w:rsid w:val="00D662AB"/>
    <w:rsid w:val="00DB19B4"/>
    <w:rsid w:val="00DC7DE0"/>
    <w:rsid w:val="00E30A23"/>
    <w:rsid w:val="00E549F5"/>
    <w:rsid w:val="00E9606D"/>
    <w:rsid w:val="00F565E8"/>
    <w:rsid w:val="00F906D1"/>
    <w:rsid w:val="00F9294A"/>
    <w:rsid w:val="03311E33"/>
    <w:rsid w:val="14593F19"/>
    <w:rsid w:val="17516FDE"/>
    <w:rsid w:val="1A8B286B"/>
    <w:rsid w:val="28FD6C35"/>
    <w:rsid w:val="2CA01694"/>
    <w:rsid w:val="313824BD"/>
    <w:rsid w:val="382B0567"/>
    <w:rsid w:val="390C2862"/>
    <w:rsid w:val="3B993D6E"/>
    <w:rsid w:val="40095632"/>
    <w:rsid w:val="462F3918"/>
    <w:rsid w:val="55313F73"/>
    <w:rsid w:val="5FD0361E"/>
    <w:rsid w:val="61BC452A"/>
    <w:rsid w:val="627B3D15"/>
    <w:rsid w:val="658B24C1"/>
    <w:rsid w:val="65F15082"/>
    <w:rsid w:val="69A4248D"/>
    <w:rsid w:val="6D4D2B68"/>
    <w:rsid w:val="72244BF0"/>
    <w:rsid w:val="75137DDD"/>
    <w:rsid w:val="EDA76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4429</Words>
  <Characters>360</Characters>
  <Lines>3</Lines>
  <Paragraphs>9</Paragraphs>
  <TotalTime>19</TotalTime>
  <ScaleCrop>false</ScaleCrop>
  <LinksUpToDate>false</LinksUpToDate>
  <CharactersWithSpaces>4780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2024-02-19T11:43:00Z</dcterms:created>
  <dc:creator>Administrator</dc:creator>
  <cp:lastModifiedBy>fengdu</cp:lastModifiedBy>
  <dcterms:modified xsi:type="dcterms:W3CDTF">2024-03-13T21:32:14Z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3DEC6E0AF3244E399F83F1FFBB6A9553_12</vt:lpwstr>
  </property>
</Properties>
</file>