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bookmarkStart w:id="0" w:name="_Toc90982069"/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丰都县仁沙镇</w:t>
      </w: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2022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年</w:t>
      </w:r>
      <w:bookmarkEnd w:id="0"/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财政预算情况的报告</w:t>
      </w:r>
    </w:p>
    <w:p>
      <w:pPr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、</w:t>
      </w: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年财政预算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年财政工作的总体要求是：坚持以习近平新时代中国特色社会主义思想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sz w:val="32"/>
          <w:szCs w:val="32"/>
        </w:rPr>
        <w:t>为指导，深入贯彻落实中、市、县有关精神，按照镇党委、政府的总体要求，以构建社会主义和谐社会为目标，以财政可持续发展为重点，坚持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积极稳妥、统筹兼顾、全面完整、突出重点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的原则，促进全镇经济社会又好又快发展。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建议</w:t>
      </w: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年镇财政收支预算安排如下：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全镇财政支出预算安排</w:t>
      </w:r>
      <w:r>
        <w:rPr>
          <w:rFonts w:ascii="Times New Roman" w:hAnsi="Times New Roman" w:eastAsia="方正仿宋_GBK" w:cs="Times New Roman"/>
          <w:sz w:val="32"/>
          <w:szCs w:val="32"/>
        </w:rPr>
        <w:t>1646.657544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万元。具体包括：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政府一般公共支出：</w:t>
      </w:r>
      <w:r>
        <w:rPr>
          <w:rFonts w:ascii="Times New Roman" w:hAnsi="Times New Roman" w:eastAsia="方正仿宋_GBK" w:cs="Times New Roman"/>
          <w:sz w:val="32"/>
          <w:szCs w:val="32"/>
        </w:rPr>
        <w:t>492.053467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万元；（含村一级及政府统筹安排支出）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农林水支出：</w:t>
      </w:r>
      <w:r>
        <w:rPr>
          <w:rFonts w:ascii="Times New Roman" w:hAnsi="Times New Roman" w:eastAsia="方正仿宋_GBK" w:cs="Times New Roman"/>
          <w:sz w:val="32"/>
          <w:szCs w:val="32"/>
        </w:rPr>
        <w:t>607.313464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社会保障和就业支出：</w:t>
      </w:r>
      <w:r>
        <w:rPr>
          <w:rFonts w:ascii="Times New Roman" w:hAnsi="Times New Roman" w:eastAsia="方正仿宋_GBK" w:cs="Times New Roman"/>
          <w:sz w:val="32"/>
          <w:szCs w:val="32"/>
        </w:rPr>
        <w:t>262.405422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城乡社区支出：</w:t>
      </w:r>
      <w:r>
        <w:rPr>
          <w:rFonts w:ascii="Times New Roman" w:hAnsi="Times New Roman" w:eastAsia="方正仿宋_GBK" w:cs="Times New Roman"/>
          <w:sz w:val="32"/>
          <w:szCs w:val="32"/>
        </w:rPr>
        <w:t>105.838592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卫生健康支出：</w:t>
      </w:r>
      <w:r>
        <w:rPr>
          <w:rFonts w:ascii="Times New Roman" w:hAnsi="Times New Roman" w:eastAsia="方正仿宋_GBK" w:cs="Times New Roman"/>
          <w:sz w:val="32"/>
          <w:szCs w:val="32"/>
        </w:rPr>
        <w:t>68.369331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住房保障支出：</w:t>
      </w:r>
      <w:r>
        <w:rPr>
          <w:rFonts w:ascii="Times New Roman" w:hAnsi="Times New Roman" w:eastAsia="方正仿宋_GBK" w:cs="Times New Roman"/>
          <w:sz w:val="32"/>
          <w:szCs w:val="32"/>
        </w:rPr>
        <w:t>49.024248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文化旅游体育与传媒支出：</w:t>
      </w:r>
      <w:r>
        <w:rPr>
          <w:rFonts w:ascii="Times New Roman" w:hAnsi="Times New Roman" w:eastAsia="方正仿宋_GBK" w:cs="Times New Roman"/>
          <w:sz w:val="32"/>
          <w:szCs w:val="32"/>
        </w:rPr>
        <w:t>38.65302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公共安全支出：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灾害防治及应急管理支出：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当前财力有限，部分经费难以安排，仍有很大缺口，希望各部门、各单位体谅财政的困难，努力搞好增收节支，提高资金使用效益，把有限的资金管好用活。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、保质保量完成</w:t>
      </w: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年财政工作任务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狠抓财政收入。一是加强对接行业部门，及时了解行业部门、科室的工作变化，积极沟通衔接，提高资金到位率。二是加强对接帮扶单位，及时了解帮扶单位情况，积极争取帮扶资金支持。三是积极衔接联系镇领导，积极争取上级各类财政性资金，重点抓好捐赠收入、工作性奖励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（二）优化支出结构。一是规范财政管理。持续深化财政管理体制改革，进一步完善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村财镇管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乡镇预算管理方式，完善村级组织经费保障机制，全面规范财政管理。二是规范乡村振兴衔接资金管理。按照要求进一步规范财政资金动态监管系统，确保每一笔财政资金到岗到位，提高资金使用率。三是进一步落实惠农资金。认真落实好各项强农惠农政策，加强农田水利基础设施、集体经济等，认真做好脱贫攻坚同乡村振兴有效衔接的资金支持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（三）加强财政管理。一是优化管理机制，全面规范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村财镇管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切实做到将有限的资金发挥出最大的效果，尽力缓解镇财政困难。二是完善监督机制，做好财政资金绩效评估，构建事前参与、过程跟踪、事后问效使用监督机制。加大对专项资金、基金资金等的跟踪检查力度，做好专项资金监管，确保资金安全。三是努力化解债务。建立政府债务管理制度，强化政府债务的管理和监控，防范财政风险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提升队伍素质。一是强化思想。学习贯彻中、市、县有关精神，牢牢把握好财政工作的主动权，立足全局，积极为镇党委、政府当好参谋助手，管好家，理好财。二是加强培训，提高财政干部队伍的整体素质，提高财政工作效率，进一步让有限资金发挥更大作用。三是筑牢作风。进一步加强财政队伍作风建设，勤俭节约、克己奉公、遵纪守法，不断提高财政干部廉洁从政和依法行政能力。</w:t>
      </w:r>
    </w:p>
    <w:p>
      <w:pPr>
        <w:widowControl/>
        <w:jc w:val="left"/>
        <w:rPr>
          <w:rFonts w:ascii="Times New Roman" w:hAnsi="Times New Roman" w:eastAsia="宋体" w:cs="Times New Roman"/>
          <w:color w:val="FF0000"/>
          <w:szCs w:val="24"/>
        </w:rPr>
      </w:pPr>
      <w:r>
        <w:rPr>
          <w:rFonts w:ascii="Times New Roman" w:hAnsi="Times New Roman" w:eastAsia="宋体" w:cs="Times New Roman"/>
          <w:color w:val="FF0000"/>
          <w:kern w:val="0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lNjc0MTc0ZGEwMDM2YWE5NTE2NDQwZGQ2NmQwNTYifQ=="/>
  </w:docVars>
  <w:rsids>
    <w:rsidRoot w:val="002C0EF4"/>
    <w:rsid w:val="002C0EF4"/>
    <w:rsid w:val="0087106B"/>
    <w:rsid w:val="00A73522"/>
    <w:rsid w:val="00B45CF8"/>
    <w:rsid w:val="0F8931E5"/>
    <w:rsid w:val="9F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1101</Words>
  <Characters>1194</Characters>
  <Lines>9</Lines>
  <Paragraphs>2</Paragraphs>
  <TotalTime>0</TotalTime>
  <ScaleCrop>false</ScaleCrop>
  <LinksUpToDate>false</LinksUpToDate>
  <CharactersWithSpaces>1194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2022-01-06T11:13:00Z</dcterms:created>
  <dc:creator>Tj</dc:creator>
  <cp:lastModifiedBy>WPS_1666744378</cp:lastModifiedBy>
  <dcterms:modified xsi:type="dcterms:W3CDTF">2022-12-28T03:29:29Z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2261A86862AD4CA29993EF5843274EB1</vt:lpwstr>
  </property>
</Properties>
</file>