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宋体" w:cs="Calibri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ascii="Times New Roman" w:hAnsi="Times New Roman" w:eastAsia="Times New Roman" w:cs="Calibri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青龙府发〔20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丰都县青龙乡人民政府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关于印发《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青龙乡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年度农村改厕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工作方案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村（居）、驻村工作队、乡级各部门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政府领导同意，现将《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青龙乡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年度农村改厕工作方案》印发给你们，请结合实际认真抓好贯彻落实。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丰都县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青龙乡人民政府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           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（此件公开发布）</w:t>
      </w:r>
    </w:p>
    <w:p>
      <w:pPr>
        <w:pStyle w:val="2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青龙乡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年度农村改厕工作方案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为认真贯彻落实习近平总书记关于农村厕所革命重要指示批示精神，扎实推进我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农村改厕工作，根据《重庆市农村人居环境整治提升五年行动实施方案（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2021—2025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年）》（渝农居组〔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号）、《重庆市“十四五”农村厕所革命实施方案》（渝农居组办〔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丰都县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2022年度农村改厕工作方案》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丰乡振发〔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精神，结合实际制定本方案。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一、指导思想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以习近平新时代中国特色社会主义思想为指导，深入贯彻习近平总书记关于农村厕所革命的重要指示，更加突出坚持以人民为中心的发展理念，更好发挥好政府引导作用和农民主角作用，因地制宜、分类指导，推动农村厕所改造从数量增加向质量提升转变，从重建设向建管并重转变，确保改一户成一户、用一户好一户，切实把民生实事办好、办细、办实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二、工作目标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在充分尊重群众意愿的基础上，按照“愿改则改、能改则改”的原则，将有改厕意愿且具备改厕条件的农户纳入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年度改厕范围，采取先建后补、以奖代补的资金投入机制，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年度新建农村户厕任务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户。超出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今年户厕改造任务的村（居）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，可以先完成建设，待次年资金到位后，对达到农村户厕改造标准的农户按奖补标准予以补助。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三、时间节点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（一）首厕过关。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月中旬，完成宣传动员、技术培训、规划设计等前期准备工作，并按照农村改厕统一的质量目标要求，科学确定改厕模式、工程施工总承包方式、工程监理及运维方式，建立全过程的质量控制体系，形成一整套规范的农村改厕模式并实践于第一个厕所，经过验证切实可行后再面上推开农村改厕工作。期间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各村（居）要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确定施工方式，并相应组织自建农户、施工队伍、村社干部等人员现场观摩学习。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（二）完成建设。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月底前，全面完成农村厕所新建改造。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（三）检查验收。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月底前，全面完成村级初验、镇级自验、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并申请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县级验收。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四、建设标准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不能实施污水集中处理的区域，原则上建设“三格式”农村厕所，其建设标准源于《农村三格式户厕建设技术规范》</w:t>
      </w:r>
      <w:r>
        <w:rPr>
          <w:rFonts w:hint="eastAsia" w:ascii="Times New Roman" w:hAnsi="Times New Roman" w:eastAsia="方正仿宋_GBK" w:cs="Times New Roman"/>
          <w:color w:val="000000"/>
          <w:w w:val="8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000000"/>
          <w:w w:val="80"/>
          <w:sz w:val="32"/>
          <w:szCs w:val="32"/>
        </w:rPr>
        <w:t>GB/T 38836-2020</w:t>
      </w:r>
      <w:r>
        <w:rPr>
          <w:rFonts w:hint="eastAsia" w:ascii="Times New Roman" w:hAnsi="Times New Roman" w:eastAsia="方正仿宋_GBK" w:cs="Times New Roman"/>
          <w:color w:val="000000"/>
          <w:w w:val="80"/>
          <w:sz w:val="32"/>
          <w:szCs w:val="32"/>
        </w:rPr>
        <w:t>），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具体建设标准如下。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（一）厕屋建设标准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厕屋宜“进院入室”，优先建在室内，厕屋净面积不小于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1.2m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²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有条件的增加面积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，厕屋有门窗、通风及防蚊蝇等设施，地面应进行硬化和防滑处理，内外墙面应搓砂或贴砖；具备冲水和照明条件，配套坐（蹲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便器，便器下口中心距后墙不小于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，距边墙不小于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配套淋浴、洗漱等设施的厕屋，完善地漏设施，蹲便器安装高度应高于地漏形成有效坡度实施黑灰分离，淋浴设施安装应与蹲便器形成一定水平距离，确保生活杂排水不流入化粪池；独立式厕屋屋顶杜绝采用铁皮顶，宜青瓦或预制件。独立式厕屋净高不低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米，地面应高出室外地面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以上，窗户规格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40cm*60cm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以上，厕门规格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70cm*200cm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以上。高山严寒地区独立式厕屋的卫生洁具和排水管应采取防冻措施，建议选用直排式便器，便器不应附带存水弯。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（二）三格式化粪池建设标准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三格化粪池包括整体式和现建式。根据我乡实际，宜采用砖砌、现浇混凝土或混凝土预制件等方式现场施工建造的三格式化粪池。化粪池选址应避开低洼和积水地带，远离地表水体（水源或敏感水体），应靠近厕屋，并留足公共清掏空间和通道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基坑及垫层处理：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化粪池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基坑原则上要埋入地下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根据化粪池外形尺寸、进粪管铺设坡度、地质情况，确定基坑开挖深度、长度和宽度；高山严寒地区，基坑开挖深度应确保三格化粪池的有效容积线在冰冻线以下。坑底地面应夯实找平并铺设混凝土或砂石垫层，垫层混凝土强度等级不应低于C10、厚度不小于10cm，砂石垫层厚度不小于15cm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化粪池容积：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三格式化粪池一、二、三池深度应相同，一、二、三池容积比例为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2:1:3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；使用人数在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人及以下的，化粪池有效容积不少于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1.5m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，使用人数在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4-6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人的，有效容积不少于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2 m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，使用人数在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7-9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人的，有效容积不少于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2.5 m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。相邻居住的农户，可以联户建设“大三格式”化粪池，化粪池有效容积应结合每户厕所使用人数并按照以上规定合理确定。高山严寒地区，宜适当增加三格化粪池有效容积。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进粪管：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进粪管上端与便器排便孔相接、固定，下端通向第一池。管内径不应小于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，应避免拐弯，减少管道长度。进粪管铺设坡度不宜小于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20%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，水平距离不宜超过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；水平距离大于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时，应适当增加铺设坡度。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过粪管：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管内径不小于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，并设置成倒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L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型。其中第一池至第二池的过粪管入口距池底高度为有效容积高度的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1/3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，过粪管上沿距池顶不小于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；第二池至第三池的过粪管入口距池底高度为有效容积高度的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1/2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，过粪管上沿距池顶不小于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。两个过粪管应交错设置。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监测管：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管内径不小于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，观察管上沿距池顶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，确保观察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不被异物堵塞。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化粪池盖板：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化粪池盖板与化粪池要用水泥等材料密闭处理，盖板整体厚度不小于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8cm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，清渣（取粪）口盖板厚度不少于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，并合理配置钢筋。一池和二池设置清渣口，直径不小于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；三池设置取粪口，直径不小于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，可根据清掏方式适当扩大；清渣口或取粪口大于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25cm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时，口盖应有锁闭或防坠装置。清渣口和取粪口应高出盖板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，化粪池顶部有覆土时应加装井筒。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排气管：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三格式化粪池必须在第一池安装排气管，内径不小于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，尽量靠墙固定安装，排气管设置高度应超过厕屋屋檐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50cm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，当化粪池设置在其他隐蔽部分时，应高出地面不小于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，排气管顶端应加装伞状防雨帽或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T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形三通。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试水：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化粪池池壁内外表面</w:t>
      </w:r>
      <w:r>
        <w:rPr>
          <w:rFonts w:hint="eastAsia" w:ascii="Calibri" w:hAnsi="Calibri" w:eastAsia="方正仿宋_GBK" w:cs="Times New Roman"/>
          <w:color w:val="000000"/>
          <w:sz w:val="32"/>
          <w:szCs w:val="32"/>
        </w:rPr>
        <w:t>应抹防水砂浆，厚度不小于</w:t>
      </w:r>
      <w:r>
        <w:rPr>
          <w:rFonts w:ascii="Calibri" w:hAnsi="Calibri" w:eastAsia="方正仿宋_GBK" w:cs="Times New Roman"/>
          <w:color w:val="000000"/>
          <w:sz w:val="32"/>
          <w:szCs w:val="32"/>
        </w:rPr>
        <w:t>2cm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，确保三格化粪池整体不渗漏，各池之间不渗漏。建成后应进行格池密封性满水试验和整体密封性满水试验。试验合格后，方可投入使用。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标识标牌：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化粪池要用防水耐腐蚀材质设置安全警示标识；以村为单位，按“建设年度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+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改厕序号”对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年所有改厕项目实行编号管理（如：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001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），同时，制作改厕标识牌张贴于厕屋或房屋外墙显眼位置。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五、检查验收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采取“过程验收”和“结果验收”相结合的方式开展检查验收，并实行“边验收边整改边合格”。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过程验收：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三格式化粪池未封盖之前，由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村组织验收队伍，对照“技术规范”，现场进行尺寸丈量、过程验收，对不符合“技术规范”的户厕及时交办问题清单、限时完成整改，“过程验收”合格后方可继续建设，过程验收记录、图片等资料将作为县级验收和资金拨付的重要参考，无过程验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县级将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不予拨付资金。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结果验收：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户厕整体完成后，由村级组织初验，乡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再组织结果验收，对结果验收中发现不符合“技术规范”的户厕及时交办问题清单、限时完成整改，结果验收通过后再申请县级验收，县级收到验收申请后，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进行部门联合验收或三方机构验收。新建改造户厕在县级验收合格后由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乡政府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按程序向县财政局提出资金申请划拨奖补资金。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六、奖补标准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对地上地下部分整体新建的按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3000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/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户的标准予以奖补；对单独新建地上或地下部分的，达到无害化处理的卫生厕所，按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1500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/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户的标准予以奖补。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七、相关要求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）要坚决把农村厕所革命作为乡村振兴的一项重要工作来抓，坚决做到数量服从质量、进度服从实效，求好不求快。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组建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成立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工作专班，构建责任体系，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乡分管领导要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加强工作统筹部署，适时开展工作调度，进一步摸清农村改厕需求，严格按照时间节点，狠抓改厕质量和进度，全力推进农村改厕工作，保质保量完成年度改厕工作任务，确保改一户成一户、用一户好一户。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（二）广泛宣传动员。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乡级部门、各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村（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要充分利用村务公开栏、院坝会、标语、广播等多种方式，广泛宣传厕所革命的重大意义、相关政策、改造模式、技术规范、奖补标准及先进典型等，广泛动员农民群众参与农村改厕的主动性、积极性，宣传动员要进村社、进院坝、进农户，引导农民群众培养健康文明的厕所文化，充分发挥农民主体作用，发动农户自筹自建，通过财政补助和农户自筹相结合的方式，把农村厕所建好改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（三）强化业务指导。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要按照首厕过关机制，科学确定改厕模式、工程施工总承包方式、工程监理及运维方式，建立全过程的质量控制体系。并根据确定的施工方式组织相应人员学习《农村三格式户厕建设技术规范》、《农村三格式户厕运行维护规范》、《农村集中下水道收集户厕建设技术规范》三项技术标准及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有关建设要求。各村（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）要按照厕屋“进院入室”、化粪池靠近厕屋、避开低洼和积水地带、远离地表水体的要求，帮助农户选好址。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乡级部门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村（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）要组建常态化改厕技术指导组，常态化深入改厕现场，开展指导、答疑解惑，督促施工人员严格执行有关技术标准及建设要求，发现问题后要及时交办、限时整改，严格质量管控。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（四）严格督导考核。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农村改厕实行“月报表、月调度、常态督导、年度考核”，并作为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综合目标考核重要内容。各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）要落实专门人员于每月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14:00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前将农村改厕进展完成情况报送至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乡经发办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，对工作推进落后、责任落实不到位、搞形式主义、弄虚作假的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村（居）将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进行通报批评、现场督战，情节严重、造成不良影响的，要严格追究责任。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Toc30987"/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（五）</w:t>
      </w:r>
      <w:bookmarkEnd w:id="0"/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落实后期管护。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</w:rPr>
        <w:t>明确农民户厕维护主体责任，对照《农村三格式户厕运行维护规范》（</w:t>
      </w:r>
      <w:r>
        <w:rPr>
          <w:rFonts w:ascii="Times New Roman" w:hAnsi="Times New Roman" w:eastAsia="方正仿宋_GBK" w:cs="Times New Roman"/>
          <w:snapToGrid w:val="0"/>
          <w:color w:val="000000"/>
          <w:sz w:val="32"/>
          <w:szCs w:val="32"/>
        </w:rPr>
        <w:t>GB/T38837-2020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</w:rPr>
        <w:t>）引导农户做好户厕运行维护，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将文明如厕纳入村规民约内容，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</w:rPr>
        <w:t>引导群众养成正确用厕、规范护厕的良好习惯。鼓励家庭农场、农民合作社、种养大户等结合绿色农业发展承担厕所粪污的收集利用，解决好厕所粪污的治理问题。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45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741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TA5MzcwNzkxN2NjZDNhNmM0YmEwNjNjNTY0OTIifQ=="/>
  </w:docVars>
  <w:rsids>
    <w:rsidRoot w:val="00000000"/>
    <w:rsid w:val="00FB1407"/>
    <w:rsid w:val="078B1A9A"/>
    <w:rsid w:val="0ABD7189"/>
    <w:rsid w:val="0C7D0D6F"/>
    <w:rsid w:val="117F15CE"/>
    <w:rsid w:val="144452ED"/>
    <w:rsid w:val="148D3451"/>
    <w:rsid w:val="18F267B9"/>
    <w:rsid w:val="1AC61260"/>
    <w:rsid w:val="1D4B7246"/>
    <w:rsid w:val="1DF01973"/>
    <w:rsid w:val="1E034697"/>
    <w:rsid w:val="1F781B86"/>
    <w:rsid w:val="1FEC41A3"/>
    <w:rsid w:val="20BD10AF"/>
    <w:rsid w:val="24A15CB2"/>
    <w:rsid w:val="24CF30A2"/>
    <w:rsid w:val="274936F3"/>
    <w:rsid w:val="280B4FF2"/>
    <w:rsid w:val="295274FD"/>
    <w:rsid w:val="29756465"/>
    <w:rsid w:val="29B80978"/>
    <w:rsid w:val="396C2F12"/>
    <w:rsid w:val="3B5B648D"/>
    <w:rsid w:val="3B8A1CC9"/>
    <w:rsid w:val="3DC512A1"/>
    <w:rsid w:val="3E1312C3"/>
    <w:rsid w:val="3EE9133D"/>
    <w:rsid w:val="3F885F10"/>
    <w:rsid w:val="479E26CA"/>
    <w:rsid w:val="49966EC6"/>
    <w:rsid w:val="4D4375B7"/>
    <w:rsid w:val="4EE7682E"/>
    <w:rsid w:val="4FC87EAA"/>
    <w:rsid w:val="50DC48A8"/>
    <w:rsid w:val="53782EC7"/>
    <w:rsid w:val="5404660B"/>
    <w:rsid w:val="551551F4"/>
    <w:rsid w:val="59ED1931"/>
    <w:rsid w:val="5A222222"/>
    <w:rsid w:val="5AAF1624"/>
    <w:rsid w:val="5B050D7B"/>
    <w:rsid w:val="5EBD17AA"/>
    <w:rsid w:val="5FBA5FCF"/>
    <w:rsid w:val="60BA16E3"/>
    <w:rsid w:val="61300818"/>
    <w:rsid w:val="63340444"/>
    <w:rsid w:val="640B3210"/>
    <w:rsid w:val="68B57888"/>
    <w:rsid w:val="69F47232"/>
    <w:rsid w:val="6A725C1A"/>
    <w:rsid w:val="6ADE6337"/>
    <w:rsid w:val="7322101F"/>
    <w:rsid w:val="73FF043E"/>
    <w:rsid w:val="76BF29F6"/>
    <w:rsid w:val="76ED6663"/>
    <w:rsid w:val="77B722EC"/>
    <w:rsid w:val="78B2122E"/>
    <w:rsid w:val="79006A46"/>
    <w:rsid w:val="7BA76460"/>
    <w:rsid w:val="7E423C65"/>
    <w:rsid w:val="7EC87432"/>
    <w:rsid w:val="FF9F8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numPr>
        <w:ilvl w:val="0"/>
        <w:numId w:val="1"/>
      </w:numPr>
      <w:tabs>
        <w:tab w:val="left" w:pos="0"/>
      </w:tabs>
      <w:spacing w:before="1"/>
      <w:ind w:left="155"/>
      <w:jc w:val="both"/>
      <w:outlineLvl w:val="0"/>
    </w:pPr>
    <w:rPr>
      <w:rFonts w:ascii="宋体" w:hAnsi="宋体" w:eastAsia="方正仿宋_GBK" w:cs="宋体"/>
      <w:kern w:val="2"/>
      <w:sz w:val="32"/>
      <w:szCs w:val="32"/>
      <w:lang w:val="en-US" w:eastAsia="zh-CN" w:bidi="ar-SA"/>
    </w:rPr>
  </w:style>
  <w:style w:type="paragraph" w:styleId="4">
    <w:name w:val="heading 2"/>
    <w:next w:val="1"/>
    <w:qFormat/>
    <w:uiPriority w:val="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kern w:val="2"/>
      <w:sz w:val="32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 w:firstLine="200" w:firstLineChars="200"/>
      <w:jc w:val="both"/>
    </w:pPr>
    <w:rPr>
      <w:rFonts w:hint="default" w:ascii="Times New Roman" w:hAnsi="Times New Roman" w:eastAsia="仿宋_GB2312" w:cs="Times New Roman"/>
      <w:spacing w:val="-6"/>
      <w:kern w:val="2"/>
      <w:sz w:val="32"/>
      <w:szCs w:val="32"/>
      <w:lang w:val="en-US" w:eastAsia="zh-CN" w:bidi="ar"/>
    </w:rPr>
  </w:style>
  <w:style w:type="paragraph" w:styleId="5">
    <w:name w:val="index 6"/>
    <w:next w:val="1"/>
    <w:unhideWhenUsed/>
    <w:qFormat/>
    <w:uiPriority w:val="99"/>
    <w:pPr>
      <w:widowControl w:val="0"/>
      <w:spacing w:line="240" w:lineRule="atLeast"/>
      <w:jc w:val="center"/>
    </w:pPr>
    <w:rPr>
      <w:rFonts w:ascii="方正仿宋_GBK" w:eastAsia="方正仿宋_GBK" w:hAnsiTheme="minorHAnsi" w:cstheme="minorBidi"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ind w:left="100" w:leftChars="100" w:right="100" w:rightChars="100"/>
    </w:pPr>
  </w:style>
  <w:style w:type="paragraph" w:styleId="7">
    <w:name w:val="toc 5"/>
    <w:next w:val="1"/>
    <w:qFormat/>
    <w:uiPriority w:val="99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8">
    <w:name w:val="Balloon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Message Header"/>
    <w:next w:val="6"/>
    <w:semiHidden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407</Characters>
  <Lines>0</Lines>
  <Paragraphs>0</Paragraphs>
  <TotalTime>8</TotalTime>
  <ScaleCrop>false</ScaleCrop>
  <LinksUpToDate>false</LinksUpToDate>
  <CharactersWithSpaces>478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2021-12-28T16:03:00Z</dcterms:created>
  <dc:creator>Administrator</dc:creator>
  <cp:lastModifiedBy>fengdu</cp:lastModifiedBy>
  <cp:lastPrinted>2023-06-06T15:38:00Z</cp:lastPrinted>
  <dcterms:modified xsi:type="dcterms:W3CDTF">2023-12-19T16:05:17Z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EB845439099F43B189D0276832D28D0E</vt:lpwstr>
  </property>
</Properties>
</file>