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7ACE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="180" w:afterAutospacing="0" w:line="560" w:lineRule="exact"/>
        <w:jc w:val="center"/>
        <w:rPr>
          <w:rStyle w:val="9"/>
          <w:rFonts w:ascii="方正小标宋_GBK" w:hAnsi="方正小标宋_GBK" w:eastAsia="方正小标宋_GBK" w:cs="方正小标宋_GBK"/>
          <w:b w:val="0"/>
          <w:color w:val="333333"/>
          <w:spacing w:val="-15"/>
          <w:sz w:val="44"/>
          <w:szCs w:val="44"/>
          <w:highlight w:val="none"/>
          <w:shd w:val="clear" w:color="auto" w:fill="FFFFFF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color w:val="333333"/>
          <w:spacing w:val="-15"/>
          <w:sz w:val="44"/>
          <w:szCs w:val="44"/>
          <w:highlight w:val="none"/>
          <w:shd w:val="clear" w:color="auto" w:fill="FFFFFF"/>
        </w:rPr>
        <w:t>关于</w:t>
      </w:r>
      <w:r>
        <w:rPr>
          <w:rStyle w:val="9"/>
          <w:rFonts w:hint="eastAsia" w:ascii="方正小标宋_GBK" w:hAnsi="Times New Roman" w:eastAsia="方正小标宋_GBK"/>
          <w:b w:val="0"/>
          <w:color w:val="333333"/>
          <w:spacing w:val="-15"/>
          <w:sz w:val="44"/>
          <w:szCs w:val="44"/>
          <w:highlight w:val="none"/>
          <w:shd w:val="clear" w:color="auto" w:fill="FFFFFF"/>
        </w:rPr>
        <w:t>202</w:t>
      </w:r>
      <w:r>
        <w:rPr>
          <w:rStyle w:val="9"/>
          <w:rFonts w:ascii="方正小标宋_GBK" w:hAnsi="Times New Roman" w:eastAsia="方正小标宋_GBK"/>
          <w:b w:val="0"/>
          <w:color w:val="333333"/>
          <w:spacing w:val="-15"/>
          <w:sz w:val="44"/>
          <w:szCs w:val="44"/>
          <w:highlight w:val="none"/>
          <w:shd w:val="clear" w:color="auto" w:fill="FFFFFF"/>
        </w:rPr>
        <w:t>4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color w:val="333333"/>
          <w:spacing w:val="-15"/>
          <w:sz w:val="44"/>
          <w:szCs w:val="44"/>
          <w:highlight w:val="none"/>
          <w:shd w:val="clear" w:color="auto" w:fill="FFFFFF"/>
        </w:rPr>
        <w:t>年财政预算执行情况和</w:t>
      </w:r>
      <w:r>
        <w:rPr>
          <w:rStyle w:val="9"/>
          <w:rFonts w:hint="eastAsia" w:ascii="方正小标宋_GBK" w:hAnsi="Times New Roman" w:eastAsia="方正小标宋_GBK"/>
          <w:b w:val="0"/>
          <w:color w:val="333333"/>
          <w:spacing w:val="-15"/>
          <w:sz w:val="44"/>
          <w:szCs w:val="44"/>
          <w:highlight w:val="none"/>
          <w:shd w:val="clear" w:color="auto" w:fill="FFFFFF"/>
        </w:rPr>
        <w:t>202</w:t>
      </w:r>
      <w:r>
        <w:rPr>
          <w:rStyle w:val="9"/>
          <w:rFonts w:ascii="方正小标宋_GBK" w:hAnsi="Times New Roman" w:eastAsia="方正小标宋_GBK"/>
          <w:b w:val="0"/>
          <w:color w:val="333333"/>
          <w:spacing w:val="-15"/>
          <w:sz w:val="44"/>
          <w:szCs w:val="44"/>
          <w:highlight w:val="none"/>
          <w:shd w:val="clear" w:color="auto" w:fill="FFFFFF"/>
        </w:rPr>
        <w:t>5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color w:val="333333"/>
          <w:spacing w:val="-15"/>
          <w:sz w:val="44"/>
          <w:szCs w:val="44"/>
          <w:highlight w:val="none"/>
          <w:shd w:val="clear" w:color="auto" w:fill="FFFFFF"/>
        </w:rPr>
        <w:t>年财政预算草案的报告</w:t>
      </w:r>
    </w:p>
    <w:p w14:paraId="263138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ascii="方正黑体_GBK" w:eastAsia="方正黑体_GBK"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黑体_GBK" w:eastAsia="方正黑体_GBK"/>
          <w:color w:val="000000"/>
          <w:kern w:val="0"/>
          <w:sz w:val="32"/>
          <w:szCs w:val="32"/>
          <w:highlight w:val="none"/>
        </w:rPr>
        <w:t>一、</w:t>
      </w: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2024</w:t>
      </w:r>
      <w:r>
        <w:rPr>
          <w:rFonts w:hint="eastAsia" w:ascii="方正黑体_GBK" w:eastAsia="方正黑体_GBK"/>
          <w:color w:val="000000"/>
          <w:kern w:val="0"/>
          <w:sz w:val="32"/>
          <w:szCs w:val="32"/>
          <w:highlight w:val="none"/>
        </w:rPr>
        <w:t>年财政预算执行情况</w:t>
      </w:r>
    </w:p>
    <w:p w14:paraId="2B2A0C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ascii="方正楷体_GBK" w:hAnsi="Times New Roman" w:eastAsia="方正楷体_GBK" w:cs="Times New Roman"/>
          <w:kern w:val="0"/>
          <w:sz w:val="32"/>
          <w:szCs w:val="32"/>
          <w:highlight w:val="none"/>
        </w:rPr>
      </w:pPr>
      <w:r>
        <w:rPr>
          <w:rFonts w:hint="eastAsia" w:ascii="方正楷体_GBK" w:hAnsi="Times New Roman" w:eastAsia="方正楷体_GBK" w:cs="Times New Roman"/>
          <w:kern w:val="0"/>
          <w:sz w:val="32"/>
          <w:szCs w:val="32"/>
          <w:highlight w:val="none"/>
        </w:rPr>
        <w:t>（一）一般公共预算</w:t>
      </w:r>
    </w:p>
    <w:p w14:paraId="45D333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ascii="方正仿宋_GBK" w:hAnsi="Times New Roman" w:eastAsia="方正仿宋_GBK" w:cs="Times New Roman"/>
          <w:b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1.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  <w:highlight w:val="none"/>
        </w:rPr>
        <w:t>收入情况。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202</w:t>
      </w: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4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青龙乡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  <w:highlight w:val="none"/>
        </w:rPr>
        <w:t>一般公共预算收入总计为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2433.83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  <w:highlight w:val="none"/>
        </w:rPr>
        <w:t>万元，为年度预算数的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100%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  <w:highlight w:val="none"/>
        </w:rPr>
        <w:t>，同比减少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164.27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  <w:highlight w:val="none"/>
        </w:rPr>
        <w:t>。</w:t>
      </w:r>
    </w:p>
    <w:p w14:paraId="1825AB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ascii="方正仿宋_GBK" w:eastAsia="方正仿宋_GBK"/>
          <w:kern w:val="0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2. </w:t>
      </w:r>
      <w:r>
        <w:rPr>
          <w:rFonts w:hint="eastAsia" w:ascii="方正仿宋_GBK" w:eastAsia="方正仿宋_GBK"/>
          <w:kern w:val="0"/>
          <w:sz w:val="32"/>
          <w:szCs w:val="32"/>
          <w:highlight w:val="none"/>
        </w:rPr>
        <w:t>支出情况。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202</w:t>
      </w: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4</w:t>
      </w:r>
      <w:r>
        <w:rPr>
          <w:rFonts w:hint="eastAsia" w:ascii="方正仿宋_GBK" w:eastAsia="方正仿宋_GBK"/>
          <w:kern w:val="0"/>
          <w:sz w:val="32"/>
          <w:szCs w:val="32"/>
          <w:highlight w:val="none"/>
        </w:rPr>
        <w:t>年</w:t>
      </w:r>
      <w:r>
        <w:rPr>
          <w:rFonts w:hint="eastAsia" w:ascii="方正仿宋_GBK" w:eastAsia="方正仿宋_GBK"/>
          <w:kern w:val="0"/>
          <w:sz w:val="32"/>
          <w:szCs w:val="32"/>
          <w:highlight w:val="none"/>
          <w:lang w:val="en-US" w:eastAsia="zh-CN"/>
        </w:rPr>
        <w:t>青龙乡</w:t>
      </w:r>
      <w:r>
        <w:rPr>
          <w:rFonts w:hint="eastAsia" w:ascii="方正仿宋_GBK" w:eastAsia="方正仿宋_GBK"/>
          <w:kern w:val="0"/>
          <w:sz w:val="32"/>
          <w:szCs w:val="32"/>
          <w:highlight w:val="none"/>
        </w:rPr>
        <w:t>财政支出总计为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2433.83</w:t>
      </w:r>
      <w:r>
        <w:rPr>
          <w:rFonts w:hint="eastAsia" w:ascii="方正仿宋_GBK" w:eastAsia="方正仿宋_GBK"/>
          <w:kern w:val="0"/>
          <w:sz w:val="32"/>
          <w:szCs w:val="32"/>
          <w:highlight w:val="none"/>
        </w:rPr>
        <w:t>万元,为年度预算数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100%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  <w:highlight w:val="none"/>
        </w:rPr>
        <w:t>，同比减少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164.27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方正仿宋_GBK" w:eastAsia="方正仿宋_GBK"/>
          <w:kern w:val="0"/>
          <w:sz w:val="32"/>
          <w:szCs w:val="32"/>
          <w:highlight w:val="none"/>
        </w:rPr>
        <w:t>。支出分项情况如下：</w:t>
      </w:r>
    </w:p>
    <w:p w14:paraId="1F7086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（1）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一般公共服务支出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485.05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万元，主要用于保障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乡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党政机关、人大、机关事业单位履职运转等事务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。</w:t>
      </w:r>
    </w:p>
    <w:p w14:paraId="06DD52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（2）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公共安全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12.06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万元，主要用于法治宣传长廊安装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法律顾问费用支出等事务。</w:t>
      </w:r>
    </w:p>
    <w:p w14:paraId="327E0F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文化体育与传媒支出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37.19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万元，主要用于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群众文化、运动会、乡新时代文明实践所免费开放资金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等事务。</w:t>
      </w:r>
    </w:p>
    <w:p w14:paraId="662503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社会保障和就业支出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402.85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万元，主要用于村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社区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干部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及本土人才待遇、网格经费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、村居运行经费、服务群众专项经费、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行政事业单位养老支出等事务。</w:t>
      </w:r>
    </w:p>
    <w:p w14:paraId="61EF70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卫生健康支出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47.27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万元，主要用于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机关事业单位医疗、其他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城乡居民医疗保险等事务。</w:t>
      </w:r>
    </w:p>
    <w:p w14:paraId="053851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（6）节能环保支出11万元，主要用于农村黑臭水体清零区县创建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污染防治等事务。</w:t>
      </w:r>
    </w:p>
    <w:p w14:paraId="07A092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城乡社区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76.13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主要用于场镇清扫保洁、人居环境综合整治、综合执法队支出等事务。</w:t>
      </w:r>
    </w:p>
    <w:p w14:paraId="08D268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农林水支出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852.03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万元，主要用于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病虫害控制、农村农业防灾减灾、森林资源管护补助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产业发展中心支出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等事务。</w:t>
      </w:r>
    </w:p>
    <w:p w14:paraId="5B7D50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交通运输支出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377.06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主要用于瓦屋山至十直龙头农村联网公路、滑翔伞基地旅游路、乡村公路安保护栏、道路养护资金等事务。</w:t>
      </w:r>
    </w:p>
    <w:p w14:paraId="25E7ED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自然资源海洋气象支出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10.4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万元，主要用于林业有害生物防治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。</w:t>
      </w:r>
    </w:p>
    <w:p w14:paraId="296C32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住房保障支出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63.96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万元，主要用于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机关事业单位公积金支出、旧房整治提升等事务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。</w:t>
      </w:r>
    </w:p>
    <w:p w14:paraId="665C94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灾害防治及应急管理支出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58.83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万元，主要用于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道路滑坡临时措施、排危处理、道路塌方治理、村道塌陷断裂路段整治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等事务。</w:t>
      </w:r>
    </w:p>
    <w:p w14:paraId="475BBA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ascii="方正楷体_GBK" w:hAnsi="Times New Roman" w:eastAsia="方正楷体_GBK" w:cs="Times New Roman"/>
          <w:kern w:val="0"/>
          <w:sz w:val="32"/>
          <w:szCs w:val="32"/>
          <w:highlight w:val="none"/>
        </w:rPr>
      </w:pPr>
      <w:r>
        <w:rPr>
          <w:rFonts w:hint="eastAsia" w:ascii="方正楷体_GBK" w:hAnsi="Times New Roman" w:eastAsia="方正楷体_GBK" w:cs="Times New Roman"/>
          <w:kern w:val="0"/>
          <w:sz w:val="32"/>
          <w:szCs w:val="32"/>
          <w:highlight w:val="none"/>
        </w:rPr>
        <w:t>（二）政府性基金预算</w:t>
      </w:r>
    </w:p>
    <w:p w14:paraId="736DF0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ascii="方正仿宋_GBK" w:hAnsi="Times New Roman" w:eastAsia="方正仿宋_GBK" w:cs="Times New Roman"/>
          <w:b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1.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  <w:highlight w:val="none"/>
        </w:rPr>
        <w:t>收入情况。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202</w:t>
      </w: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4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  <w:highlight w:val="none"/>
        </w:rPr>
        <w:t>年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青龙乡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  <w:highlight w:val="none"/>
        </w:rPr>
        <w:t>政府性基金预算收入总计为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2.3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  <w:highlight w:val="none"/>
        </w:rPr>
        <w:t>万元，为年度预算数的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100%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  <w:highlight w:val="none"/>
        </w:rPr>
        <w:t>，同比减少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24.83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  <w:highlight w:val="none"/>
        </w:rPr>
        <w:t>。</w:t>
      </w:r>
    </w:p>
    <w:p w14:paraId="3DF44D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方正仿宋_GBK" w:eastAsia="方正仿宋_GBK"/>
          <w:kern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2. </w:t>
      </w:r>
      <w:r>
        <w:rPr>
          <w:rFonts w:hint="eastAsia" w:ascii="方正仿宋_GBK" w:eastAsia="方正仿宋_GBK"/>
          <w:kern w:val="0"/>
          <w:sz w:val="32"/>
          <w:szCs w:val="32"/>
          <w:highlight w:val="none"/>
        </w:rPr>
        <w:t>支出情况。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202</w:t>
      </w: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4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  <w:highlight w:val="none"/>
        </w:rPr>
        <w:t>年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青龙乡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  <w:highlight w:val="none"/>
        </w:rPr>
        <w:t>政府性基金预算支出总计为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2.3</w:t>
      </w:r>
      <w:r>
        <w:rPr>
          <w:rFonts w:hint="eastAsia" w:ascii="方正仿宋_GBK" w:eastAsia="方正仿宋_GBK"/>
          <w:kern w:val="0"/>
          <w:sz w:val="32"/>
          <w:szCs w:val="32"/>
          <w:highlight w:val="none"/>
        </w:rPr>
        <w:t>万元</w:t>
      </w:r>
      <w:r>
        <w:rPr>
          <w:rFonts w:hint="eastAsia" w:ascii="方正仿宋_GBK" w:eastAsia="方正仿宋_GBK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eastAsia="方正仿宋_GBK"/>
          <w:kern w:val="0"/>
          <w:sz w:val="32"/>
          <w:szCs w:val="32"/>
          <w:highlight w:val="none"/>
        </w:rPr>
        <w:t>为年度预算数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100%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  <w:highlight w:val="none"/>
        </w:rPr>
        <w:t>，同比减少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24.83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方正仿宋_GBK" w:eastAsia="方正仿宋_GBK"/>
          <w:kern w:val="0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主要用于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老年幸福食堂建设</w:t>
      </w:r>
      <w:r>
        <w:rPr>
          <w:rFonts w:hint="eastAsia" w:ascii="方正仿宋_GBK" w:eastAsia="方正仿宋_GBK"/>
          <w:kern w:val="0"/>
          <w:sz w:val="32"/>
          <w:szCs w:val="32"/>
          <w:highlight w:val="none"/>
          <w:lang w:eastAsia="zh-CN"/>
        </w:rPr>
        <w:t>。</w:t>
      </w:r>
    </w:p>
    <w:p w14:paraId="1A8C8E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ascii="方正楷体_GBK" w:hAnsi="Times New Roman" w:eastAsia="方正楷体_GBK" w:cs="Times New Roman"/>
          <w:kern w:val="0"/>
          <w:sz w:val="32"/>
          <w:szCs w:val="32"/>
          <w:highlight w:val="none"/>
        </w:rPr>
      </w:pPr>
      <w:r>
        <w:rPr>
          <w:rFonts w:hint="eastAsia" w:ascii="方正楷体_GBK" w:hAnsi="Times New Roman" w:eastAsia="方正楷体_GBK" w:cs="Times New Roman"/>
          <w:kern w:val="0"/>
          <w:sz w:val="32"/>
          <w:szCs w:val="32"/>
          <w:highlight w:val="none"/>
        </w:rPr>
        <w:t>（三）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2</w:t>
      </w: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024</w:t>
      </w:r>
      <w:r>
        <w:rPr>
          <w:rFonts w:hint="eastAsia" w:ascii="方正楷体_GBK" w:hAnsi="Times New Roman" w:eastAsia="方正楷体_GBK" w:cs="Times New Roman"/>
          <w:kern w:val="0"/>
          <w:sz w:val="32"/>
          <w:szCs w:val="32"/>
          <w:highlight w:val="none"/>
        </w:rPr>
        <w:t>年重点财政工作</w:t>
      </w:r>
    </w:p>
    <w:p w14:paraId="49A3C94C">
      <w:pPr>
        <w:keepNext w:val="0"/>
        <w:keepLines w:val="0"/>
        <w:pageBreakBefore w:val="0"/>
        <w:widowControl w:val="0"/>
        <w:pBdr>
          <w:bottom w:val="single" w:color="FFFFFF" w:sz="8" w:space="31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highlight w:val="none"/>
        </w:rPr>
        <w:t>各位代表，总的来看，202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highlight w:val="none"/>
        </w:rPr>
        <w:t>年财政预算执行因受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经济环境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highlight w:val="none"/>
        </w:rPr>
        <w:t>影响，遇到的困难比较大，但经多方施策，充分发挥财政的职能作用、科学研判财政收支形势、大力优化支出结构，财政运行整体平稳，财政预算执行的结果符合预期，全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乡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highlight w:val="none"/>
        </w:rPr>
        <w:t>财政收支基本得到了保障，这是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乡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highlight w:val="none"/>
        </w:rPr>
        <w:t>党委、政府和各部门以及各位代表共同努力的结果。回顾过去一年以来的财政工作，我们着重突出抓了以下四个方面：</w:t>
      </w:r>
    </w:p>
    <w:p w14:paraId="3AFDA9B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bottom w:val="single" w:color="FFFFFF" w:sz="8" w:space="31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落实积极财政政策，不断夯实发展基础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192C06D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8" w:space="31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333333"/>
          <w:sz w:val="32"/>
          <w:szCs w:val="32"/>
          <w:highlight w:val="none"/>
          <w:shd w:val="clear" w:color="auto" w:fill="FFFFFF"/>
        </w:rPr>
        <w:t>在组织收入上提质增效。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坚持把组织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财政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收入放在财政工作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要位置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，增强全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财政保障能力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lang w:val="en-US" w:eastAsia="zh-CN"/>
        </w:rPr>
        <w:t>一是全力争取资金，围绕巩固拓展脱贫攻坚、生态环保、人居环境、乡村振兴等重点工作，向水务集团、工业发展集团、城建集团、名山集团、锦盛爆破器材有限公司等争取捐赠款共计114.8万元。二是加强税收征管，强化对零散税收的管理，加强检查监管力度，做到应收尽收、足额入库。</w:t>
      </w:r>
    </w:p>
    <w:p w14:paraId="6B6CDC2A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8" w:space="31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/>
          <w:bCs/>
          <w:color w:val="333333"/>
          <w:sz w:val="32"/>
          <w:szCs w:val="32"/>
          <w:highlight w:val="none"/>
          <w:shd w:val="clear" w:color="auto" w:fill="FFFFFF"/>
        </w:rPr>
        <w:t>在争取</w:t>
      </w:r>
      <w:r>
        <w:rPr>
          <w:rFonts w:hint="default" w:ascii="Times New Roman" w:hAnsi="Times New Roman" w:eastAsia="方正仿宋_GBK" w:cs="Times New Roman"/>
          <w:b/>
          <w:bCs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资金</w:t>
      </w:r>
      <w:r>
        <w:rPr>
          <w:rFonts w:hint="default" w:ascii="Times New Roman" w:hAnsi="Times New Roman" w:eastAsia="方正仿宋_GBK" w:cs="Times New Roman"/>
          <w:b/>
          <w:bCs/>
          <w:color w:val="333333"/>
          <w:sz w:val="32"/>
          <w:szCs w:val="32"/>
          <w:highlight w:val="none"/>
          <w:shd w:val="clear" w:color="auto" w:fill="FFFFFF"/>
        </w:rPr>
        <w:t>上积极作为。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shd w:val="clear" w:color="auto" w:fill="FFFFFF"/>
        </w:rPr>
        <w:t>加大专项资金谋划力度，全年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向上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shd w:val="clear" w:color="auto" w:fill="FFFFFF"/>
        </w:rPr>
        <w:t>争取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共计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70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shd w:val="clear" w:color="auto" w:fill="FFFFFF"/>
        </w:rPr>
        <w:t>个项目，当年到位专项资金达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2174.55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shd w:val="clear" w:color="auto" w:fill="FFFFFF"/>
        </w:rPr>
        <w:t>万元，主要用于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乡村振兴及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shd w:val="clear" w:color="auto" w:fill="FFFFFF"/>
        </w:rPr>
        <w:t>农村公路、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农村公共厕所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shd w:val="clear" w:color="auto" w:fill="FFFFFF"/>
        </w:rPr>
        <w:t>等基础设施建设，有效缓解本级财政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资金调剂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shd w:val="clear" w:color="auto" w:fill="FFFFFF"/>
        </w:rPr>
        <w:t>压力，为全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乡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shd w:val="clear" w:color="auto" w:fill="FFFFFF"/>
        </w:rPr>
        <w:t>稳增长、保重点、惠民生提供稳定支撑。</w:t>
      </w:r>
    </w:p>
    <w:p w14:paraId="45501EA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8" w:space="31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（二）优化一般公共预算支出结构，持续增进民生福祉</w:t>
      </w:r>
    </w:p>
    <w:p w14:paraId="664A65A4">
      <w:pPr>
        <w:keepNext w:val="0"/>
        <w:keepLines w:val="0"/>
        <w:pageBreakBefore w:val="0"/>
        <w:widowControl w:val="0"/>
        <w:pBdr>
          <w:bottom w:val="single" w:color="FFFFFF" w:sz="8" w:space="31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/>
          <w:bCs/>
          <w:color w:val="333333"/>
          <w:sz w:val="32"/>
          <w:szCs w:val="32"/>
          <w:highlight w:val="none"/>
          <w:shd w:val="clear" w:color="auto" w:fill="FFFFFF"/>
        </w:rPr>
        <w:t>厉行节约过紧日子。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highlight w:val="none"/>
          <w:shd w:val="clear" w:color="auto" w:fill="FFFFFF"/>
        </w:rPr>
        <w:t>坚守“保基本、保重点、保民生、压一般”的原则，严控202</w:t>
      </w:r>
      <w:r>
        <w:rPr>
          <w:rFonts w:hint="eastAsia" w:ascii="Times New Roman" w:hAnsi="Times New Roman" w:eastAsia="方正仿宋_GBK" w:cs="Times New Roman"/>
          <w:b w:val="0"/>
          <w:bCs w:val="0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highlight w:val="none"/>
          <w:shd w:val="clear" w:color="auto" w:fill="FFFFFF"/>
        </w:rPr>
        <w:t>年非刚性支出</w:t>
      </w:r>
      <w:r>
        <w:rPr>
          <w:rFonts w:hint="eastAsia" w:ascii="Times New Roman" w:hAnsi="Times New Roman" w:eastAsia="方正仿宋_GBK" w:cs="Times New Roman"/>
          <w:b w:val="0"/>
          <w:bCs w:val="0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增长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highlight w:val="none"/>
          <w:shd w:val="clear" w:color="auto" w:fill="FFFFFF"/>
        </w:rPr>
        <w:t>，压减一般性支出。全年“三公”经费支出</w:t>
      </w:r>
      <w:r>
        <w:rPr>
          <w:rFonts w:hint="eastAsia" w:ascii="Times New Roman" w:hAnsi="Times New Roman" w:eastAsia="方正仿宋_GBK" w:cs="Times New Roman"/>
          <w:b w:val="0"/>
          <w:bCs w:val="0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15.4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highlight w:val="none"/>
          <w:shd w:val="clear" w:color="auto" w:fill="FFFFFF"/>
        </w:rPr>
        <w:t>万元，</w:t>
      </w:r>
      <w:r>
        <w:rPr>
          <w:rFonts w:hint="eastAsia" w:ascii="Times New Roman" w:hAnsi="Times New Roman" w:eastAsia="方正仿宋_GBK" w:cs="Times New Roman"/>
          <w:b w:val="0"/>
          <w:bCs w:val="0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与上年基本持平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highlight w:val="none"/>
          <w:shd w:val="clear" w:color="auto" w:fill="FFFFFF"/>
        </w:rPr>
        <w:t>，切实把有限的财政资金用在“刀刃”上。</w:t>
      </w:r>
    </w:p>
    <w:p w14:paraId="65CDFCDC">
      <w:pPr>
        <w:keepNext w:val="0"/>
        <w:keepLines w:val="0"/>
        <w:pageBreakBefore w:val="0"/>
        <w:widowControl w:val="0"/>
        <w:pBdr>
          <w:bottom w:val="single" w:color="FFFFFF" w:sz="8" w:space="31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 w:cs="Times New Roman"/>
          <w:b w:val="0"/>
          <w:bCs w:val="0"/>
          <w:smallCaps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333333"/>
          <w:sz w:val="32"/>
          <w:szCs w:val="32"/>
          <w:highlight w:val="none"/>
          <w:shd w:val="clear" w:color="auto" w:fill="FFFFFF"/>
        </w:rPr>
        <w:t>强化</w:t>
      </w:r>
      <w:r>
        <w:rPr>
          <w:rFonts w:hint="eastAsia" w:ascii="Times New Roman" w:hAnsi="Times New Roman" w:eastAsia="方正仿宋_GBK" w:cs="Times New Roman"/>
          <w:b/>
          <w:bCs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民生保障</w:t>
      </w:r>
      <w:r>
        <w:rPr>
          <w:rFonts w:hint="default" w:ascii="Times New Roman" w:hAnsi="Times New Roman" w:eastAsia="方正仿宋_GBK" w:cs="Times New Roman"/>
          <w:b/>
          <w:bCs/>
          <w:color w:val="333333"/>
          <w:sz w:val="32"/>
          <w:szCs w:val="32"/>
          <w:highlight w:val="none"/>
          <w:shd w:val="clear" w:color="auto" w:fill="FFFFFF"/>
        </w:rPr>
        <w:t>支出。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支持做好民生兜底工作，落实好困难群众救助补助、临时救助、退休人员死亡抚恤、解三难等民生政策；支持农业产业提升，壮大特色优势农业产业发展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支持做好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农村环境卫生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支持绿化提升、森林资源管护、森林病虫害防治，全面推进林长制。</w:t>
      </w:r>
    </w:p>
    <w:p w14:paraId="103248E6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8" w:space="31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（三）深入推进财政改革，稳步提升管理水平</w:t>
      </w:r>
    </w:p>
    <w:p w14:paraId="3973694B">
      <w:pPr>
        <w:keepNext w:val="0"/>
        <w:keepLines w:val="0"/>
        <w:pageBreakBefore w:val="0"/>
        <w:widowControl w:val="0"/>
        <w:pBdr>
          <w:bottom w:val="single" w:color="FFFFFF" w:sz="8" w:space="31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/>
          <w:bCs/>
          <w:color w:val="333333"/>
          <w:sz w:val="32"/>
          <w:szCs w:val="32"/>
          <w:highlight w:val="none"/>
          <w:shd w:val="clear" w:color="auto" w:fill="FFFFFF"/>
        </w:rPr>
        <w:t>预算管理更加科学。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highlight w:val="none"/>
          <w:shd w:val="clear" w:color="auto" w:fill="FFFFFF"/>
        </w:rPr>
        <w:t>以全面实施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预算管理一体化系统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highlight w:val="none"/>
          <w:shd w:val="clear" w:color="auto" w:fill="FFFFFF"/>
        </w:rPr>
        <w:t>为突破口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，筹备建立预算项目库，创新预算编制方式，深化预算管理制度改革，调整完善一般公共预算支出体系，推动财政资金优化配置和高效使用，坚持量入为出、急需先办，切实提高财政保障能力和水平。</w:t>
      </w:r>
    </w:p>
    <w:p w14:paraId="0171EC8C">
      <w:pPr>
        <w:keepNext w:val="0"/>
        <w:keepLines w:val="0"/>
        <w:pageBreakBefore w:val="0"/>
        <w:widowControl w:val="0"/>
        <w:pBdr>
          <w:bottom w:val="single" w:color="FFFFFF" w:sz="8" w:space="31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/>
          <w:bCs/>
          <w:color w:val="333333"/>
          <w:sz w:val="32"/>
          <w:szCs w:val="32"/>
          <w:highlight w:val="none"/>
          <w:shd w:val="clear" w:color="auto" w:fill="FFFFFF"/>
        </w:rPr>
        <w:t>绩效管理更加全面。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将纳入预算的所有项目实施绩效目标管理，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项目数共计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89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个，资金总额共计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2611.76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万元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对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已经项目入库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的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89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个项目实行绩效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运行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监控。对202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年的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88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个预算项目和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本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部门整体开展绩效自评，实现项目和部门整体绩效评价全覆盖。管理科学、运转高效的全过程预算绩效管理体系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为我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改进预算管理、优化资源配置、控制节约成本、提高公共产品质量和公共服务水平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等工作提供了有效保障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。</w:t>
      </w:r>
    </w:p>
    <w:p w14:paraId="605DD14A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8" w:space="31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（四）筑牢安全运行防线，积极防范财政风险</w:t>
      </w:r>
    </w:p>
    <w:p w14:paraId="6946233C">
      <w:pPr>
        <w:keepNext w:val="0"/>
        <w:keepLines w:val="0"/>
        <w:pageBreakBefore w:val="0"/>
        <w:widowControl w:val="0"/>
        <w:pBdr>
          <w:bottom w:val="single" w:color="FFFFFF" w:sz="8" w:space="31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b w:val="0"/>
          <w:bCs w:val="0"/>
          <w:color w:val="FF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333333"/>
          <w:sz w:val="32"/>
          <w:szCs w:val="32"/>
          <w:highlight w:val="none"/>
          <w:shd w:val="clear" w:color="auto" w:fill="FFFFFF"/>
        </w:rPr>
        <w:t>全面加强</w:t>
      </w:r>
      <w:r>
        <w:rPr>
          <w:rFonts w:hint="eastAsia" w:ascii="Times New Roman" w:hAnsi="Times New Roman" w:eastAsia="方正仿宋_GBK" w:cs="Times New Roman"/>
          <w:b/>
          <w:bCs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b/>
          <w:bCs/>
          <w:color w:val="333333"/>
          <w:sz w:val="32"/>
          <w:szCs w:val="32"/>
          <w:highlight w:val="none"/>
          <w:shd w:val="clear" w:color="auto" w:fill="FFFFFF"/>
        </w:rPr>
        <w:t>审计。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按照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县审计局要求，对青龙乡2023年新农人培训提升工程项目开展内部审计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县农业农村委员下达的新农人培育完成任务数、实际培育新农人花名册，拨付凭证、项目台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账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、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会议纪要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等资料进行核查，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发现问题1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个，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整改问题1个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50C36EC7">
      <w:pPr>
        <w:keepNext w:val="0"/>
        <w:keepLines w:val="0"/>
        <w:pageBreakBefore w:val="0"/>
        <w:widowControl w:val="0"/>
        <w:pBdr>
          <w:bottom w:val="single" w:color="FFFFFF" w:sz="8" w:space="31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baseline"/>
        <w:rPr>
          <w:rFonts w:hint="default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333333"/>
          <w:sz w:val="32"/>
          <w:szCs w:val="32"/>
          <w:highlight w:val="none"/>
          <w:shd w:val="clear" w:color="auto" w:fill="FFFFFF"/>
        </w:rPr>
        <w:t>全面开展财会监督。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扎实开展监督检查，力促财会监督全覆盖。聚焦财经纪律方面重点问题，聘请第三方专业审计机构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以及在其指导下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对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青天村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进行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财务收支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清理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对机关账务及村委和集体经济财务收支开展审计，配合县农委对龙井村、青天村开展“三资”管理专项审计，配合县财政局对内控制度、机关账务处理、收支情况、债务、预算绩效管理开展了核查。</w:t>
      </w:r>
    </w:p>
    <w:p w14:paraId="3741AA68">
      <w:pPr>
        <w:keepNext w:val="0"/>
        <w:keepLines w:val="0"/>
        <w:pageBreakBefore w:val="0"/>
        <w:widowControl w:val="0"/>
        <w:pBdr>
          <w:bottom w:val="single" w:color="FFFFFF" w:sz="8" w:space="31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各位代表，202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年我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在财政收入增速放缓的情况下，全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上下齐心协力、攻坚克难，各项民生政策顺利贯彻落实，各项政策性增资及时兑付，各项社会事业持续健康发展，财政运行总体平稳。这是</w:t>
      </w:r>
      <w:r>
        <w:rPr>
          <w:rFonts w:hint="eastAsia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党委正确领导的结果，是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人大监督指导和大力支持的结果，是各部门密切配合、扎实工作的结果，是全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人民共同努力、艰苦奋斗的结果。在肯定成绩的同时，我们也清醒地看到当前我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财政工作中存在的困难和问题，</w:t>
      </w:r>
      <w:r>
        <w:rPr>
          <w:rFonts w:hint="default" w:ascii="Times New Roman" w:hAnsi="Times New Roman" w:eastAsia="方正仿宋_GBK" w:cs="Times New Roman"/>
          <w:b/>
          <w:bCs/>
          <w:color w:val="333333"/>
          <w:sz w:val="32"/>
          <w:szCs w:val="32"/>
          <w:highlight w:val="none"/>
          <w:shd w:val="clear" w:color="auto" w:fill="FFFFFF"/>
        </w:rPr>
        <w:t>主要表现在：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财政增收后劲不足，财政有效供给不足；“三保”等刚性支出持续有增无减，在可用财力有限的现状下，财政保障压力进一步加大，实现财政收支平衡压力巨大；预算执行刚性约束不强、预算调整调剂较多；部分项目预算执行进度较慢，资金使用绩效不高。对此，我们将高度重视，认真听取各位代表意见，以更有力的举措，努力加以解决。</w:t>
      </w:r>
    </w:p>
    <w:p w14:paraId="02F6647F">
      <w:pPr>
        <w:keepNext w:val="0"/>
        <w:keepLines w:val="0"/>
        <w:pageBreakBefore w:val="0"/>
        <w:widowControl w:val="0"/>
        <w:pBdr>
          <w:bottom w:val="single" w:color="FFFFFF" w:sz="8" w:space="31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baseline"/>
        <w:rPr>
          <w:rFonts w:hint="eastAsia" w:ascii="方正黑体_GBK" w:eastAsia="方正黑体_GBK"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黑体_GBK" w:eastAsia="方正黑体_GBK"/>
          <w:color w:val="000000"/>
          <w:kern w:val="0"/>
          <w:sz w:val="32"/>
          <w:szCs w:val="32"/>
          <w:highlight w:val="none"/>
        </w:rPr>
        <w:t>二、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202</w:t>
      </w: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5</w:t>
      </w:r>
      <w:r>
        <w:rPr>
          <w:rFonts w:hint="eastAsia" w:ascii="方正黑体_GBK" w:eastAsia="方正黑体_GBK"/>
          <w:color w:val="000000"/>
          <w:kern w:val="0"/>
          <w:sz w:val="32"/>
          <w:szCs w:val="32"/>
          <w:highlight w:val="none"/>
        </w:rPr>
        <w:t>年财政预算（草案）</w:t>
      </w:r>
    </w:p>
    <w:p w14:paraId="167F2083">
      <w:pPr>
        <w:keepNext w:val="0"/>
        <w:keepLines w:val="0"/>
        <w:pageBreakBefore w:val="0"/>
        <w:widowControl w:val="0"/>
        <w:pBdr>
          <w:bottom w:val="single" w:color="FFFFFF" w:sz="8" w:space="31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202</w:t>
      </w: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5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年预算编制的总体思路是：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2025年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/>
        </w:rPr>
        <w:t>支出预算包括基本支出预算和项目支出预算两部分。支出预算的编制要统筹兼顾、确保重点，按照“人员经费按标准，公用经费按定额，项目经费着重看绩效目标、视财力安排”的原则，依据全县统一的口径进行编制。</w:t>
      </w:r>
    </w:p>
    <w:p w14:paraId="52CB988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bottom w:val="single" w:color="FFFFFF" w:sz="8" w:space="31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Times New Roman" w:eastAsia="方正楷体_GBK" w:cs="Times New Roman"/>
          <w:kern w:val="0"/>
          <w:sz w:val="32"/>
          <w:szCs w:val="32"/>
          <w:highlight w:val="none"/>
        </w:rPr>
        <w:t>一般公共预算</w:t>
      </w:r>
    </w:p>
    <w:p w14:paraId="3F73BBF9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8" w:space="31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2</w:t>
      </w: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025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年一般公共预算收入预期总计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1787.26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万元。根据收入安排相应的支出总计预算为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1787.26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万元。支出的分类情况是：一般公共服务支出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602.27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主要用于保障乡党政机关、人大、机关事业单位履职运转等事务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；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科学技术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主要用于市级引导区县科技发展项目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；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文化旅游体育与传媒支出28.84万元，主要用于文化旅游事业、新时代文明实践中心运转等事务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；社会保障和就业支出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197.77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主要用于乡情馆村情馆打造、残疾人事业发展、便民服务中心运转等事务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卫生健康支出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49.42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主要用于机关事业单位医疗、其他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城乡居民医疗保险等事务；城乡社区支出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108.36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主要用于场镇清扫保洁、综合执法队运转、村镇建设服务中心运转等事务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；农林水事务支出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472.11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主要用于老树茶产业、农村黑臭水体整治、“视觉危房”整治提升、村干部社区干部工资等事务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；交通运输支出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250万元，主要用于乡村公路安保护栏、黄泥等村道扩建、汛期公路水毁应急抢险等事务；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自然资源海洋气象等支出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3.6万元，主要用于林业有害生物项目；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住房保障支出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50.89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主要用于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机关事业单位公积金支出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预备费14万元，主要用于因自然灾害等突发事件处理增加的支出等事务。</w:t>
      </w:r>
    </w:p>
    <w:p w14:paraId="20E123B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8" w:space="31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baseline"/>
        <w:rPr>
          <w:rFonts w:hint="eastAsia" w:ascii="方正楷体_GBK" w:hAnsi="Times New Roman" w:eastAsia="方正楷体_GBK" w:cs="Times New Roman"/>
          <w:kern w:val="0"/>
          <w:sz w:val="32"/>
          <w:szCs w:val="32"/>
          <w:highlight w:val="none"/>
        </w:rPr>
      </w:pPr>
      <w:r>
        <w:rPr>
          <w:rFonts w:hint="eastAsia" w:ascii="方正楷体_GBK" w:hAnsi="Times New Roman" w:eastAsia="方正楷体_GBK" w:cs="Times New Roman"/>
          <w:kern w:val="0"/>
          <w:sz w:val="32"/>
          <w:szCs w:val="32"/>
          <w:highlight w:val="none"/>
        </w:rPr>
        <w:t>（二）政府性基金预算</w:t>
      </w:r>
    </w:p>
    <w:p w14:paraId="598C155A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8" w:space="31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全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乡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政府性基金收入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25.4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万元，全部为上年结转收入；政府性基金支出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25.4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万元，主要用于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道路养护资金、青天村便民服务中心、优质老年食堂和满意老年食堂支出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。</w:t>
      </w:r>
    </w:p>
    <w:p w14:paraId="31D182C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8" w:space="31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以上收支预算（草案）如因上级政策调整，预算也随之调整，并向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乡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人大主席团报告后组织实施。</w:t>
      </w:r>
    </w:p>
    <w:p w14:paraId="5DBDFFDF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8" w:space="31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baseline"/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</w:rPr>
        <w:t>三、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</w:rPr>
        <w:t>2025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</w:rPr>
        <w:t>年财政工作主要任务</w:t>
      </w:r>
    </w:p>
    <w:p w14:paraId="7AA11C56">
      <w:pPr>
        <w:keepNext w:val="0"/>
        <w:keepLines w:val="0"/>
        <w:pageBreakBefore w:val="0"/>
        <w:widowControl w:val="0"/>
        <w:pBdr>
          <w:bottom w:val="single" w:color="FFFFFF" w:sz="8" w:space="31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highlight w:val="none"/>
          <w:shd w:val="clear" w:color="auto" w:fill="FFFFFF"/>
        </w:rPr>
        <w:t>为圆满完成202</w:t>
      </w:r>
      <w:r>
        <w:rPr>
          <w:rFonts w:hint="eastAsia" w:ascii="Times New Roman" w:hAnsi="Times New Roman" w:eastAsia="方正仿宋_GBK" w:cs="Times New Roman"/>
          <w:b w:val="0"/>
          <w:bCs w:val="0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highlight w:val="none"/>
          <w:shd w:val="clear" w:color="auto" w:fill="FFFFFF"/>
        </w:rPr>
        <w:t>年预算任务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highlight w:val="none"/>
          <w:shd w:val="clear" w:color="auto" w:fill="FFFFFF"/>
        </w:rPr>
        <w:t>保障财政收支平衡，服务经济社会发展，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我们力争在以下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个方面取得新的成效：</w:t>
      </w:r>
    </w:p>
    <w:p w14:paraId="14ADCF30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8" w:space="31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夯实基础，着力强化财源培植工作</w:t>
      </w:r>
    </w:p>
    <w:p w14:paraId="121A05C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8" w:space="31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Fonts w:hint="default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立足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乡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情，理清思路，积极争取上级项目扶持和资金支持，集中财力保障全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乡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项目的顺利实施，着力夯实经济社会发展基础。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</w:rPr>
        <w:t>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切实发挥财政资金、财政政策的导向作用，积极筹措资金投入各项基础设施建设、产业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发展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等领域，积极推动全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乡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产业布局调整完善，为全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乡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财政协调、快速、稳步发展奠定坚实的经济基础。</w:t>
      </w:r>
    </w:p>
    <w:p w14:paraId="61EAE2AA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8" w:space="31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Fonts w:hint="default" w:ascii="Times New Roman" w:hAnsi="Times New Roman" w:eastAsia="方正楷体_GBK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Times New Roman" w:hAnsi="Times New Roman" w:eastAsia="方正楷体_GBK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二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）深化改革，不断提升财政管理水平</w:t>
      </w:r>
    </w:p>
    <w:p w14:paraId="49395A90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8" w:space="31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</w:rPr>
        <w:t>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紧紧围绕全面深化改革和推进法治政府建设，要认真贯彻落实最新《中华人民共和国预算法》，坚持依法办事，强化预算约束，提高财政收支预算的严肃性。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继续推进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乡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级财政信息化建设任务，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提高财政数据处理的时效性和准确性，提高财政管理的水平和质量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促使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财政工作重心从完成基本业务向发挥财政监管职能转变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；提高财政管理和控制的作用，使财政管理由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事后算账、管理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转向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事先预测、规划，事中控制、监督，事后分析、决策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的一种全新的管理和控制模式，以增加财政信息的使用价值，提高财政管理、控制和决策水平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。</w:t>
      </w:r>
    </w:p>
    <w:p w14:paraId="6C216265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8" w:space="31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Fonts w:hint="default" w:ascii="Times New Roman" w:hAnsi="Times New Roman" w:eastAsia="方正楷体_GBK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Times New Roman" w:hAnsi="Times New Roman" w:eastAsia="方正楷体_GBK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三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）统筹兼顾，努力提高财政保障能力</w:t>
      </w:r>
    </w:p>
    <w:p w14:paraId="6A7CA69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8" w:space="31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baseline"/>
        <w:rPr>
          <w:rFonts w:hint="default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</w:rPr>
        <w:t>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正确分析和认识全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乡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经济社会发展过程中存在的困难和问题，充分理解和支持新形势下的财税工作，真正做到全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乡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一盘棋，同舟共济，共谋发展。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</w:rPr>
        <w:t>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按照“保工资、保运转、保民生、保稳定、促发展”的基本原则和先后顺序，坚持有保有压，用小钱办大事、办实事，切实将有限的财政资金用在刀刃上，不断提高财政资金使用效益。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</w:rPr>
        <w:t>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关注民生、关注三农，积极贯彻落实各项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强农惠农富农政策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</w:rPr>
        <w:t>，加大对农业、农村及民生领域和乡村振兴工作的财政投入，统筹协调发展，让广大人民群众共享改革发展成果。</w:t>
      </w:r>
    </w:p>
    <w:p w14:paraId="0FECEA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rPr>
          <w:rFonts w:eastAsia="方正小标宋_GBK"/>
          <w:color w:val="000000"/>
          <w:kern w:val="0"/>
          <w:sz w:val="44"/>
          <w:szCs w:val="44"/>
          <w:highlight w:val="none"/>
        </w:rPr>
      </w:pPr>
    </w:p>
    <w:p w14:paraId="2690D7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eastAsia="方正小标宋_GBK"/>
          <w:color w:val="000000"/>
          <w:kern w:val="0"/>
          <w:sz w:val="44"/>
          <w:szCs w:val="44"/>
          <w:highlight w:val="none"/>
        </w:rPr>
      </w:pPr>
    </w:p>
    <w:p w14:paraId="5B8529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eastAsia="方正小标宋_GBK"/>
          <w:color w:val="000000"/>
          <w:kern w:val="0"/>
          <w:sz w:val="44"/>
          <w:szCs w:val="44"/>
          <w:highlight w:val="none"/>
        </w:rPr>
      </w:pPr>
    </w:p>
    <w:p w14:paraId="31078D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eastAsia="方正小标宋_GBK"/>
          <w:color w:val="000000"/>
          <w:kern w:val="0"/>
          <w:sz w:val="44"/>
          <w:szCs w:val="44"/>
          <w:highlight w:val="none"/>
        </w:rPr>
      </w:pPr>
    </w:p>
    <w:p w14:paraId="77022C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eastAsia="方正小标宋_GBK"/>
          <w:color w:val="000000"/>
          <w:kern w:val="0"/>
          <w:sz w:val="44"/>
          <w:szCs w:val="44"/>
          <w:highlight w:val="none"/>
        </w:rPr>
      </w:pPr>
      <w:bookmarkStart w:id="0" w:name="_GoBack"/>
      <w:bookmarkEnd w:id="0"/>
    </w:p>
    <w:p w14:paraId="7B1853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eastAsia="方正小标宋_GBK"/>
          <w:color w:val="000000"/>
          <w:kern w:val="0"/>
          <w:sz w:val="44"/>
          <w:szCs w:val="44"/>
          <w:highlight w:val="none"/>
        </w:rPr>
      </w:pPr>
      <w:r>
        <w:rPr>
          <w:rFonts w:eastAsia="方正小标宋_GBK"/>
          <w:color w:val="000000"/>
          <w:kern w:val="0"/>
          <w:sz w:val="44"/>
          <w:szCs w:val="44"/>
          <w:highlight w:val="none"/>
        </w:rPr>
        <w:t>相关事项说明</w:t>
      </w:r>
    </w:p>
    <w:p w14:paraId="62446AAD">
      <w:pPr>
        <w:pStyle w:val="2"/>
      </w:pPr>
    </w:p>
    <w:p w14:paraId="45D14D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eastAsia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eastAsia="方正黑体_GBK"/>
          <w:color w:val="000000"/>
          <w:kern w:val="0"/>
          <w:sz w:val="32"/>
          <w:szCs w:val="32"/>
          <w:highlight w:val="none"/>
        </w:rPr>
        <w:t>一</w:t>
      </w:r>
      <w:r>
        <w:rPr>
          <w:rFonts w:eastAsia="方正黑体_GBK"/>
          <w:color w:val="000000"/>
          <w:kern w:val="0"/>
          <w:sz w:val="32"/>
          <w:szCs w:val="32"/>
          <w:highlight w:val="none"/>
        </w:rPr>
        <w:t>、</w:t>
      </w: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2024</w:t>
      </w:r>
      <w:r>
        <w:rPr>
          <w:rFonts w:eastAsia="方正黑体_GBK"/>
          <w:color w:val="000000"/>
          <w:kern w:val="0"/>
          <w:sz w:val="32"/>
          <w:szCs w:val="32"/>
          <w:highlight w:val="none"/>
        </w:rPr>
        <w:t>年预备费使用情况</w:t>
      </w:r>
    </w:p>
    <w:p w14:paraId="56FAFF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方正仿宋_GBK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年初预算预备费13万元已动支13万元，预备费主要用于自然灾害损害道路修复、防汛抗旱、公共房屋排险等支出。</w:t>
      </w:r>
    </w:p>
    <w:p w14:paraId="37C60F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eastAsia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eastAsia="方正黑体_GBK"/>
          <w:color w:val="000000"/>
          <w:kern w:val="0"/>
          <w:sz w:val="32"/>
          <w:szCs w:val="32"/>
          <w:highlight w:val="none"/>
        </w:rPr>
        <w:t>二</w:t>
      </w:r>
      <w:r>
        <w:rPr>
          <w:rFonts w:eastAsia="方正黑体_GBK"/>
          <w:color w:val="000000"/>
          <w:kern w:val="0"/>
          <w:sz w:val="32"/>
          <w:szCs w:val="32"/>
          <w:highlight w:val="none"/>
        </w:rPr>
        <w:t>、“三公”经费</w:t>
      </w:r>
      <w:r>
        <w:rPr>
          <w:rFonts w:hint="eastAsia" w:eastAsia="方正黑体_GBK"/>
          <w:color w:val="000000"/>
          <w:kern w:val="0"/>
          <w:sz w:val="32"/>
          <w:szCs w:val="32"/>
          <w:highlight w:val="none"/>
        </w:rPr>
        <w:t>相关</w:t>
      </w:r>
      <w:r>
        <w:rPr>
          <w:rFonts w:eastAsia="方正黑体_GBK"/>
          <w:color w:val="000000"/>
          <w:kern w:val="0"/>
          <w:sz w:val="32"/>
          <w:szCs w:val="32"/>
          <w:highlight w:val="none"/>
        </w:rPr>
        <w:t>情况</w:t>
      </w:r>
    </w:p>
    <w:p w14:paraId="2A38CB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2025</w:t>
      </w:r>
      <w:r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</w:rPr>
        <w:t>年“三公”经费预算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14.9</w:t>
      </w:r>
      <w:r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与</w:t>
      </w: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2024</w:t>
      </w:r>
      <w:r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持平</w:t>
      </w:r>
      <w:r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</w:rPr>
        <w:t>。其中：因公出国（境）费用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</w:rPr>
        <w:t>万元，比</w:t>
      </w: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2024</w:t>
      </w:r>
      <w:r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</w:rPr>
        <w:t>年减少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不涉及出国出境业务</w:t>
      </w:r>
      <w:r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</w:rPr>
        <w:t>；公务接待费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1.8</w:t>
      </w:r>
      <w:r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与</w:t>
      </w: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2024</w:t>
      </w:r>
      <w:r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持平，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主要原因是坚持厉行节约，压缩不必要的开支，确保经费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规模不扩大</w:t>
      </w:r>
      <w:r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</w:rPr>
        <w:t>；公务用车运行维护费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13.1</w:t>
      </w:r>
      <w:r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与</w:t>
      </w: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2024</w:t>
      </w:r>
      <w:r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持平，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主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要原因是单位公务用车保有量无变化</w:t>
      </w:r>
      <w:r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</w:rPr>
        <w:t>；公务用车购置费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</w:rPr>
        <w:t>万元，比</w:t>
      </w: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2024</w:t>
      </w:r>
      <w:r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</w:rPr>
        <w:t>年减少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</w:rPr>
        <w:t>万元；主要原因是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今年无购车预算</w:t>
      </w:r>
      <w:r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</w:rPr>
        <w:t>。</w:t>
      </w:r>
    </w:p>
    <w:p w14:paraId="1318A0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eastAsia="方正小标宋_GBK"/>
          <w:sz w:val="44"/>
          <w:szCs w:val="44"/>
          <w:highlight w:val="none"/>
        </w:rPr>
      </w:pPr>
    </w:p>
    <w:p w14:paraId="1F2679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eastAsia="方正小标宋_GBK"/>
          <w:sz w:val="44"/>
          <w:szCs w:val="44"/>
          <w:highlight w:val="none"/>
        </w:rPr>
      </w:pPr>
    </w:p>
    <w:p w14:paraId="77C2B9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ascii="方正楷体_GBK" w:hAnsi="Times New Roman" w:eastAsia="方正楷体_GBK" w:cs="Times New Roman"/>
          <w:kern w:val="0"/>
          <w:sz w:val="32"/>
          <w:szCs w:val="32"/>
          <w:highlight w:val="none"/>
        </w:rPr>
      </w:pPr>
      <w:r>
        <w:rPr>
          <w:rFonts w:eastAsia="方正小标宋_GBK"/>
          <w:sz w:val="44"/>
          <w:szCs w:val="44"/>
          <w:highlight w:val="none"/>
        </w:rPr>
        <w:t>名词解释</w:t>
      </w:r>
    </w:p>
    <w:p w14:paraId="1006D7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eastAsia="方正仿宋_GBK"/>
          <w:kern w:val="0"/>
          <w:sz w:val="32"/>
          <w:szCs w:val="32"/>
          <w:highlight w:val="none"/>
        </w:rPr>
      </w:pPr>
      <w:r>
        <w:rPr>
          <w:rFonts w:eastAsia="方正黑体_GBK"/>
          <w:kern w:val="0"/>
          <w:sz w:val="32"/>
          <w:szCs w:val="32"/>
          <w:highlight w:val="none"/>
        </w:rPr>
        <w:t>一般公共预算：</w:t>
      </w:r>
      <w:r>
        <w:rPr>
          <w:rFonts w:eastAsia="方正仿宋_GBK"/>
          <w:kern w:val="0"/>
          <w:sz w:val="32"/>
          <w:szCs w:val="32"/>
          <w:highlight w:val="none"/>
        </w:rPr>
        <w:t>是对以税收为主体的财政收入，安排用于保障和改善民生、推动经济社会发展、维护国家安全、维持国家机构正常运转等方面的收支预算。包括税收收入和非税收入，其中，非税收入主要包括行政事业性收费收入、罚没收入、国有资源（资产）有偿使用收入等。</w:t>
      </w:r>
    </w:p>
    <w:p w14:paraId="29A0B7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eastAsia="方正仿宋_GBK"/>
          <w:kern w:val="0"/>
          <w:sz w:val="32"/>
          <w:szCs w:val="32"/>
          <w:highlight w:val="none"/>
        </w:rPr>
      </w:pPr>
      <w:r>
        <w:rPr>
          <w:rFonts w:eastAsia="方正黑体_GBK"/>
          <w:kern w:val="0"/>
          <w:sz w:val="32"/>
          <w:szCs w:val="32"/>
          <w:highlight w:val="none"/>
        </w:rPr>
        <w:t>政府性基金预算：</w:t>
      </w:r>
      <w:r>
        <w:rPr>
          <w:rFonts w:eastAsia="方正仿宋_GBK"/>
          <w:kern w:val="0"/>
          <w:sz w:val="32"/>
          <w:szCs w:val="32"/>
          <w:highlight w:val="none"/>
        </w:rPr>
        <w:t>是对依照法律、行政法规的规定在一定期限内向特定对象征收、收取或者以其他方式筹集的资金，专项用于特定公共事业发展的收支预算。主要包括土地收入、城市建设配套费。</w:t>
      </w:r>
    </w:p>
    <w:p w14:paraId="68996D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eastAsia="方正仿宋_GBK"/>
          <w:kern w:val="0"/>
          <w:sz w:val="32"/>
          <w:szCs w:val="32"/>
          <w:highlight w:val="none"/>
        </w:rPr>
      </w:pPr>
      <w:r>
        <w:rPr>
          <w:rFonts w:eastAsia="方正黑体_GBK"/>
          <w:kern w:val="0"/>
          <w:sz w:val="32"/>
          <w:szCs w:val="32"/>
          <w:highlight w:val="none"/>
        </w:rPr>
        <w:t>国有资本经营预算：</w:t>
      </w:r>
      <w:r>
        <w:rPr>
          <w:rFonts w:eastAsia="方正仿宋_GBK"/>
          <w:kern w:val="0"/>
          <w:sz w:val="32"/>
          <w:szCs w:val="32"/>
          <w:highlight w:val="none"/>
        </w:rPr>
        <w:t>是对国有资本收益作出支出安排的收支预算。主要为国企上缴利润收入、产权转让收入。</w:t>
      </w:r>
    </w:p>
    <w:p w14:paraId="17DF16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eastAsia="方正仿宋_GBK"/>
          <w:kern w:val="0"/>
          <w:sz w:val="32"/>
          <w:szCs w:val="32"/>
          <w:highlight w:val="none"/>
        </w:rPr>
      </w:pPr>
      <w:r>
        <w:rPr>
          <w:rFonts w:eastAsia="方正黑体_GBK"/>
          <w:kern w:val="0"/>
          <w:sz w:val="32"/>
          <w:szCs w:val="32"/>
          <w:highlight w:val="none"/>
        </w:rPr>
        <w:t>社保基金预算：</w:t>
      </w:r>
      <w:r>
        <w:rPr>
          <w:rFonts w:eastAsia="方正仿宋_GBK"/>
          <w:kern w:val="0"/>
          <w:sz w:val="32"/>
          <w:szCs w:val="32"/>
          <w:highlight w:val="none"/>
        </w:rPr>
        <w:t>是对社会保险缴款、一般公共预算安排和其他方式筹集的资金，专项用于社会保险的收支预算。目前是全市统筹，由市统一编制、我县不单独编报。</w:t>
      </w:r>
    </w:p>
    <w:p w14:paraId="368469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eastAsia="方正仿宋_GBK"/>
          <w:kern w:val="0"/>
          <w:sz w:val="32"/>
          <w:szCs w:val="32"/>
          <w:highlight w:val="none"/>
        </w:rPr>
      </w:pPr>
      <w:r>
        <w:rPr>
          <w:rFonts w:eastAsia="方正黑体_GBK"/>
          <w:kern w:val="0"/>
          <w:sz w:val="32"/>
          <w:szCs w:val="32"/>
          <w:highlight w:val="none"/>
        </w:rPr>
        <w:t>债券资金：</w:t>
      </w:r>
      <w:r>
        <w:rPr>
          <w:rFonts w:eastAsia="方正仿宋_GBK"/>
          <w:kern w:val="0"/>
          <w:sz w:val="32"/>
          <w:szCs w:val="32"/>
          <w:highlight w:val="none"/>
        </w:rPr>
        <w:t>即地方政府债券资金，是指重庆市政府以政府的信用为基础并承诺偿还本息，自主向社会发行地方政府债券筹集的财政资金。按债券发行类别分为置换债券资金和新增债券资金，按预算管理分为一般债券（纳入一般公共预算管理）和专项债券（纳入政府性基金预算管理）。</w:t>
      </w:r>
    </w:p>
    <w:p w14:paraId="074A81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eastAsia="方正仿宋_GBK"/>
          <w:kern w:val="0"/>
          <w:sz w:val="32"/>
          <w:szCs w:val="32"/>
          <w:highlight w:val="none"/>
        </w:rPr>
      </w:pPr>
      <w:r>
        <w:rPr>
          <w:rFonts w:eastAsia="方正黑体_GBK"/>
          <w:kern w:val="0"/>
          <w:sz w:val="32"/>
          <w:szCs w:val="32"/>
          <w:highlight w:val="none"/>
        </w:rPr>
        <w:t>三公经费</w:t>
      </w:r>
      <w:r>
        <w:rPr>
          <w:rFonts w:eastAsia="方正仿宋_GBK"/>
          <w:kern w:val="0"/>
          <w:sz w:val="32"/>
          <w:szCs w:val="32"/>
          <w:highlight w:val="none"/>
        </w:rPr>
        <w:t>：指政府部门公务出国（境）经费、公务车购置及运行费、公务接待费。</w:t>
      </w:r>
    </w:p>
    <w:p w14:paraId="220A51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</w:rPr>
      </w:pPr>
    </w:p>
    <w:sectPr>
      <w:pgSz w:w="11906" w:h="16838"/>
      <w:pgMar w:top="2154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4F9731"/>
    <w:multiLevelType w:val="singleLevel"/>
    <w:tmpl w:val="9A4F973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1FD543B"/>
    <w:multiLevelType w:val="singleLevel"/>
    <w:tmpl w:val="31FD543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wOTZhZmRkMjgxY2MwZDI2ZWRjZTU5YmZmNTc0MDYifQ=="/>
  </w:docVars>
  <w:rsids>
    <w:rsidRoot w:val="003C5D59"/>
    <w:rsid w:val="001157CE"/>
    <w:rsid w:val="00323BF6"/>
    <w:rsid w:val="00325422"/>
    <w:rsid w:val="003B2DA2"/>
    <w:rsid w:val="003C5D59"/>
    <w:rsid w:val="005C716D"/>
    <w:rsid w:val="00774CC9"/>
    <w:rsid w:val="00776BF3"/>
    <w:rsid w:val="00866A66"/>
    <w:rsid w:val="00941616"/>
    <w:rsid w:val="00953237"/>
    <w:rsid w:val="00955DA6"/>
    <w:rsid w:val="00B90839"/>
    <w:rsid w:val="00D662AB"/>
    <w:rsid w:val="00D7749F"/>
    <w:rsid w:val="00F9294A"/>
    <w:rsid w:val="00FA0688"/>
    <w:rsid w:val="01D32DCE"/>
    <w:rsid w:val="06B31420"/>
    <w:rsid w:val="06B95635"/>
    <w:rsid w:val="0777361A"/>
    <w:rsid w:val="07B611C8"/>
    <w:rsid w:val="084A1910"/>
    <w:rsid w:val="08844E22"/>
    <w:rsid w:val="08BA12DC"/>
    <w:rsid w:val="0A812074"/>
    <w:rsid w:val="0A850914"/>
    <w:rsid w:val="0ABB08A3"/>
    <w:rsid w:val="0B1D330C"/>
    <w:rsid w:val="0B344AF3"/>
    <w:rsid w:val="0C0709A6"/>
    <w:rsid w:val="0CFD51A3"/>
    <w:rsid w:val="0D307327"/>
    <w:rsid w:val="0EE02FCE"/>
    <w:rsid w:val="0F366857"/>
    <w:rsid w:val="112E0021"/>
    <w:rsid w:val="11C6025A"/>
    <w:rsid w:val="12977E48"/>
    <w:rsid w:val="12BC165D"/>
    <w:rsid w:val="13367661"/>
    <w:rsid w:val="13B10A95"/>
    <w:rsid w:val="15287ADD"/>
    <w:rsid w:val="156009C5"/>
    <w:rsid w:val="15B036FB"/>
    <w:rsid w:val="16353C00"/>
    <w:rsid w:val="16C950D2"/>
    <w:rsid w:val="16F31C9B"/>
    <w:rsid w:val="170A6E3A"/>
    <w:rsid w:val="18664544"/>
    <w:rsid w:val="1A8B286B"/>
    <w:rsid w:val="1ACE74DA"/>
    <w:rsid w:val="1B4D402D"/>
    <w:rsid w:val="1BC81072"/>
    <w:rsid w:val="1E0A5972"/>
    <w:rsid w:val="1F3E1D77"/>
    <w:rsid w:val="20DB2EAA"/>
    <w:rsid w:val="214E2681"/>
    <w:rsid w:val="21EF7AEB"/>
    <w:rsid w:val="23696C97"/>
    <w:rsid w:val="23F52C20"/>
    <w:rsid w:val="25E60A73"/>
    <w:rsid w:val="26375264"/>
    <w:rsid w:val="26597496"/>
    <w:rsid w:val="27F03E2A"/>
    <w:rsid w:val="28732366"/>
    <w:rsid w:val="29AB625B"/>
    <w:rsid w:val="29C476FB"/>
    <w:rsid w:val="29C841B9"/>
    <w:rsid w:val="2AB050F8"/>
    <w:rsid w:val="2B083239"/>
    <w:rsid w:val="2B0A6FB1"/>
    <w:rsid w:val="2C46226B"/>
    <w:rsid w:val="2C8663CB"/>
    <w:rsid w:val="2D0F4D53"/>
    <w:rsid w:val="2D3227EF"/>
    <w:rsid w:val="2D7C3A6A"/>
    <w:rsid w:val="2DA977FB"/>
    <w:rsid w:val="2E00644A"/>
    <w:rsid w:val="2E750BE6"/>
    <w:rsid w:val="2F005777"/>
    <w:rsid w:val="2F503401"/>
    <w:rsid w:val="2F6C023B"/>
    <w:rsid w:val="3011493E"/>
    <w:rsid w:val="301234DC"/>
    <w:rsid w:val="312A28E8"/>
    <w:rsid w:val="32430FFB"/>
    <w:rsid w:val="349E076A"/>
    <w:rsid w:val="361231BE"/>
    <w:rsid w:val="36DE4D67"/>
    <w:rsid w:val="36EC3A0F"/>
    <w:rsid w:val="37377380"/>
    <w:rsid w:val="37D03331"/>
    <w:rsid w:val="38A87E0A"/>
    <w:rsid w:val="38E70932"/>
    <w:rsid w:val="39301F40"/>
    <w:rsid w:val="39363667"/>
    <w:rsid w:val="393C6ED0"/>
    <w:rsid w:val="3BD74C8E"/>
    <w:rsid w:val="3E6D7B2B"/>
    <w:rsid w:val="3E8D7767"/>
    <w:rsid w:val="3E984FF3"/>
    <w:rsid w:val="406D5BC1"/>
    <w:rsid w:val="40B15A60"/>
    <w:rsid w:val="40E95678"/>
    <w:rsid w:val="41483F38"/>
    <w:rsid w:val="42206C63"/>
    <w:rsid w:val="428E62C2"/>
    <w:rsid w:val="435E2C7F"/>
    <w:rsid w:val="438C0A54"/>
    <w:rsid w:val="43C875B2"/>
    <w:rsid w:val="44004F9E"/>
    <w:rsid w:val="46130FB8"/>
    <w:rsid w:val="46274A64"/>
    <w:rsid w:val="4654512D"/>
    <w:rsid w:val="46727BB4"/>
    <w:rsid w:val="46E4775A"/>
    <w:rsid w:val="479523B1"/>
    <w:rsid w:val="484A400D"/>
    <w:rsid w:val="48693111"/>
    <w:rsid w:val="4A064990"/>
    <w:rsid w:val="4A5E657A"/>
    <w:rsid w:val="4E37780E"/>
    <w:rsid w:val="4FD572DE"/>
    <w:rsid w:val="51E92C75"/>
    <w:rsid w:val="524A3FB4"/>
    <w:rsid w:val="52A3007A"/>
    <w:rsid w:val="52E33AC0"/>
    <w:rsid w:val="53114AD1"/>
    <w:rsid w:val="54A84FC1"/>
    <w:rsid w:val="54C82F16"/>
    <w:rsid w:val="550D12C8"/>
    <w:rsid w:val="554747DA"/>
    <w:rsid w:val="556E620B"/>
    <w:rsid w:val="55E97640"/>
    <w:rsid w:val="55EE01E5"/>
    <w:rsid w:val="569D3F33"/>
    <w:rsid w:val="56D46542"/>
    <w:rsid w:val="58ED6580"/>
    <w:rsid w:val="5915074C"/>
    <w:rsid w:val="5980650D"/>
    <w:rsid w:val="5AFB2ABC"/>
    <w:rsid w:val="5B1038C0"/>
    <w:rsid w:val="5B500161"/>
    <w:rsid w:val="5C430A4F"/>
    <w:rsid w:val="5C937806"/>
    <w:rsid w:val="5F2A2932"/>
    <w:rsid w:val="5F685A79"/>
    <w:rsid w:val="5FBA148E"/>
    <w:rsid w:val="5FF76DFD"/>
    <w:rsid w:val="60356C26"/>
    <w:rsid w:val="611F67F5"/>
    <w:rsid w:val="61642270"/>
    <w:rsid w:val="617F52FC"/>
    <w:rsid w:val="65A215B9"/>
    <w:rsid w:val="663055EA"/>
    <w:rsid w:val="682126EC"/>
    <w:rsid w:val="68633281"/>
    <w:rsid w:val="69B31FE7"/>
    <w:rsid w:val="6CD6609E"/>
    <w:rsid w:val="6DA57E98"/>
    <w:rsid w:val="6DAD4F9F"/>
    <w:rsid w:val="6DFD7CD4"/>
    <w:rsid w:val="6F6A3147"/>
    <w:rsid w:val="6FA519AE"/>
    <w:rsid w:val="6FDD0EB6"/>
    <w:rsid w:val="6FF173C5"/>
    <w:rsid w:val="6FFC6D8E"/>
    <w:rsid w:val="700D1CD0"/>
    <w:rsid w:val="700E441B"/>
    <w:rsid w:val="702F613F"/>
    <w:rsid w:val="717E737E"/>
    <w:rsid w:val="72C708B1"/>
    <w:rsid w:val="74304879"/>
    <w:rsid w:val="7536173D"/>
    <w:rsid w:val="760C1130"/>
    <w:rsid w:val="762322A2"/>
    <w:rsid w:val="7625426C"/>
    <w:rsid w:val="76E97048"/>
    <w:rsid w:val="775F555C"/>
    <w:rsid w:val="785A1CD5"/>
    <w:rsid w:val="791B54B2"/>
    <w:rsid w:val="7B876E2F"/>
    <w:rsid w:val="7BC05DB0"/>
    <w:rsid w:val="7D4C20DE"/>
    <w:rsid w:val="7D4F1BCF"/>
    <w:rsid w:val="7DAC4ECF"/>
    <w:rsid w:val="7FC9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after="120"/>
      <w:jc w:val="left"/>
    </w:pPr>
    <w:rPr>
      <w:rFonts w:ascii="Times New Roman" w:hAnsi="Times New Roman" w:eastAsia="方正仿宋_GBK" w:cs="Times New Roman"/>
      <w:kern w:val="0"/>
      <w:sz w:val="32"/>
      <w:szCs w:val="32"/>
    </w:rPr>
  </w:style>
  <w:style w:type="paragraph" w:styleId="3">
    <w:name w:val="toc 5"/>
    <w:basedOn w:val="1"/>
    <w:next w:val="1"/>
    <w:unhideWhenUsed/>
    <w:qFormat/>
    <w:uiPriority w:val="39"/>
    <w:pPr>
      <w:jc w:val="center"/>
    </w:pPr>
    <w:rPr>
      <w:rFonts w:ascii="方正小标宋_GBK" w:hAnsi="方正小标宋_GBK" w:eastAsia="方正小标宋_GBK" w:cs="方正小标宋_GBK"/>
      <w:sz w:val="36"/>
      <w:szCs w:val="36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4655</Words>
  <Characters>4928</Characters>
  <Lines>11</Lines>
  <Paragraphs>3</Paragraphs>
  <TotalTime>4</TotalTime>
  <ScaleCrop>false</ScaleCrop>
  <LinksUpToDate>false</LinksUpToDate>
  <CharactersWithSpaces>4929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2024-02-19T03:43:00Z</dcterms:created>
  <dc:creator>Administrator</dc:creator>
  <cp:lastModifiedBy>温星星</cp:lastModifiedBy>
  <dcterms:modified xsi:type="dcterms:W3CDTF">2025-09-30T03:08:39Z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3DEC6E0AF3244E399F83F1FFBB6A9553_12</vt:lpwstr>
  </property>
  <property fmtid="{D5CDD505-2E9C-101B-9397-08002B2CF9AE}" pid="4" name="KSOTemplateDocerSaveRecord">
    <vt:lpwstr>eyJoZGlkIjoiZDRlMTI0ZmZkNWVkNDk2ZTg4NWYwOTQyMjQxMmY4NGEiLCJ1c2VySWQiOiIxMzIzODcwMDMzIn0=</vt:lpwstr>
  </property>
</Properties>
</file>