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45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Style w:val="a6"/>
          <w:rFonts w:ascii="方正仿宋_GBK" w:eastAsia="方正仿宋_GBK" w:cs="Arial" w:hint="eastAsia"/>
          <w:color w:val="212121"/>
          <w:sz w:val="32"/>
          <w:szCs w:val="32"/>
        </w:rPr>
        <w:t>一、单位基本情况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30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南天湖镇2018年政府预算包</w:t>
      </w:r>
      <w:bookmarkStart w:id="0" w:name="_GoBack"/>
      <w:bookmarkEnd w:id="0"/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含6个行政事业单位，其中行政单位1个，事业单位5个，所辖1个居委，9个村民委员会，总人口18876人，行政事业单位在职人员41人，其中行政22人、事业19人，退休人员12人，大学生村官4人，遗属人员4人，优抚补助人员14人，襄渝铁路民工9人，三无人员36人，五保供养41人，村社干部125人，本土人才9人。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45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Style w:val="a6"/>
          <w:rFonts w:ascii="方正仿宋_GBK" w:eastAsia="方正仿宋_GBK" w:cs="Arial" w:hint="eastAsia"/>
          <w:color w:val="212121"/>
          <w:sz w:val="32"/>
          <w:szCs w:val="32"/>
        </w:rPr>
        <w:t>二、部门预算情况说明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30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2018年一般公共预算财政拨款收入 1244.47万元，一般公共预算财政拨款支出 1244.47万元，比2017年增加167.64 万元。其中：基本支出1108.57万元，比2017年增加238.45 万元，主要原因是行政事业单位职工工资调资、新增人员和将个人和家庭补助的支出列为了基本支出，主要用于保障在职人员工资福利及社会保险缴费，离退休人员离退休费及优抚、三无、五保等生活补助，保障部门正常运转的各项商品服务支出；项目支出135.90万元，比2016年减少70.81 万元，主要原因是基础设施项目已竣工，阶段性工作减少。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30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（一）基本支出1108.57万元中一是工资福利支出512.08万元，包括基本工资142.40万元，津贴补贴150.49万元，奖金11.56万元，社会保障缴费111.74万元，住房公积金36.53万元，其他工资福利支出59.36万元（大学生村官补助18.36万元，在职人员绩效目标考核41万元） 。二是商品服务支出295.66 万</w:t>
      </w: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lastRenderedPageBreak/>
        <w:t>元，其中办公费164.90万元，差旅费78万元，培训费4.84万元，公务接待费23.00万元，公务用车运行维护费12.00万元，工会经费6.46万元，福利费6.46万元。三是对个人和家庭的补助300.83，其中退休费12.00万元（离退休人员健康休养费），抚恤金11.58万元（襄渝伤残人员补助9.43万元和遗属补助2.15万元），生活补助189.65万元（村干部报酬及保险118.85万元，村级办公费15.30万元，老党员补助18.27万元，离任村干部报酬7.45万元，优抚人员补助29.78万元，），救济69.42万元（三无人员补助28.86万元和五保户人员补助40.56万元），奖励金0.05（独生子女费）万元，其他对个人和家庭补助18.13万元（其他人员补助）。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30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（二）项目支出135.90万元中人民代表大会会议费3.00万元，县镇人大代表活动会1.00万元，安全信访事务5.00万元，产业发展规划编制2.00万元，村级组织阵地建设1.00万元，党员远程教育及镇</w:t>
      </w:r>
      <w:proofErr w:type="gramStart"/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村网络</w:t>
      </w:r>
      <w:proofErr w:type="gramEnd"/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安全建设1.00万元，法律咨询服务费1.00万元，法治宣传0.5万元，水务工作2.00万元，脱贫攻坚3.00万元，环境保护与整治工作1.00万元，组织、纪检工作1.00万元，两</w:t>
      </w:r>
      <w:proofErr w:type="gramStart"/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劳</w:t>
      </w:r>
      <w:proofErr w:type="gramEnd"/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释放人员管理0.2万元，旅游开发及招商引资3万元，民政、残疾、老龄活动1.00万元，农业技术推广、病虫害防治1.00万元，平安建设0.5万元，森林防火、应急演练3.00万元，社会治安综合治理0.5万元，统计、普查工作1.00万元，统一战线工作1.00万元，突发事件应急1.00万元，团委妇联关工委</w:t>
      </w: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lastRenderedPageBreak/>
        <w:t>0.5万元，文化体育活动2.00万元，计划生育工作1.00万元，镇村两级调解委员会成员培训0.5万元，农村交通建设2.00万元，临时人员工资68万元，年休假补助15万元，预备费12.20万元。</w:t>
      </w:r>
    </w:p>
    <w:p w:rsidR="00B602BF" w:rsidRPr="00B602BF" w:rsidRDefault="00B602BF" w:rsidP="00B602BF">
      <w:pPr>
        <w:pStyle w:val="a5"/>
        <w:shd w:val="clear" w:color="auto" w:fill="FFFFFF"/>
        <w:snapToGrid w:val="0"/>
        <w:spacing w:before="0" w:beforeAutospacing="0" w:after="0" w:afterAutospacing="0" w:line="574" w:lineRule="exact"/>
        <w:ind w:firstLine="630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三、</w:t>
      </w:r>
      <w:r w:rsidRPr="00B602BF">
        <w:rPr>
          <w:rStyle w:val="a6"/>
          <w:rFonts w:ascii="方正仿宋_GBK" w:eastAsia="方正仿宋_GBK" w:cs="Arial" w:hint="eastAsia"/>
          <w:color w:val="212121"/>
          <w:sz w:val="32"/>
          <w:szCs w:val="32"/>
        </w:rPr>
        <w:t>“三公”经费情况说明</w:t>
      </w:r>
    </w:p>
    <w:p w:rsidR="00642BE7" w:rsidRPr="00B602BF" w:rsidRDefault="00B602BF" w:rsidP="00B602BF">
      <w:pPr>
        <w:pStyle w:val="a5"/>
        <w:snapToGrid w:val="0"/>
        <w:spacing w:before="0" w:beforeAutospacing="0" w:after="0" w:afterAutospacing="0" w:line="574" w:lineRule="exact"/>
        <w:jc w:val="both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2018年“三公”经费预算 35 万元，比2017年减少1 万元。其中：公务接待费 23 万元，公务用车运行维护费12万元。</w:t>
      </w: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 </w:t>
      </w:r>
      <w:r w:rsidRPr="00B602BF">
        <w:rPr>
          <w:rFonts w:ascii="方正仿宋_GBK" w:eastAsia="方正仿宋_GBK" w:cs="Arial" w:hint="eastAsia"/>
          <w:color w:val="212121"/>
          <w:sz w:val="32"/>
          <w:szCs w:val="32"/>
        </w:rPr>
        <w:t> </w:t>
      </w:r>
    </w:p>
    <w:sectPr w:rsidR="00642BE7" w:rsidRPr="00B602BF" w:rsidSect="00B60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EA" w:rsidRDefault="009B62EA" w:rsidP="00B602BF">
      <w:r>
        <w:separator/>
      </w:r>
    </w:p>
  </w:endnote>
  <w:endnote w:type="continuationSeparator" w:id="0">
    <w:p w:rsidR="009B62EA" w:rsidRDefault="009B62EA" w:rsidP="00B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EA" w:rsidRDefault="009B62EA" w:rsidP="00B602BF">
      <w:r>
        <w:separator/>
      </w:r>
    </w:p>
  </w:footnote>
  <w:footnote w:type="continuationSeparator" w:id="0">
    <w:p w:rsidR="009B62EA" w:rsidRDefault="009B62EA" w:rsidP="00B6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 w:rsidP="00B602B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BF" w:rsidRDefault="00B60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5"/>
    <w:rsid w:val="00642BE7"/>
    <w:rsid w:val="009B01D5"/>
    <w:rsid w:val="009B62EA"/>
    <w:rsid w:val="00B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2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02BF"/>
    <w:rPr>
      <w:b/>
      <w:bCs/>
    </w:rPr>
  </w:style>
  <w:style w:type="paragraph" w:customStyle="1" w:styleId="insertfiletag">
    <w:name w:val="insertfiletag"/>
    <w:basedOn w:val="a"/>
    <w:rsid w:val="00B6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2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02BF"/>
    <w:rPr>
      <w:b/>
      <w:bCs/>
    </w:rPr>
  </w:style>
  <w:style w:type="paragraph" w:customStyle="1" w:styleId="insertfiletag">
    <w:name w:val="insertfiletag"/>
    <w:basedOn w:val="a"/>
    <w:rsid w:val="00B60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2023-12-04T08:45:00Z</dcterms:created>
  <dcterms:modified xsi:type="dcterms:W3CDTF">2023-12-04T08:47:00Z</dcterms:modified>
</cp:coreProperties>
</file>