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overflowPunct/>
        <w:topLinePunct w:val="0"/>
        <w:autoSpaceDN/>
        <w:bidi w:val="0"/>
        <w:adjustRightInd/>
        <w:spacing w:before="0" w:beforeAutospacing="0" w:after="0" w:afterAutospacing="0" w:line="560"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丰都县栗子乡人民政府</w:t>
      </w:r>
    </w:p>
    <w:p>
      <w:pPr>
        <w:pStyle w:val="9"/>
        <w:keepNext w:val="0"/>
        <w:keepLines w:val="0"/>
        <w:pageBreakBefore w:val="0"/>
        <w:widowControl w:val="0"/>
        <w:kinsoku/>
        <w:overflowPunct/>
        <w:topLinePunct w:val="0"/>
        <w:autoSpaceDN/>
        <w:bidi w:val="0"/>
        <w:adjustRightInd/>
        <w:spacing w:before="0" w:beforeAutospacing="0" w:after="0" w:afterAutospacing="0" w:line="560" w:lineRule="exact"/>
        <w:jc w:val="center"/>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default"/>
          <w:sz w:val="27"/>
          <w:szCs w:val="27"/>
          <w:shd w:val="clear" w:color="auto" w:fill="FFFF00"/>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一、</w:t>
      </w:r>
      <w:r>
        <w:rPr>
          <w:rStyle w:val="13"/>
          <w:rFonts w:hint="eastAsia" w:ascii="方正黑体_GBK" w:hAnsi="方正黑体_GBK" w:eastAsia="方正黑体_GBK" w:cs="方正黑体_GBK"/>
          <w:b w:val="0"/>
          <w:bCs/>
          <w:sz w:val="32"/>
          <w:szCs w:val="32"/>
          <w:shd w:val="clear" w:color="auto" w:fill="FFFFFF"/>
          <w:lang w:eastAsia="zh-CN"/>
        </w:rPr>
        <w:t>部门</w:t>
      </w:r>
      <w:r>
        <w:rPr>
          <w:rStyle w:val="13"/>
          <w:rFonts w:hint="eastAsia" w:ascii="方正黑体_GBK" w:hAnsi="方正黑体_GBK" w:eastAsia="方正黑体_GBK" w:cs="方正黑体_GBK"/>
          <w:b w:val="0"/>
          <w:bCs/>
          <w:sz w:val="32"/>
          <w:szCs w:val="32"/>
          <w:shd w:val="clear" w:color="auto" w:fill="FFFFFF"/>
        </w:rPr>
        <w:t>基本情况</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（一）职能职责</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乡党委政府围绕贯彻落实党和政府各项方针政策</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其主要职责是</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制定和组织实施经济、科技和社会发展计划</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制定资源开发技术改造和产业结构调整方案</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组织指导好各业生产</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搞好商品流通</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协调好本乡与外地区的经济交流与合作</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抓好招商引资、项目开发</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不断培育市场体系</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组织经济运行</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促进经济发展</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制定并组织实施村镇建设规划</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部署重点工程建设</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地方道路建设及公共设施</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水利设施的管理</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负责土地、林木、水等自然资源和生态环境的保护</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做好护林防火工作</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负责本行政区域内的民政、计划生育、文化教育、卫生、体育等社会公益事业的综合性工作</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维护一切经济</w:t>
      </w:r>
      <w:r>
        <w:rPr>
          <w:rFonts w:hint="eastAsia" w:ascii="Times New Roman" w:hAnsi="Times New Roman" w:eastAsia="方正仿宋_GBK" w:cs="Times New Roman"/>
          <w:kern w:val="0"/>
          <w:sz w:val="32"/>
          <w:szCs w:val="32"/>
          <w:lang w:eastAsia="zh-CN"/>
        </w:rPr>
        <w:t>部门</w:t>
      </w:r>
      <w:r>
        <w:rPr>
          <w:rFonts w:hint="default" w:ascii="Times New Roman" w:hAnsi="Times New Roman" w:eastAsia="方正仿宋_GBK" w:cs="Times New Roman"/>
          <w:kern w:val="0"/>
          <w:sz w:val="32"/>
          <w:szCs w:val="32"/>
        </w:rPr>
        <w:t>和个人的正当经济权益</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取缔非法经济活动</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调解和处理民事纠纷</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打击刑事犯罪维护社会稳定</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按计划组织本级财政收入</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完成国家财政计划</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不断培植税源</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管好财政资金</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增强财政实力</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抓好精神文明建设</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丰富群众文化生活</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提倡移风易俗</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反对封建迷信</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破除陈规陋习</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树立社会主义新风尚</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进一步强化城镇管理和社区服务工作。</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lang w:val="en-US" w:eastAsia="zh-CN"/>
        </w:rPr>
        <w:t>（二）</w:t>
      </w:r>
      <w:r>
        <w:rPr>
          <w:rStyle w:val="13"/>
          <w:rFonts w:hint="eastAsia" w:ascii="方正楷体_GBK" w:hAnsi="方正楷体_GBK" w:eastAsia="方正楷体_GBK" w:cs="方正楷体_GBK"/>
          <w:b w:val="0"/>
          <w:bCs/>
          <w:sz w:val="32"/>
          <w:szCs w:val="32"/>
          <w:shd w:val="clear" w:color="auto" w:fill="FFFFFF"/>
        </w:rPr>
        <w:t>机构设置</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丰都县栗子乡人民政府内设综合办事机构10个</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党政办公室</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党群工作办公室</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经济发展办公室</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民政和社会事务办公室</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平安建设办公室</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规划建设管理环保办公室</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财政办公室</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应急管理办公室</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eastAsia="zh-CN"/>
          <w:woUserID w:val="1"/>
        </w:rPr>
        <w:t>乡</w:t>
      </w:r>
      <w:r>
        <w:rPr>
          <w:rFonts w:hint="default" w:ascii="Times New Roman" w:hAnsi="Times New Roman" w:eastAsia="方正仿宋_GBK" w:cs="Times New Roman"/>
          <w:kern w:val="0"/>
          <w:sz w:val="32"/>
          <w:szCs w:val="32"/>
        </w:rPr>
        <w:t>人大</w:t>
      </w:r>
      <w:r>
        <w:rPr>
          <w:rFonts w:hint="default" w:ascii="Times New Roman" w:hAnsi="Times New Roman" w:eastAsia="方正仿宋_GBK" w:cs="Times New Roman"/>
          <w:kern w:val="0"/>
          <w:sz w:val="32"/>
          <w:szCs w:val="32"/>
          <w:woUserID w:val="1"/>
        </w:rPr>
        <w:t>代表</w:t>
      </w:r>
      <w:r>
        <w:rPr>
          <w:rFonts w:hint="default" w:ascii="Times New Roman" w:hAnsi="Times New Roman" w:eastAsia="方正仿宋_GBK" w:cs="Times New Roman"/>
          <w:kern w:val="0"/>
          <w:sz w:val="32"/>
          <w:szCs w:val="32"/>
        </w:rPr>
        <w:t>办公室</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综合行政执法办公室。丰都县栗子乡人民政府下属事业机构5个</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产业发展服务中心</w:t>
      </w:r>
      <w:r>
        <w:rPr>
          <w:rFonts w:hint="default"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新时代文明实践服务中心</w:t>
      </w:r>
      <w:r>
        <w:rPr>
          <w:rFonts w:hint="default"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便民服务中心</w:t>
      </w:r>
      <w:r>
        <w:rPr>
          <w:rFonts w:hint="default"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村镇建设服务中心</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综合行政执法大队</w:t>
      </w:r>
      <w:r>
        <w:rPr>
          <w:rFonts w:hint="default" w:ascii="Times New Roman" w:hAnsi="Times New Roman" w:eastAsia="方正仿宋_GBK" w:cs="Times New Roman"/>
          <w:kern w:val="0"/>
          <w:sz w:val="32"/>
          <w:szCs w:val="32"/>
          <w:lang w:eastAsia="zh-CN"/>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丰都县栗子乡人民政府核定编制数46名</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其中行政编制22名</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事业编制24名。</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二、</w:t>
      </w:r>
      <w:r>
        <w:rPr>
          <w:rStyle w:val="13"/>
          <w:rFonts w:hint="eastAsia" w:ascii="方正黑体_GBK" w:hAnsi="方正黑体_GBK" w:eastAsia="方正黑体_GBK" w:cs="方正黑体_GBK"/>
          <w:b w:val="0"/>
          <w:bCs/>
          <w:sz w:val="32"/>
          <w:szCs w:val="32"/>
          <w:shd w:val="clear" w:color="auto" w:fill="FFFFFF"/>
          <w:lang w:eastAsia="zh-CN"/>
        </w:rPr>
        <w:t>部门</w:t>
      </w:r>
      <w:r>
        <w:rPr>
          <w:rStyle w:val="13"/>
          <w:rFonts w:hint="eastAsia" w:ascii="方正黑体_GBK" w:hAnsi="方正黑体_GBK" w:eastAsia="方正黑体_GBK" w:cs="方正黑体_GBK"/>
          <w:b w:val="0"/>
          <w:bCs/>
          <w:sz w:val="32"/>
          <w:szCs w:val="32"/>
          <w:shd w:val="clear" w:color="auto" w:fill="FFFFFF"/>
        </w:rPr>
        <w:t>决算</w:t>
      </w:r>
      <w:r>
        <w:rPr>
          <w:rStyle w:val="13"/>
          <w:rFonts w:hint="eastAsia" w:ascii="方正黑体_GBK" w:hAnsi="方正黑体_GBK" w:eastAsia="方正黑体_GBK" w:cs="方正黑体_GBK"/>
          <w:b w:val="0"/>
          <w:bCs/>
          <w:sz w:val="32"/>
          <w:szCs w:val="32"/>
          <w:shd w:val="clear" w:color="auto" w:fill="FFFFFF"/>
          <w:lang w:eastAsia="zh-CN"/>
        </w:rPr>
        <w:t>收支</w:t>
      </w:r>
      <w:r>
        <w:rPr>
          <w:rStyle w:val="13"/>
          <w:rFonts w:hint="eastAsia" w:ascii="方正黑体_GBK" w:hAnsi="方正黑体_GBK" w:eastAsia="方正黑体_GBK" w:cs="方正黑体_GBK"/>
          <w:b w:val="0"/>
          <w:bCs/>
          <w:sz w:val="32"/>
          <w:szCs w:val="32"/>
          <w:shd w:val="clear" w:color="auto" w:fill="FFFFFF"/>
        </w:rPr>
        <w:t>情况说明</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（一）收入支出决算总体情况说明</w:t>
      </w:r>
    </w:p>
    <w:p>
      <w:pPr>
        <w:pStyle w:val="9"/>
        <w:keepNext w:val="0"/>
        <w:keepLines w:val="0"/>
        <w:pageBreakBefore w:val="0"/>
        <w:widowControl w:val="0"/>
        <w:shd w:val="clear" w:color="auto" w:fill="FFFFFF"/>
        <w:kinsoku/>
        <w:overflowPunct/>
        <w:topLinePunct w:val="0"/>
        <w:autoSpaceDN/>
        <w:bidi w:val="0"/>
        <w:adjustRightInd/>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2491.92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收、支与2023年度相比，减少1373.04万元，下降35.5%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财政资金收紧，导致本年收支减少。</w:t>
      </w:r>
    </w:p>
    <w:p>
      <w:pPr>
        <w:pStyle w:val="9"/>
        <w:keepNext w:val="0"/>
        <w:keepLines w:val="0"/>
        <w:pageBreakBefore w:val="0"/>
        <w:widowControl w:val="0"/>
        <w:shd w:val="clear" w:color="auto" w:fill="FFFFFF"/>
        <w:kinsoku/>
        <w:overflowPunct/>
        <w:topLinePunct w:val="0"/>
        <w:autoSpaceDN/>
        <w:bidi w:val="0"/>
        <w:adjustRightInd/>
        <w:spacing w:before="0" w:beforeAutospacing="0" w:after="0" w:afterAutospacing="0" w:line="560" w:lineRule="exact"/>
        <w:ind w:firstLine="641"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color w:val="auto"/>
          <w:sz w:val="32"/>
          <w:szCs w:val="32"/>
          <w:shd w:val="clear" w:color="auto" w:fill="FFFFFF"/>
          <w:lang w:val="en-US" w:eastAsia="zh-CN"/>
        </w:rPr>
        <w:t>1</w:t>
      </w:r>
      <w:r>
        <w:rPr>
          <w:rStyle w:val="13"/>
          <w:rFonts w:ascii="方正仿宋_GBK" w:hAnsi="方正仿宋_GBK" w:eastAsia="方正仿宋_GBK" w:cs="方正仿宋_GBK"/>
          <w:color w:val="auto"/>
          <w:sz w:val="32"/>
          <w:szCs w:val="32"/>
          <w:shd w:val="clear" w:color="auto" w:fill="FFFFFF"/>
        </w:rPr>
        <w:t>.收入情况。</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年度收入合计</w:t>
      </w:r>
      <w:r>
        <w:rPr>
          <w:rFonts w:hint="default" w:ascii="Times New Roman" w:hAnsi="Times New Roman" w:eastAsia="方正仿宋_GBK"/>
          <w:color w:val="auto"/>
          <w:sz w:val="32"/>
          <w:szCs w:val="32"/>
          <w:shd w:val="clear" w:color="auto" w:fill="FFFFFF"/>
        </w:rPr>
        <w:t>2429.04</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与2023年度相比，减少917.50万元，下降27.4%</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财政资金收紧，导致本年收入减少。</w:t>
      </w:r>
      <w:r>
        <w:rPr>
          <w:rFonts w:ascii="方正仿宋_GBK" w:hAnsi="方正仿宋_GBK" w:eastAsia="方正仿宋_GBK" w:cs="方正仿宋_GBK"/>
          <w:color w:val="auto"/>
          <w:sz w:val="32"/>
          <w:szCs w:val="32"/>
          <w:shd w:val="clear" w:color="auto" w:fill="FFFFFF"/>
        </w:rPr>
        <w:t>其中：财政拨款收入</w:t>
      </w:r>
      <w:r>
        <w:rPr>
          <w:rFonts w:hint="default" w:ascii="Times New Roman" w:hAnsi="Times New Roman" w:eastAsia="方正仿宋_GBK"/>
          <w:color w:val="auto"/>
          <w:sz w:val="32"/>
          <w:szCs w:val="32"/>
          <w:shd w:val="clear" w:color="auto" w:fill="FFFFFF"/>
        </w:rPr>
        <w:t>2429.04</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100.0%</w:t>
      </w:r>
      <w:r>
        <w:rPr>
          <w:rFonts w:ascii="方正仿宋_GBK" w:hAnsi="方正仿宋_GBK" w:eastAsia="方正仿宋_GBK" w:cs="方正仿宋_GBK"/>
          <w:color w:val="auto"/>
          <w:sz w:val="32"/>
          <w:szCs w:val="32"/>
          <w:shd w:val="clear" w:color="auto" w:fill="FFFFFF"/>
        </w:rPr>
        <w:t>；事业收入</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0.0%</w:t>
      </w:r>
      <w:r>
        <w:rPr>
          <w:rFonts w:ascii="方正仿宋_GBK" w:hAnsi="方正仿宋_GBK" w:eastAsia="方正仿宋_GBK" w:cs="方正仿宋_GBK"/>
          <w:color w:val="auto"/>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62.88</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val="0"/>
        <w:kinsoku/>
        <w:overflowPunct/>
        <w:topLinePunct w:val="0"/>
        <w:autoSpaceDN/>
        <w:bidi w:val="0"/>
        <w:adjustRightInd/>
        <w:snapToGrid w:val="0"/>
        <w:spacing w:before="0" w:beforeAutospacing="0" w:after="0" w:afterAutospacing="0" w:line="560" w:lineRule="exact"/>
        <w:ind w:firstLine="641"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2484.99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与2023年度相比，减少1377.15万元，下降35.7%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本年度工程项目等支出减少。</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1317.30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53.0%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1167.69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47.0%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val="0"/>
        <w:kinsoku/>
        <w:overflowPunct/>
        <w:topLinePunct w:val="0"/>
        <w:autoSpaceDN/>
        <w:bidi w:val="0"/>
        <w:adjustRightInd/>
        <w:snapToGrid w:val="0"/>
        <w:spacing w:before="0" w:beforeAutospacing="0" w:after="0" w:afterAutospacing="0" w:line="560" w:lineRule="exact"/>
        <w:ind w:firstLine="641" w:firstLineChars="200"/>
        <w:jc w:val="both"/>
        <w:rPr>
          <w:rFonts w:hint="eastAsia" w:ascii="方正仿宋_GBK" w:hAnsi="方正仿宋_GBK" w:eastAsia="方正仿宋_GBK" w:cs="方正仿宋_GBK"/>
          <w:sz w:val="32"/>
          <w:szCs w:val="32"/>
          <w:lang w:val="en-US" w:eastAsia="zh-CN"/>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6.93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与2023年度相比，增加4.10万元，增长144.9%</w:t>
      </w:r>
      <w:r>
        <w:rPr>
          <w:rFonts w:ascii="方正仿宋_GBK" w:hAnsi="方正仿宋_GBK" w:eastAsia="方正仿宋_GBK" w:cs="方正仿宋_GBK"/>
          <w:sz w:val="32"/>
          <w:szCs w:val="32"/>
          <w:shd w:val="clear" w:color="auto" w:fill="FFFFFF"/>
        </w:rPr>
        <w:t>，主要原因是项目经费尾款未支付有结余</w:t>
      </w:r>
      <w:r>
        <w:rPr>
          <w:rFonts w:hint="eastAsia" w:ascii="方正仿宋_GBK" w:hAnsi="方正仿宋_GBK" w:eastAsia="方正仿宋_GBK" w:cs="方正仿宋_GBK"/>
          <w:sz w:val="32"/>
          <w:szCs w:val="32"/>
          <w:shd w:val="clear" w:color="auto" w:fill="FFFFFF"/>
          <w:lang w:val="en-US" w:eastAsia="zh-CN"/>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（二）财政拨款收入支出决算总体情况说明</w:t>
      </w:r>
    </w:p>
    <w:p>
      <w:pPr>
        <w:pStyle w:val="9"/>
        <w:keepNext w:val="0"/>
        <w:keepLines w:val="0"/>
        <w:pageBreakBefore w:val="0"/>
        <w:widowControl w:val="0"/>
        <w:shd w:val="clear" w:color="auto" w:fill="FFFFFF"/>
        <w:kinsoku/>
        <w:overflowPunct/>
        <w:topLinePunct w:val="0"/>
        <w:autoSpaceDN/>
        <w:bidi w:val="0"/>
        <w:adjustRightInd/>
        <w:spacing w:before="0" w:beforeAutospacing="0" w:after="0" w:afterAutospacing="0" w:line="56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2491.92</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财政拨款收、支总计各减少1373.04万元，下降35.5%</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rPr>
        <w:t>是财政资金收紧，导致本年收支减少</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（三）一般公共预算财政拨款收入支出决算情况说明</w:t>
      </w:r>
    </w:p>
    <w:p>
      <w:pPr>
        <w:pStyle w:val="9"/>
        <w:keepNext w:val="0"/>
        <w:keepLines w:val="0"/>
        <w:pageBreakBefore w:val="0"/>
        <w:widowControl w:val="0"/>
        <w:kinsoku/>
        <w:overflowPunct/>
        <w:topLinePunct w:val="0"/>
        <w:autoSpaceDN/>
        <w:bidi w:val="0"/>
        <w:adjustRightInd/>
        <w:snapToGrid w:val="0"/>
        <w:spacing w:before="0" w:beforeAutospacing="0" w:after="0" w:afterAutospacing="0" w:line="560" w:lineRule="exact"/>
        <w:ind w:firstLine="641"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2332.98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与2023年度相比，减少436.67万元，下降15.8%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财政收紧，导致本年收入减少。</w:t>
      </w:r>
      <w:r>
        <w:rPr>
          <w:rFonts w:hint="default" w:ascii="Times New Roman" w:hAnsi="Times New Roman" w:eastAsia="方正仿宋_GBK"/>
          <w:sz w:val="32"/>
          <w:szCs w:val="32"/>
          <w:shd w:val="clear" w:color="auto" w:fill="FFFFFF"/>
        </w:rPr>
        <w:t>较年初预算数增加916.58万元，增长64.7%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年中新增政法转移支付资金、交通安全劝导站人员等工作经费，且本年度人员增加导致人员及公用经费等资金。</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61.30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val="0"/>
        <w:kinsoku/>
        <w:overflowPunct/>
        <w:topLinePunct w:val="0"/>
        <w:autoSpaceDN/>
        <w:bidi w:val="0"/>
        <w:adjustRightInd/>
        <w:snapToGrid w:val="0"/>
        <w:spacing w:before="0" w:beforeAutospacing="0" w:after="0" w:afterAutospacing="0" w:line="560" w:lineRule="exact"/>
        <w:ind w:firstLine="641" w:firstLineChars="200"/>
        <w:jc w:val="both"/>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2388.92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与2023年度相比，减少892.91万元，下降27.2%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本年度工程项目等支出减少。</w:t>
      </w:r>
      <w:r>
        <w:rPr>
          <w:rFonts w:hint="default" w:ascii="Times New Roman" w:hAnsi="Times New Roman" w:eastAsia="方正仿宋_GBK"/>
          <w:sz w:val="32"/>
          <w:szCs w:val="32"/>
          <w:shd w:val="clear" w:color="auto" w:fill="FFFFFF"/>
        </w:rPr>
        <w:t>较年初预算数增加972.52万元，增长68.7%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年中新增政法转移支付资金、交通安全劝导站人员等工作经费，且本年度人员增加导致人员及公用经费等资金。</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9"/>
        <w:keepNext w:val="0"/>
        <w:keepLines w:val="0"/>
        <w:pageBreakBefore w:val="0"/>
        <w:widowControl w:val="0"/>
        <w:numPr>
          <w:ilvl w:val="0"/>
          <w:numId w:val="0"/>
        </w:numPr>
        <w:kinsoku/>
        <w:overflowPunct/>
        <w:topLinePunct w:val="0"/>
        <w:autoSpaceDN/>
        <w:bidi w:val="0"/>
        <w:adjustRightInd/>
        <w:snapToGrid w:val="0"/>
        <w:spacing w:before="0" w:beforeAutospacing="0" w:after="0" w:afterAutospacing="0" w:line="56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509.99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21.4%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较年初预算数减少3.84万元，下降0.8%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人员增减变动及压减非必要的开支。</w:t>
      </w:r>
    </w:p>
    <w:p>
      <w:pPr>
        <w:pStyle w:val="9"/>
        <w:keepNext w:val="0"/>
        <w:keepLines w:val="0"/>
        <w:pageBreakBefore w:val="0"/>
        <w:widowControl w:val="0"/>
        <w:numPr>
          <w:ilvl w:val="0"/>
          <w:numId w:val="0"/>
        </w:numPr>
        <w:kinsoku/>
        <w:overflowPunct/>
        <w:topLinePunct w:val="0"/>
        <w:autoSpaceDN/>
        <w:bidi w:val="0"/>
        <w:adjustRightInd/>
        <w:snapToGrid w:val="0"/>
        <w:spacing w:before="0" w:beforeAutospacing="0" w:after="0" w:afterAutospacing="0" w:line="560" w:lineRule="exact"/>
        <w:ind w:left="0" w:leftChars="0"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fill="FFFFFF"/>
          <w:lang w:val="en-US" w:eastAsia="zh-CN" w:bidi="ar-SA"/>
        </w:rPr>
        <w:t>（2）</w:t>
      </w:r>
      <w:r>
        <w:rPr>
          <w:rFonts w:ascii="方正仿宋_GBK" w:hAnsi="方正仿宋_GBK" w:eastAsia="方正仿宋_GBK" w:cs="方正仿宋_GBK"/>
          <w:sz w:val="32"/>
          <w:szCs w:val="32"/>
          <w:shd w:val="clear" w:color="auto" w:fill="FFFFFF"/>
        </w:rPr>
        <w:t>公共安全支出</w:t>
      </w:r>
      <w:r>
        <w:rPr>
          <w:rFonts w:hint="default" w:ascii="Times New Roman" w:hAnsi="Times New Roman" w:eastAsia="方正仿宋_GBK"/>
          <w:sz w:val="32"/>
          <w:szCs w:val="32"/>
          <w:shd w:val="clear" w:color="auto" w:fill="FFFFFF"/>
        </w:rPr>
        <w:t>18.96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较年初预算数减少81.04万元，下降81.0%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政法转移支付资金100万，项目暂未实施完毕。</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83.37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较年初预算数增加44.24万元，增长113.1%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专项工作经费增加，如“建龙村文化服务中心配套设施项目”、“免费开放资金”、“栗子社区综合文化服务中心工程”。</w:t>
      </w:r>
    </w:p>
    <w:p>
      <w:pPr>
        <w:pStyle w:val="9"/>
        <w:keepNext w:val="0"/>
        <w:keepLines w:val="0"/>
        <w:pageBreakBefore w:val="0"/>
        <w:widowControl w:val="0"/>
        <w:kinsoku/>
        <w:overflowPunct/>
        <w:topLinePunct w:val="0"/>
        <w:autoSpaceDN/>
        <w:bidi w:val="0"/>
        <w:adjustRightInd/>
        <w:snapToGrid w:val="0"/>
        <w:spacing w:before="0" w:beforeAutospacing="0" w:after="0" w:afterAutospacing="0" w:line="56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502.10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21.0%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较年初预算数增加215.98万元，增长75.5%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专项工作经费增加，如“栗子乡栗子社区养老服务站建设补助资金”、“栗子社区公共服务中心办公条件改造项目”、“栗子乡社区居家养老服务中心建设补助资金”、“涉农公益性岗位资金”等支出。</w:t>
      </w:r>
    </w:p>
    <w:p>
      <w:pPr>
        <w:pStyle w:val="9"/>
        <w:keepNext w:val="0"/>
        <w:keepLines w:val="0"/>
        <w:pageBreakBefore w:val="0"/>
        <w:widowControl w:val="0"/>
        <w:kinsoku/>
        <w:overflowPunct/>
        <w:topLinePunct w:val="0"/>
        <w:autoSpaceDN/>
        <w:bidi w:val="0"/>
        <w:adjustRightInd/>
        <w:snapToGrid w:val="0"/>
        <w:spacing w:before="0" w:beforeAutospacing="0" w:after="0" w:afterAutospacing="0" w:line="56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51.41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较年初预算数增加1.76万元，增长3.5%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年中人员增减变动，导致医疗保障等支出增加。</w:t>
      </w:r>
    </w:p>
    <w:p>
      <w:pPr>
        <w:pStyle w:val="9"/>
        <w:keepNext w:val="0"/>
        <w:keepLines w:val="0"/>
        <w:pageBreakBefore w:val="0"/>
        <w:widowControl w:val="0"/>
        <w:kinsoku/>
        <w:overflowPunct/>
        <w:topLinePunct w:val="0"/>
        <w:autoSpaceDN/>
        <w:bidi w:val="0"/>
        <w:adjustRightInd/>
        <w:snapToGrid w:val="0"/>
        <w:spacing w:before="0" w:beforeAutospacing="0" w:after="0" w:afterAutospacing="0" w:line="56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6</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节能环保支出</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用于节水型部门创建。</w:t>
      </w:r>
    </w:p>
    <w:p>
      <w:pPr>
        <w:pStyle w:val="9"/>
        <w:keepNext w:val="0"/>
        <w:keepLines w:val="0"/>
        <w:pageBreakBefore w:val="0"/>
        <w:widowControl w:val="0"/>
        <w:kinsoku/>
        <w:overflowPunct/>
        <w:topLinePunct w:val="0"/>
        <w:autoSpaceDN/>
        <w:bidi w:val="0"/>
        <w:adjustRightInd/>
        <w:snapToGrid w:val="0"/>
        <w:spacing w:before="0" w:beforeAutospacing="0" w:after="0" w:afterAutospacing="0" w:line="560"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7</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62.62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较年初预算数增加18.62万元，增长42.3%</w:t>
      </w:r>
      <w:r>
        <w:rPr>
          <w:rFonts w:ascii="方正仿宋_GBK" w:hAnsi="方正仿宋_GBK" w:eastAsia="方正仿宋_GBK" w:cs="方正仿宋_GBK"/>
          <w:sz w:val="32"/>
          <w:szCs w:val="32"/>
          <w:shd w:val="clear" w:color="auto" w:fill="FFFFFF"/>
        </w:rPr>
        <w:t>，主要原因是中途增加人员及补发职工以前年度绩效增加支出。</w:t>
      </w:r>
    </w:p>
    <w:p>
      <w:pPr>
        <w:pStyle w:val="9"/>
        <w:keepNext w:val="0"/>
        <w:keepLines w:val="0"/>
        <w:pageBreakBefore w:val="0"/>
        <w:widowControl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8</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1046.91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43.8%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较年初预算数增加747.83万元，增长250.0%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专项工作经费增加，如“栗子乡人行便道项目”、“林业有害生物防治”、“栗子乡森林生态效益补偿”、“乡村治理示范创建项目”“栗子乡南江村人居环境整治”、“栗子乡南江村边坡整治项目”、“栗子乡有机农业应用示范基地配套建设项目”、“脱贫人口到户产业奖补资金”、“栗子乡蕉芋加工厂污水处理设施项目”、“栗子乡2024年新农人培育提升工程”等。</w:t>
      </w:r>
    </w:p>
    <w:p>
      <w:pPr>
        <w:pStyle w:val="9"/>
        <w:keepNext w:val="0"/>
        <w:keepLines w:val="0"/>
        <w:pageBreakBefore w:val="0"/>
        <w:widowControl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9</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交通运输支出</w:t>
      </w:r>
      <w:r>
        <w:rPr>
          <w:rFonts w:hint="default" w:ascii="Times New Roman" w:hAnsi="Times New Roman" w:eastAsia="方正仿宋_GBK"/>
          <w:sz w:val="32"/>
          <w:szCs w:val="32"/>
          <w:shd w:val="clear" w:color="auto" w:fill="FFFFFF"/>
        </w:rPr>
        <w:t>23.80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较年初预算数增加11.60万元，增长95.1%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专项工作经费增加，如“栗子乡乡村公路增设错车道工程”、“栗子乡公路养护资金”。</w:t>
      </w:r>
    </w:p>
    <w:p>
      <w:pPr>
        <w:pStyle w:val="9"/>
        <w:keepNext w:val="0"/>
        <w:keepLines w:val="0"/>
        <w:pageBreakBefore w:val="0"/>
        <w:widowControl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10</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rPr>
        <w:t>自然资源海洋气象等支出</w:t>
      </w:r>
      <w:r>
        <w:rPr>
          <w:rFonts w:hint="default" w:ascii="Times New Roman" w:hAnsi="Times New Roman" w:eastAsia="方正仿宋_GBK"/>
          <w:sz w:val="32"/>
          <w:szCs w:val="32"/>
          <w:shd w:val="clear" w:color="auto" w:fill="FFFFFF"/>
        </w:rPr>
        <w:t>17.00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较年初预算数增加17.00万元，增长100.0%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专项工作经费增加，如“林业有害生物防治项目”。</w:t>
      </w:r>
    </w:p>
    <w:p>
      <w:pPr>
        <w:keepNext w:val="0"/>
        <w:keepLines w:val="0"/>
        <w:pageBreakBefore w:val="0"/>
        <w:widowControl w:val="0"/>
        <w:kinsoku/>
        <w:overflowPunct/>
        <w:topLinePunct w:val="0"/>
        <w:autoSpaceDN/>
        <w:bidi w:val="0"/>
        <w:adjustRightInd/>
        <w:spacing w:line="56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11</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50.07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较年初预算数增加1.99万元，增长4.1%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年中人员增减变动，住房公积金支出增加。</w:t>
      </w:r>
    </w:p>
    <w:p>
      <w:pPr>
        <w:keepNext w:val="0"/>
        <w:keepLines w:val="0"/>
        <w:pageBreakBefore w:val="0"/>
        <w:widowControl w:val="0"/>
        <w:kinsoku/>
        <w:overflowPunct/>
        <w:topLinePunct w:val="0"/>
        <w:autoSpaceDN/>
        <w:bidi w:val="0"/>
        <w:adjustRightInd/>
        <w:spacing w:line="56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12</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21.71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较年初预算数增加11.71万元，增长117.1%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专项工作经费增加，如“中央自然灾害救灾资金”、“市级自然灾害救灾补助资金”、“森林防灭火物资采购项目”等支出。</w:t>
      </w:r>
    </w:p>
    <w:p>
      <w:pPr>
        <w:pStyle w:val="9"/>
        <w:keepNext w:val="0"/>
        <w:keepLines w:val="0"/>
        <w:pageBreakBefore w:val="0"/>
        <w:widowControl w:val="0"/>
        <w:kinsoku/>
        <w:overflowPunct/>
        <w:topLinePunct w:val="0"/>
        <w:autoSpaceDN/>
        <w:bidi w:val="0"/>
        <w:adjustRightInd/>
        <w:snapToGrid w:val="0"/>
        <w:spacing w:before="0" w:beforeAutospacing="0" w:after="0" w:afterAutospacing="0" w:line="560" w:lineRule="exact"/>
        <w:ind w:firstLine="641" w:firstLineChars="200"/>
        <w:jc w:val="both"/>
        <w:rPr>
          <w:rFonts w:hint="default"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5.35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与2023年度相比，增加4.10万元，增长328.0%</w:t>
      </w:r>
      <w:r>
        <w:rPr>
          <w:rFonts w:ascii="方正仿宋_GBK" w:hAnsi="方正仿宋_GBK" w:eastAsia="方正仿宋_GBK" w:cs="方正仿宋_GBK"/>
          <w:sz w:val="32"/>
          <w:szCs w:val="32"/>
          <w:shd w:val="clear" w:color="auto" w:fill="FFFFFF"/>
        </w:rPr>
        <w:t>，主要原因是项目经费尾款未支付有结余</w:t>
      </w:r>
      <w:r>
        <w:rPr>
          <w:rFonts w:hint="eastAsia" w:ascii="方正仿宋_GBK" w:hAnsi="方正仿宋_GBK" w:eastAsia="方正仿宋_GBK" w:cs="方正仿宋_GBK"/>
          <w:sz w:val="32"/>
          <w:szCs w:val="32"/>
          <w:shd w:val="clear" w:color="auto" w:fill="FFFFFF"/>
          <w:lang w:val="en-US" w:eastAsia="zh-CN"/>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（四）一般公共预算财政拨款基本支出决算情况说明</w:t>
      </w:r>
    </w:p>
    <w:p>
      <w:pPr>
        <w:pStyle w:val="9"/>
        <w:keepNext w:val="0"/>
        <w:keepLines w:val="0"/>
        <w:pageBreakBefore w:val="0"/>
        <w:widowControl w:val="0"/>
        <w:kinsoku/>
        <w:overflowPunct/>
        <w:topLinePunct w:val="0"/>
        <w:autoSpaceDN/>
        <w:bidi w:val="0"/>
        <w:adjustRightInd/>
        <w:snapToGrid w:val="0"/>
        <w:spacing w:before="0" w:beforeAutospacing="0" w:after="0" w:afterAutospacing="0" w:line="560"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1317.30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9"/>
        <w:keepNext w:val="0"/>
        <w:keepLines w:val="0"/>
        <w:pageBreakBefore w:val="0"/>
        <w:widowControl w:val="0"/>
        <w:kinsoku/>
        <w:overflowPunct/>
        <w:topLinePunct w:val="0"/>
        <w:autoSpaceDN/>
        <w:bidi w:val="0"/>
        <w:adjustRightInd/>
        <w:snapToGrid w:val="0"/>
        <w:spacing w:before="0" w:beforeAutospacing="0" w:after="0" w:afterAutospacing="0" w:line="56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1137.61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与2023年度相比，增加46.99万元，增长4.3%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本年人员增减变化。</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基本工资、津贴补贴、社会保障缴费、其他工资福利待遇、对个人和家庭的补助等费用</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179.69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与2023年度相比，减少96.56万元，下降35.0%</w:t>
      </w:r>
      <w:r>
        <w:rPr>
          <w:rFonts w:ascii="方正仿宋_GBK" w:hAnsi="方正仿宋_GBK" w:eastAsia="方正仿宋_GBK" w:cs="方正仿宋_GBK"/>
          <w:sz w:val="32"/>
          <w:szCs w:val="32"/>
          <w:shd w:val="clear" w:color="auto" w:fill="FFFFFF"/>
        </w:rPr>
        <w:t>，主要原因是</w:t>
      </w:r>
      <w:bookmarkStart w:id="0" w:name="_Hlk145462689"/>
      <w:r>
        <w:rPr>
          <w:rFonts w:hint="eastAsia" w:ascii="方正仿宋_GBK" w:hAnsi="方正仿宋_GBK" w:eastAsia="方正仿宋_GBK" w:cs="方正仿宋_GBK"/>
          <w:sz w:val="32"/>
          <w:szCs w:val="32"/>
          <w:shd w:val="clear" w:color="auto" w:fill="FFFFFF"/>
        </w:rPr>
        <w:t>认真贯彻落实中央八项规定精神和厉行节约要求，按照只减不增的要求从严控制“三公”经费</w:t>
      </w:r>
      <w:bookmarkEnd w:id="0"/>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办公费、邮电费、差旅费、会议费、培训费、公务接待费、公务车辆运行维护费、其他商品和服务支出等费用。</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（五）政府性基金预算收支决算情况说明</w:t>
      </w:r>
    </w:p>
    <w:p>
      <w:pPr>
        <w:pStyle w:val="9"/>
        <w:keepNext w:val="0"/>
        <w:keepLines w:val="0"/>
        <w:pageBreakBefore w:val="0"/>
        <w:widowControl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1.58</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1.58</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96.06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与2023年度相比，减少480.83万元，下降83.4%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财政收紧，导致本年政府性基金预算收入减少。</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96.06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与2023年度相比，减少484.25万元，下降83.5%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财政收紧，导致本年政府性基金预算收入减少。</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（六）国有资本经营预算财政拨款支出决算情况说明</w:t>
      </w:r>
    </w:p>
    <w:p>
      <w:pPr>
        <w:pStyle w:val="9"/>
        <w:keepNext w:val="0"/>
        <w:keepLines w:val="0"/>
        <w:pageBreakBefore w:val="0"/>
        <w:widowControl w:val="0"/>
        <w:kinsoku/>
        <w:overflowPunct/>
        <w:topLinePunct w:val="0"/>
        <w:autoSpaceDN/>
        <w:bidi w:val="0"/>
        <w:adjustRightInd/>
        <w:snapToGrid w:val="0"/>
        <w:spacing w:before="0" w:beforeAutospacing="0" w:after="0" w:afterAutospacing="0" w:line="560"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本部门</w:t>
      </w:r>
      <w:r>
        <w:rPr>
          <w:rFonts w:hint="default" w:ascii="方正仿宋_GBK" w:hAnsi="方正仿宋_GBK" w:eastAsia="方正仿宋_GBK" w:cs="方正仿宋_GBK"/>
          <w:sz w:val="32"/>
          <w:szCs w:val="32"/>
          <w:shd w:val="clear" w:color="auto" w:fill="FFFFFF"/>
          <w:lang w:val="en-US" w:eastAsia="zh-CN"/>
        </w:rPr>
        <w:t>2024</w:t>
      </w:r>
      <w:r>
        <w:rPr>
          <w:rFonts w:hint="eastAsia" w:ascii="方正仿宋_GBK" w:hAnsi="方正仿宋_GBK" w:eastAsia="方正仿宋_GBK" w:cs="方正仿宋_GBK"/>
          <w:sz w:val="32"/>
          <w:szCs w:val="32"/>
          <w:shd w:val="clear" w:color="auto" w:fill="FFFFFF"/>
          <w:lang w:val="en-US" w:eastAsia="zh-CN"/>
        </w:rPr>
        <w:t>年度无国有资本经营预算财政拨款支出。</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三、</w:t>
      </w:r>
      <w:r>
        <w:rPr>
          <w:rStyle w:val="13"/>
          <w:rFonts w:hint="eastAsia" w:ascii="方正黑体_GBK" w:hAnsi="方正黑体_GBK" w:eastAsia="方正黑体_GBK" w:cs="方正黑体_GBK"/>
          <w:b w:val="0"/>
          <w:bCs/>
          <w:sz w:val="32"/>
          <w:szCs w:val="32"/>
          <w:shd w:val="clear" w:color="auto" w:fill="FFFFFF"/>
          <w:lang w:eastAsia="zh-CN"/>
        </w:rPr>
        <w:t>财政拨款</w:t>
      </w:r>
      <w:r>
        <w:rPr>
          <w:rStyle w:val="13"/>
          <w:rFonts w:hint="eastAsia" w:ascii="方正黑体_GBK" w:hAnsi="方正黑体_GBK" w:eastAsia="方正黑体_GBK" w:cs="方正黑体_GBK"/>
          <w:b w:val="0"/>
          <w:bCs/>
          <w:sz w:val="32"/>
          <w:szCs w:val="32"/>
          <w:shd w:val="clear" w:color="auto" w:fill="FFFFFF"/>
        </w:rPr>
        <w:t>“三公”经费情况说明</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（一）“三公”经费支出总体情况说明</w:t>
      </w:r>
    </w:p>
    <w:p>
      <w:pPr>
        <w:pStyle w:val="9"/>
        <w:keepNext w:val="0"/>
        <w:keepLines w:val="0"/>
        <w:pageBreakBefore w:val="0"/>
        <w:widowControl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16.30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较年初预算数增加0.30万元，增长1.9%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年初未预算该科目，但本年实际存在开展招商引资等工作。</w:t>
      </w:r>
      <w:r>
        <w:rPr>
          <w:rFonts w:hint="default" w:ascii="Times New Roman" w:hAnsi="Times New Roman" w:eastAsia="方正仿宋_GBK"/>
          <w:sz w:val="32"/>
          <w:szCs w:val="32"/>
          <w:shd w:val="clear" w:color="auto" w:fill="FFFFFF"/>
        </w:rPr>
        <w:t>较上年支出数减少11.35万元，下降41.1%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认真贯彻落实中央八项规定精神和厉行节约要求，按照只减不增的要求从严控制“三公”经费。</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rPr>
      </w:pPr>
      <w:r>
        <w:rPr>
          <w:rStyle w:val="13"/>
          <w:rFonts w:hint="eastAsia" w:ascii="方正楷体_GBK" w:hAnsi="方正楷体_GBK" w:eastAsia="方正楷体_GBK" w:cs="方正楷体_GBK"/>
          <w:b w:val="0"/>
          <w:bCs/>
          <w:sz w:val="32"/>
          <w:szCs w:val="32"/>
          <w:shd w:val="clear" w:color="auto" w:fill="FFFFFF"/>
        </w:rPr>
        <w:t>（二）“三公”经费分项支出情况</w:t>
      </w:r>
    </w:p>
    <w:p>
      <w:pPr>
        <w:pStyle w:val="9"/>
        <w:keepNext w:val="0"/>
        <w:keepLines w:val="0"/>
        <w:pageBreakBefore w:val="0"/>
        <w:widowControl w:val="0"/>
        <w:kinsoku/>
        <w:overflowPunct/>
        <w:topLinePunct w:val="0"/>
        <w:autoSpaceDN/>
        <w:bidi w:val="0"/>
        <w:adjustRightInd/>
        <w:snapToGrid w:val="0"/>
        <w:spacing w:before="0" w:beforeAutospacing="0" w:after="0" w:afterAutospacing="0" w:line="56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2024年度本部门因公出国（境）费用</w:t>
      </w:r>
      <w:r>
        <w:rPr>
          <w:rFonts w:hint="eastAsia" w:ascii="Times New Roman" w:hAnsi="Times New Roman" w:eastAsia="方正仿宋_GBK"/>
          <w:sz w:val="32"/>
          <w:szCs w:val="32"/>
          <w:shd w:val="clear" w:color="auto" w:fill="FFFFFF"/>
          <w:lang w:val="en-US" w:eastAsia="zh-CN"/>
        </w:rPr>
        <w:t>0.00</w:t>
      </w:r>
      <w:r>
        <w:rPr>
          <w:rFonts w:hint="eastAsia" w:ascii="方正仿宋_GBK" w:hAnsi="方正仿宋_GBK" w:eastAsia="方正仿宋_GBK" w:cs="方正仿宋_GBK"/>
          <w:sz w:val="32"/>
          <w:szCs w:val="32"/>
          <w:shd w:val="clear" w:color="auto" w:fill="FFFFFF"/>
          <w:lang w:val="en-US" w:eastAsia="zh-CN"/>
        </w:rPr>
        <w:t>万元，费用支出较年初预算数无增减，较上年支出数无增减。</w:t>
      </w:r>
    </w:p>
    <w:p>
      <w:pPr>
        <w:pStyle w:val="9"/>
        <w:keepNext w:val="0"/>
        <w:keepLines w:val="0"/>
        <w:pageBreakBefore w:val="0"/>
        <w:widowControl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公务用车购置费</w:t>
      </w:r>
      <w:r>
        <w:rPr>
          <w:rFonts w:hint="eastAsia" w:ascii="Times New Roman" w:hAnsi="Times New Roman" w:eastAsia="方正仿宋_GBK"/>
          <w:sz w:val="32"/>
          <w:szCs w:val="32"/>
          <w:shd w:val="clear" w:color="auto" w:fill="FFFFFF"/>
          <w:lang w:val="en-US" w:eastAsia="zh-CN"/>
        </w:rPr>
        <w:t>0.00</w:t>
      </w:r>
      <w:r>
        <w:rPr>
          <w:rFonts w:hint="eastAsia" w:ascii="方正仿宋_GBK" w:hAnsi="方正仿宋_GBK" w:eastAsia="方正仿宋_GBK" w:cs="方正仿宋_GBK"/>
          <w:sz w:val="32"/>
          <w:szCs w:val="32"/>
          <w:shd w:val="clear" w:color="auto" w:fill="FFFFFF"/>
          <w:lang w:val="en-US" w:eastAsia="zh-CN"/>
        </w:rPr>
        <w:t>万元，费用支出较年初预算数无增减，较上年支出数无增减。</w:t>
      </w:r>
    </w:p>
    <w:p>
      <w:pPr>
        <w:pStyle w:val="9"/>
        <w:keepNext w:val="0"/>
        <w:keepLines w:val="0"/>
        <w:pageBreakBefore w:val="0"/>
        <w:widowControl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12.39</w:t>
      </w:r>
      <w:r>
        <w:rPr>
          <w:rFonts w:ascii="方正仿宋_GBK" w:hAnsi="方正仿宋_GBK" w:eastAsia="方正仿宋_GBK" w:cs="方正仿宋_GBK"/>
          <w:sz w:val="32"/>
          <w:szCs w:val="32"/>
          <w:shd w:val="clear" w:color="auto" w:fill="FFFFFF"/>
        </w:rPr>
        <w:t>万元，主要</w:t>
      </w:r>
      <w:r>
        <w:rPr>
          <w:rFonts w:hint="eastAsia" w:ascii="方正仿宋_GBK" w:hAnsi="方正仿宋_GBK" w:eastAsia="方正仿宋_GBK" w:cs="方正仿宋_GBK"/>
          <w:sz w:val="32"/>
          <w:szCs w:val="32"/>
          <w:shd w:val="clear" w:color="auto" w:fill="FFFFFF"/>
        </w:rPr>
        <w:t>用于因公出行、项目检查等工作所需车辆的燃料费、维修费、过桥过路费、保险费等</w:t>
      </w:r>
      <w:r>
        <w:rPr>
          <w:rFonts w:hint="eastAsia" w:ascii="方正仿宋_GBK" w:hAnsi="方正仿宋_GBK" w:eastAsia="方正仿宋_GBK" w:cs="方正仿宋_GBK"/>
          <w:sz w:val="32"/>
          <w:szCs w:val="32"/>
          <w:shd w:val="clear" w:color="auto" w:fill="FFFFFF"/>
          <w:lang w:val="en-US" w:eastAsia="zh-CN"/>
        </w:rPr>
        <w:t>支出。</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较年初预算数减少3.61万元，下降22.6%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认真贯彻落实中央八项规定精神和厉行节约要求，按照只减不增的要求从严控制</w:t>
      </w:r>
      <w:r>
        <w:rPr>
          <w:rFonts w:hint="eastAsia" w:ascii="方正仿宋_GBK" w:hAnsi="方正仿宋_GBK" w:eastAsia="方正仿宋_GBK" w:cs="方正仿宋_GBK"/>
          <w:sz w:val="32"/>
          <w:szCs w:val="32"/>
          <w:shd w:val="clear" w:color="auto" w:fill="FFFFFF"/>
          <w:lang w:val="en-US" w:eastAsia="zh-CN"/>
        </w:rPr>
        <w:t>公务用车运行维护费</w:t>
      </w:r>
      <w:r>
        <w:rPr>
          <w:rFonts w:hint="eastAsia"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较上年支出数减少10.99万元，下降47.0%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认真贯彻落实中央八项规定精神和厉行节约要求，按照只减不增的要求从严控制</w:t>
      </w:r>
      <w:r>
        <w:rPr>
          <w:rFonts w:hint="eastAsia" w:ascii="方正仿宋_GBK" w:hAnsi="方正仿宋_GBK" w:eastAsia="方正仿宋_GBK" w:cs="方正仿宋_GBK"/>
          <w:sz w:val="32"/>
          <w:szCs w:val="32"/>
          <w:shd w:val="clear" w:color="auto" w:fill="FFFFFF"/>
          <w:lang w:val="en-US" w:eastAsia="zh-CN"/>
        </w:rPr>
        <w:t>公务用车运行维护费</w:t>
      </w:r>
      <w:r>
        <w:rPr>
          <w:rFonts w:hint="eastAsia" w:ascii="方正仿宋_GBK" w:hAnsi="方正仿宋_GBK" w:eastAsia="方正仿宋_GBK" w:cs="方正仿宋_GBK"/>
          <w:sz w:val="32"/>
          <w:szCs w:val="32"/>
          <w:shd w:val="clear" w:color="auto" w:fill="FFFFFF"/>
        </w:rPr>
        <w:t>。</w:t>
      </w:r>
    </w:p>
    <w:p>
      <w:pPr>
        <w:pStyle w:val="9"/>
        <w:keepNext w:val="0"/>
        <w:keepLines w:val="0"/>
        <w:pageBreakBefore w:val="0"/>
        <w:widowControl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3.91</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rPr>
        <w:t>招商引资工作、接受相关部门检查项目，指导工作。</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较年初预算数增加3.91万元，增长100.0%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年初未预算该科目，但本年实际存在开展招商引资等工作。</w:t>
      </w:r>
      <w:r>
        <w:rPr>
          <w:rFonts w:hint="default" w:ascii="Times New Roman" w:hAnsi="Times New Roman" w:eastAsia="方正仿宋_GBK"/>
          <w:sz w:val="32"/>
          <w:szCs w:val="32"/>
          <w:shd w:val="clear" w:color="auto" w:fill="FFFFFF"/>
        </w:rPr>
        <w:t>较上年支出数减少0.36万元，下降8.4%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严格接待审批管理，接待批次减少。</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（三）“三公”经费实物量情况</w:t>
      </w:r>
    </w:p>
    <w:p>
      <w:pPr>
        <w:pStyle w:val="9"/>
        <w:keepNext w:val="0"/>
        <w:keepLines w:val="0"/>
        <w:pageBreakBefore w:val="0"/>
        <w:widowControl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180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540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72.35</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4.13</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四、其他需要说明的事项</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default"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（一）财政拨款会议费、培训费和差旅费情况说明</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与2023年度相比，增加0.08万元，增长100.0%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上一年度未通过会议费经济科目核算，本年度的会议费主要用于开展</w:t>
      </w:r>
      <w:r>
        <w:rPr>
          <w:rFonts w:hint="default" w:ascii="方正仿宋_GBK" w:hAnsi="方正仿宋_GBK" w:eastAsia="方正仿宋_GBK" w:cs="方正仿宋_GBK"/>
          <w:sz w:val="32"/>
          <w:szCs w:val="32"/>
          <w:shd w:val="clear" w:color="auto" w:fill="FFFFFF"/>
          <w:lang w:eastAsia="zh-CN"/>
          <w:woUserID w:val="1"/>
        </w:rPr>
        <w:t>乡</w:t>
      </w:r>
      <w:r>
        <w:rPr>
          <w:rFonts w:hint="eastAsia" w:ascii="方正仿宋_GBK" w:hAnsi="方正仿宋_GBK" w:eastAsia="方正仿宋_GBK" w:cs="方正仿宋_GBK"/>
          <w:sz w:val="32"/>
          <w:szCs w:val="32"/>
          <w:shd w:val="clear" w:color="auto" w:fill="FFFFFF"/>
          <w:lang w:val="en-US" w:eastAsia="zh-CN"/>
        </w:rPr>
        <w:t>人</w:t>
      </w:r>
      <w:r>
        <w:rPr>
          <w:rFonts w:hint="default" w:ascii="方正仿宋_GBK" w:hAnsi="方正仿宋_GBK" w:eastAsia="方正仿宋_GBK" w:cs="方正仿宋_GBK"/>
          <w:sz w:val="32"/>
          <w:szCs w:val="32"/>
          <w:shd w:val="clear" w:color="auto" w:fill="FFFFFF"/>
          <w:lang w:eastAsia="zh-CN"/>
          <w:woUserID w:val="1"/>
        </w:rPr>
        <w:t>民代表大</w:t>
      </w:r>
      <w:r>
        <w:rPr>
          <w:rFonts w:hint="eastAsia" w:ascii="方正仿宋_GBK" w:hAnsi="方正仿宋_GBK" w:eastAsia="方正仿宋_GBK" w:cs="方正仿宋_GBK"/>
          <w:sz w:val="32"/>
          <w:szCs w:val="32"/>
          <w:shd w:val="clear" w:color="auto" w:fill="FFFFFF"/>
          <w:lang w:val="en-US" w:eastAsia="zh-CN"/>
        </w:rPr>
        <w:t>会的会议支出。</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2.71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与2023年度相比，增加2.71万元，增长100.0%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上一年度未通过培训费经济科目核算，本年度的培训费主要用于选调生培训、专技人员继续教育培训、农业农村部乡村振兴培训等产生的交通、住宿费等。</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10.55</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与2023年度相比，减少15.10万元，下降58.9%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落实基层减负政策，有关会议、培训减少，出差次数减少。</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（二）机关运行经费情况说明</w:t>
      </w:r>
    </w:p>
    <w:p>
      <w:pPr>
        <w:pStyle w:val="9"/>
        <w:keepNext w:val="0"/>
        <w:keepLines w:val="0"/>
        <w:pageBreakBefore w:val="0"/>
        <w:widowControl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机关运行经费支出</w:t>
      </w:r>
      <w:r>
        <w:rPr>
          <w:rFonts w:hint="default" w:ascii="Times New Roman" w:hAnsi="Times New Roman" w:eastAsia="方正仿宋_GBK"/>
          <w:sz w:val="32"/>
          <w:szCs w:val="32"/>
          <w:shd w:val="clear" w:color="auto" w:fill="FFFFFF"/>
        </w:rPr>
        <w:t>60.22</w:t>
      </w:r>
      <w:r>
        <w:rPr>
          <w:rFonts w:ascii="方正仿宋_GBK" w:hAnsi="方正仿宋_GBK" w:eastAsia="方正仿宋_GBK" w:cs="方正仿宋_GBK"/>
          <w:sz w:val="32"/>
          <w:szCs w:val="32"/>
          <w:shd w:val="clear" w:color="auto" w:fill="FFFFFF"/>
        </w:rPr>
        <w:t>万元，机关运行经费主要用于开支</w:t>
      </w:r>
      <w:r>
        <w:rPr>
          <w:rFonts w:hint="eastAsia" w:ascii="宋体" w:hAnsi="宋体" w:eastAsia="宋体" w:cs="宋体"/>
          <w:i w:val="0"/>
          <w:iCs w:val="0"/>
          <w:caps w:val="0"/>
          <w:color w:val="333333"/>
          <w:spacing w:val="0"/>
          <w:sz w:val="28"/>
          <w:szCs w:val="28"/>
          <w:shd w:val="clear" w:fill="FFFFFF"/>
        </w:rPr>
        <w:t>用</w:t>
      </w:r>
      <w:r>
        <w:rPr>
          <w:rFonts w:hint="eastAsia" w:ascii="方正仿宋_GBK" w:hAnsi="方正仿宋_GBK" w:eastAsia="方正仿宋_GBK" w:cs="方正仿宋_GBK"/>
          <w:sz w:val="32"/>
          <w:szCs w:val="32"/>
          <w:shd w:val="clear" w:color="auto" w:fill="FFFFFF"/>
        </w:rPr>
        <w:t>办公费、印刷费、手续费、日常维护费、水电费、物管费、邮电费、差旅费、租赁费、公务用车运行维护等。</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较上年支出数减少154.00万元，下降71.9%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认真贯彻落实中央八项规定精神和厉行节约要求，按照只减不增的要求从严控制“三公”经费</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（三）国有资产占用情况说明</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（四）政府采购支出情况说明</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638" w:leftChars="266" w:firstLine="0" w:firstLineChars="0"/>
        <w:textAlignment w:val="auto"/>
        <w:rPr>
          <w:rStyle w:val="13"/>
          <w:rFonts w:hint="eastAsia" w:ascii="方正黑体_GBK" w:hAnsi="方正黑体_GBK" w:eastAsia="方正黑体_GBK" w:cs="方正黑体_GBK"/>
          <w:b w:val="0"/>
          <w:bCs/>
          <w:sz w:val="32"/>
          <w:szCs w:val="32"/>
          <w:shd w:val="clear" w:color="auto" w:fill="FFFFFF"/>
          <w:lang w:val="en-US" w:eastAsia="zh-CN" w:bidi="ar-SA"/>
        </w:rPr>
      </w:pPr>
      <w:r>
        <w:rPr>
          <w:rFonts w:ascii="方正仿宋_GBK" w:hAnsi="方正仿宋_GBK" w:eastAsia="方正仿宋_GBK" w:cs="方正仿宋_GBK"/>
          <w:sz w:val="32"/>
          <w:szCs w:val="32"/>
          <w:shd w:val="clear" w:color="auto" w:fill="FFFFFF"/>
        </w:rPr>
        <w:t>2024年度我</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未发生政府采购事项，无相关经费支出</w:t>
      </w:r>
      <w:r>
        <w:rPr>
          <w:rFonts w:hint="eastAsia" w:ascii="方正仿宋_GBK" w:hAnsi="方正仿宋_GBK" w:eastAsia="方正仿宋_GBK" w:cs="方正仿宋_GBK"/>
          <w:sz w:val="32"/>
          <w:szCs w:val="32"/>
          <w:shd w:val="clear" w:color="auto" w:fill="FFFFFF"/>
          <w:lang w:eastAsia="zh-CN"/>
        </w:rPr>
        <w:t>。</w:t>
      </w:r>
      <w:r>
        <w:rPr>
          <w:rStyle w:val="13"/>
          <w:rFonts w:hint="eastAsia" w:ascii="方正黑体_GBK" w:hAnsi="方正黑体_GBK" w:eastAsia="方正黑体_GBK" w:cs="方正黑体_GBK"/>
          <w:b w:val="0"/>
          <w:bCs/>
          <w:sz w:val="32"/>
          <w:szCs w:val="32"/>
          <w:shd w:val="clear" w:color="auto" w:fill="FFFFFF"/>
          <w:lang w:val="en-US" w:eastAsia="zh-CN" w:bidi="ar-SA"/>
        </w:rPr>
        <w:t>五、2024年度预算绩效管理情况说明</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（一）</w:t>
      </w:r>
      <w:r>
        <w:rPr>
          <w:rStyle w:val="13"/>
          <w:rFonts w:hint="eastAsia" w:ascii="方正楷体_GBK" w:hAnsi="方正楷体_GBK" w:eastAsia="方正楷体_GBK" w:cs="方正楷体_GBK"/>
          <w:b w:val="0"/>
          <w:bCs/>
          <w:sz w:val="32"/>
          <w:szCs w:val="32"/>
          <w:shd w:val="clear" w:color="auto" w:fill="FFFFFF"/>
          <w:lang w:eastAsia="zh-CN"/>
        </w:rPr>
        <w:t>部门</w:t>
      </w:r>
      <w:r>
        <w:rPr>
          <w:rStyle w:val="13"/>
          <w:rFonts w:hint="eastAsia" w:ascii="方正楷体_GBK" w:hAnsi="方正楷体_GBK" w:eastAsia="方正楷体_GBK" w:cs="方正楷体_GBK"/>
          <w:b w:val="0"/>
          <w:bCs/>
          <w:sz w:val="32"/>
          <w:szCs w:val="32"/>
          <w:shd w:val="clear" w:color="auto" w:fill="FFFFFF"/>
        </w:rPr>
        <w:t>自评情况</w:t>
      </w:r>
    </w:p>
    <w:p>
      <w:pPr>
        <w:pStyle w:val="15"/>
        <w:keepNext w:val="0"/>
        <w:keepLines w:val="0"/>
        <w:pageBreakBefore w:val="0"/>
        <w:widowControl w:val="0"/>
        <w:kinsoku/>
        <w:overflowPunct/>
        <w:topLinePunct w:val="0"/>
        <w:autoSpaceDN/>
        <w:bidi w:val="0"/>
        <w:adjustRightInd/>
        <w:spacing w:before="0" w:beforeAutospacing="0" w:after="0" w:afterAutospacing="0" w:line="560" w:lineRule="exact"/>
        <w:ind w:firstLine="640" w:firstLineChars="200"/>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rPr>
        <w:t>根据预算绩效管理要求，</w:t>
      </w:r>
      <w:r>
        <w:rPr>
          <w:rFonts w:hint="eastAsia" w:ascii="方正仿宋_GBK" w:hAnsi="方正仿宋_GBK" w:eastAsia="方正仿宋_GBK" w:cs="方正仿宋_GBK"/>
          <w:sz w:val="32"/>
          <w:szCs w:val="32"/>
          <w:shd w:val="clear" w:color="auto" w:fill="FFFFFF"/>
        </w:rPr>
        <w:t>我部门对部门整体</w:t>
      </w:r>
      <w:r>
        <w:rPr>
          <w:rFonts w:hint="eastAsia" w:ascii="方正仿宋_GBK" w:hAnsi="方正仿宋_GBK" w:eastAsia="方正仿宋_GBK" w:cs="方正仿宋_GBK"/>
          <w:kern w:val="0"/>
          <w:sz w:val="32"/>
          <w:szCs w:val="32"/>
          <w:shd w:val="clear" w:fill="FFFFFF"/>
          <w:lang w:val="en-US" w:eastAsia="zh-CN"/>
        </w:rPr>
        <w:t>和86</w:t>
      </w:r>
      <w:r>
        <w:rPr>
          <w:rFonts w:hint="eastAsia" w:ascii="方正仿宋_GBK" w:hAnsi="方正仿宋_GBK" w:eastAsia="方正仿宋_GBK" w:cs="方正仿宋_GBK"/>
          <w:kern w:val="0"/>
          <w:sz w:val="32"/>
          <w:szCs w:val="32"/>
          <w:shd w:val="clear" w:fill="FFFFFF"/>
        </w:rPr>
        <w:t>个项目开展了绩效自评，涉及财政拨款项目支出资金</w:t>
      </w:r>
      <w:r>
        <w:rPr>
          <w:rFonts w:hint="eastAsia" w:ascii="方正仿宋_GBK" w:hAnsi="方正仿宋_GBK" w:eastAsia="方正仿宋_GBK" w:cs="方正仿宋_GBK"/>
          <w:kern w:val="0"/>
          <w:sz w:val="32"/>
          <w:szCs w:val="32"/>
          <w:shd w:val="clear" w:fill="FFFFFF"/>
          <w:lang w:val="en-US" w:eastAsia="zh-CN"/>
        </w:rPr>
        <w:t>1479.21</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w:t>
      </w:r>
    </w:p>
    <w:tbl>
      <w:tblPr>
        <w:tblStyle w:val="10"/>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11"/>
        <w:gridCol w:w="1514"/>
        <w:gridCol w:w="487"/>
        <w:gridCol w:w="691"/>
        <w:gridCol w:w="555"/>
        <w:gridCol w:w="655"/>
        <w:gridCol w:w="657"/>
        <w:gridCol w:w="655"/>
        <w:gridCol w:w="487"/>
        <w:gridCol w:w="623"/>
        <w:gridCol w:w="5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jc w:val="center"/>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jc w:val="center"/>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overflowPunct/>
              <w:topLinePunct w:val="0"/>
              <w:autoSpaceDN/>
              <w:bidi w:val="0"/>
              <w:adjustRightInd/>
              <w:spacing w:line="560" w:lineRule="exact"/>
              <w:jc w:val="center"/>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jc w:val="center"/>
        </w:trPr>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丰都县栗子乡人民政府整体监控</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50023000024P000084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96.97</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overflowPunct/>
              <w:topLinePunct w:val="0"/>
              <w:autoSpaceDN/>
              <w:bidi w:val="0"/>
              <w:adjustRightInd/>
              <w:spacing w:line="560" w:lineRule="exact"/>
              <w:jc w:val="center"/>
              <w:rPr>
                <w:rFonts w:hint="eastAsia" w:ascii="宋体" w:hAnsi="宋体" w:eastAsia="宋体" w:cs="宋体"/>
                <w:b/>
                <w:bCs/>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N/>
              <w:bidi w:val="0"/>
              <w:adjustRightInd/>
              <w:spacing w:line="56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jc w:val="center"/>
        </w:trPr>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927-丰都县栗子乡人民政府</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罗斌辉</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19123984050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jc w:val="center"/>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jc w:val="center"/>
        </w:trPr>
        <w:tc>
          <w:tcPr>
            <w:tcW w:w="3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overflowPunct/>
              <w:topLinePunct w:val="0"/>
              <w:autoSpaceDN/>
              <w:bidi w:val="0"/>
              <w:adjustRightInd/>
              <w:spacing w:line="560" w:lineRule="exact"/>
              <w:jc w:val="center"/>
              <w:rPr>
                <w:rFonts w:hint="eastAsia" w:ascii="宋体" w:hAnsi="宋体" w:eastAsia="宋体" w:cs="宋体"/>
                <w:i w:val="0"/>
                <w:iCs w:val="0"/>
                <w:color w:val="000000"/>
                <w:sz w:val="22"/>
                <w:szCs w:val="22"/>
                <w:u w:val="none"/>
              </w:rPr>
            </w:pP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jc w:val="center"/>
        </w:trPr>
        <w:tc>
          <w:tcPr>
            <w:tcW w:w="161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15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kinsoku/>
              <w:overflowPunct/>
              <w:topLinePunct w:val="0"/>
              <w:autoSpaceDN/>
              <w:bidi w:val="0"/>
              <w:adjustRightInd/>
              <w:spacing w:line="560" w:lineRule="exact"/>
              <w:jc w:val="center"/>
              <w:rPr>
                <w:rFonts w:hint="eastAsia" w:ascii="宋体" w:hAnsi="宋体" w:eastAsia="宋体" w:cs="宋体"/>
                <w:i w:val="0"/>
                <w:iCs w:val="0"/>
                <w:color w:val="000000"/>
                <w:sz w:val="22"/>
                <w:szCs w:val="22"/>
                <w:u w:val="none"/>
              </w:rPr>
            </w:pPr>
          </w:p>
        </w:tc>
        <w:tc>
          <w:tcPr>
            <w:tcW w:w="48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val="0"/>
              <w:kinsoku/>
              <w:overflowPunct/>
              <w:topLinePunct w:val="0"/>
              <w:autoSpaceDN/>
              <w:bidi w:val="0"/>
              <w:adjustRightInd/>
              <w:spacing w:line="560" w:lineRule="exact"/>
              <w:jc w:val="center"/>
              <w:rPr>
                <w:rFonts w:hint="eastAsia" w:ascii="宋体" w:hAnsi="宋体" w:eastAsia="宋体" w:cs="宋体"/>
                <w:i w:val="0"/>
                <w:iCs w:val="0"/>
                <w:color w:val="000000"/>
                <w:sz w:val="22"/>
                <w:szCs w:val="22"/>
                <w:u w:val="none"/>
              </w:rPr>
            </w:pPr>
          </w:p>
        </w:tc>
        <w:tc>
          <w:tcPr>
            <w:tcW w:w="6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16,401,026.04</w:t>
            </w:r>
          </w:p>
        </w:tc>
        <w:tc>
          <w:tcPr>
            <w:tcW w:w="5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val="0"/>
              <w:kinsoku/>
              <w:overflowPunct/>
              <w:topLinePunct w:val="0"/>
              <w:autoSpaceDN/>
              <w:bidi w:val="0"/>
              <w:adjustRightInd/>
              <w:spacing w:line="560" w:lineRule="exact"/>
              <w:jc w:val="center"/>
              <w:rPr>
                <w:rFonts w:hint="eastAsia" w:ascii="宋体" w:hAnsi="宋体" w:eastAsia="宋体" w:cs="宋体"/>
                <w:i w:val="0"/>
                <w:iCs w:val="0"/>
                <w:color w:val="000000"/>
                <w:sz w:val="22"/>
                <w:szCs w:val="22"/>
                <w:u w:val="none"/>
              </w:rPr>
            </w:pPr>
          </w:p>
        </w:tc>
        <w:tc>
          <w:tcPr>
            <w:tcW w:w="6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40,381,217.97</w:t>
            </w:r>
          </w:p>
        </w:tc>
        <w:tc>
          <w:tcPr>
            <w:tcW w:w="65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val="0"/>
              <w:kinsoku/>
              <w:overflowPunct/>
              <w:topLinePunct w:val="0"/>
              <w:autoSpaceDN/>
              <w:bidi w:val="0"/>
              <w:adjustRightInd/>
              <w:spacing w:line="560" w:lineRule="exact"/>
              <w:jc w:val="center"/>
              <w:rPr>
                <w:rFonts w:hint="eastAsia" w:ascii="宋体" w:hAnsi="宋体" w:eastAsia="宋体" w:cs="宋体"/>
                <w:i w:val="0"/>
                <w:iCs w:val="0"/>
                <w:color w:val="000000"/>
                <w:sz w:val="22"/>
                <w:szCs w:val="22"/>
                <w:u w:val="none"/>
              </w:rPr>
            </w:pPr>
          </w:p>
        </w:tc>
        <w:tc>
          <w:tcPr>
            <w:tcW w:w="65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28,153,292.22</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overflowPunct/>
              <w:topLinePunct w:val="0"/>
              <w:autoSpaceDN/>
              <w:bidi w:val="0"/>
              <w:adjustRightInd/>
              <w:spacing w:line="560" w:lineRule="exact"/>
              <w:jc w:val="center"/>
              <w:rPr>
                <w:rFonts w:hint="eastAsia" w:ascii="宋体" w:hAnsi="宋体" w:eastAsia="宋体" w:cs="宋体"/>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overflowPunct/>
              <w:topLinePunct w:val="0"/>
              <w:autoSpaceDN/>
              <w:bidi w:val="0"/>
              <w:adjustRightInd/>
              <w:spacing w:line="560" w:lineRule="exact"/>
              <w:jc w:val="center"/>
              <w:rPr>
                <w:rFonts w:hint="eastAsia" w:ascii="宋体" w:hAnsi="宋体" w:eastAsia="宋体" w:cs="宋体"/>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overflowPunct/>
              <w:topLinePunct w:val="0"/>
              <w:autoSpaceDN/>
              <w:bidi w:val="0"/>
              <w:adjustRightInd/>
              <w:spacing w:line="56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jc w:val="center"/>
        </w:trPr>
        <w:tc>
          <w:tcPr>
            <w:tcW w:w="161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5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kinsoku/>
              <w:overflowPunct/>
              <w:topLinePunct w:val="0"/>
              <w:autoSpaceDN/>
              <w:bidi w:val="0"/>
              <w:adjustRightInd/>
              <w:spacing w:line="560" w:lineRule="exact"/>
              <w:jc w:val="center"/>
              <w:rPr>
                <w:rFonts w:hint="eastAsia" w:ascii="宋体" w:hAnsi="宋体" w:eastAsia="宋体" w:cs="宋体"/>
                <w:i w:val="0"/>
                <w:iCs w:val="0"/>
                <w:color w:val="000000"/>
                <w:sz w:val="22"/>
                <w:szCs w:val="22"/>
                <w:u w:val="none"/>
              </w:rPr>
            </w:pPr>
          </w:p>
        </w:tc>
        <w:tc>
          <w:tcPr>
            <w:tcW w:w="48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val="0"/>
              <w:kinsoku/>
              <w:overflowPunct/>
              <w:topLinePunct w:val="0"/>
              <w:autoSpaceDN/>
              <w:bidi w:val="0"/>
              <w:adjustRightInd/>
              <w:spacing w:line="560" w:lineRule="exact"/>
              <w:jc w:val="center"/>
              <w:rPr>
                <w:rFonts w:hint="eastAsia" w:ascii="宋体" w:hAnsi="宋体" w:eastAsia="宋体" w:cs="宋体"/>
                <w:i w:val="0"/>
                <w:iCs w:val="0"/>
                <w:color w:val="000000"/>
                <w:sz w:val="22"/>
                <w:szCs w:val="22"/>
                <w:u w:val="none"/>
              </w:rPr>
            </w:pPr>
          </w:p>
        </w:tc>
        <w:tc>
          <w:tcPr>
            <w:tcW w:w="6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16,401,026.04</w:t>
            </w:r>
          </w:p>
        </w:tc>
        <w:tc>
          <w:tcPr>
            <w:tcW w:w="5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val="0"/>
              <w:kinsoku/>
              <w:overflowPunct/>
              <w:topLinePunct w:val="0"/>
              <w:autoSpaceDN/>
              <w:bidi w:val="0"/>
              <w:adjustRightInd/>
              <w:spacing w:line="560" w:lineRule="exact"/>
              <w:jc w:val="center"/>
              <w:rPr>
                <w:rFonts w:hint="eastAsia" w:ascii="宋体" w:hAnsi="宋体" w:eastAsia="宋体" w:cs="宋体"/>
                <w:i w:val="0"/>
                <w:iCs w:val="0"/>
                <w:color w:val="000000"/>
                <w:sz w:val="22"/>
                <w:szCs w:val="22"/>
                <w:u w:val="none"/>
              </w:rPr>
            </w:pPr>
          </w:p>
        </w:tc>
        <w:tc>
          <w:tcPr>
            <w:tcW w:w="6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40,381,217.97</w:t>
            </w:r>
          </w:p>
        </w:tc>
        <w:tc>
          <w:tcPr>
            <w:tcW w:w="65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val="0"/>
              <w:kinsoku/>
              <w:overflowPunct/>
              <w:topLinePunct w:val="0"/>
              <w:autoSpaceDN/>
              <w:bidi w:val="0"/>
              <w:adjustRightInd/>
              <w:spacing w:line="560" w:lineRule="exact"/>
              <w:jc w:val="center"/>
              <w:rPr>
                <w:rFonts w:hint="eastAsia" w:ascii="宋体" w:hAnsi="宋体" w:eastAsia="宋体" w:cs="宋体"/>
                <w:i w:val="0"/>
                <w:iCs w:val="0"/>
                <w:color w:val="000000"/>
                <w:sz w:val="22"/>
                <w:szCs w:val="22"/>
                <w:u w:val="none"/>
              </w:rPr>
            </w:pPr>
          </w:p>
        </w:tc>
        <w:tc>
          <w:tcPr>
            <w:tcW w:w="65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28,153,292.22</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69.72</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jc w:val="center"/>
        </w:trPr>
        <w:tc>
          <w:tcPr>
            <w:tcW w:w="161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15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kinsoku/>
              <w:overflowPunct/>
              <w:topLinePunct w:val="0"/>
              <w:autoSpaceDN/>
              <w:bidi w:val="0"/>
              <w:adjustRightInd/>
              <w:spacing w:line="560" w:lineRule="exact"/>
              <w:jc w:val="center"/>
              <w:rPr>
                <w:rFonts w:hint="eastAsia" w:ascii="宋体" w:hAnsi="宋体" w:eastAsia="宋体" w:cs="宋体"/>
                <w:i w:val="0"/>
                <w:iCs w:val="0"/>
                <w:color w:val="000000"/>
                <w:sz w:val="22"/>
                <w:szCs w:val="22"/>
                <w:u w:val="none"/>
              </w:rPr>
            </w:pPr>
          </w:p>
        </w:tc>
        <w:tc>
          <w:tcPr>
            <w:tcW w:w="48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val="0"/>
              <w:kinsoku/>
              <w:overflowPunct/>
              <w:topLinePunct w:val="0"/>
              <w:autoSpaceDN/>
              <w:bidi w:val="0"/>
              <w:adjustRightInd/>
              <w:spacing w:line="560" w:lineRule="exact"/>
              <w:jc w:val="center"/>
              <w:rPr>
                <w:rFonts w:hint="eastAsia" w:ascii="宋体" w:hAnsi="宋体" w:eastAsia="宋体" w:cs="宋体"/>
                <w:i w:val="0"/>
                <w:iCs w:val="0"/>
                <w:color w:val="000000"/>
                <w:sz w:val="22"/>
                <w:szCs w:val="22"/>
                <w:u w:val="none"/>
              </w:rPr>
            </w:pPr>
          </w:p>
        </w:tc>
        <w:tc>
          <w:tcPr>
            <w:tcW w:w="6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16,399,714.04</w:t>
            </w:r>
          </w:p>
        </w:tc>
        <w:tc>
          <w:tcPr>
            <w:tcW w:w="5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val="0"/>
              <w:kinsoku/>
              <w:overflowPunct/>
              <w:topLinePunct w:val="0"/>
              <w:autoSpaceDN/>
              <w:bidi w:val="0"/>
              <w:adjustRightInd/>
              <w:spacing w:line="560" w:lineRule="exact"/>
              <w:jc w:val="center"/>
              <w:rPr>
                <w:rFonts w:hint="eastAsia" w:ascii="宋体" w:hAnsi="宋体" w:eastAsia="宋体" w:cs="宋体"/>
                <w:i w:val="0"/>
                <w:iCs w:val="0"/>
                <w:color w:val="000000"/>
                <w:sz w:val="22"/>
                <w:szCs w:val="22"/>
                <w:u w:val="none"/>
              </w:rPr>
            </w:pPr>
          </w:p>
        </w:tc>
        <w:tc>
          <w:tcPr>
            <w:tcW w:w="6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39,304,890.97</w:t>
            </w:r>
          </w:p>
        </w:tc>
        <w:tc>
          <w:tcPr>
            <w:tcW w:w="657"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val="0"/>
              <w:kinsoku/>
              <w:overflowPunct/>
              <w:topLinePunct w:val="0"/>
              <w:autoSpaceDN/>
              <w:bidi w:val="0"/>
              <w:adjustRightInd/>
              <w:spacing w:line="560" w:lineRule="exact"/>
              <w:jc w:val="center"/>
              <w:rPr>
                <w:rFonts w:hint="eastAsia" w:ascii="宋体" w:hAnsi="宋体" w:eastAsia="宋体" w:cs="宋体"/>
                <w:i w:val="0"/>
                <w:iCs w:val="0"/>
                <w:color w:val="000000"/>
                <w:sz w:val="22"/>
                <w:szCs w:val="22"/>
                <w:u w:val="none"/>
              </w:rPr>
            </w:pPr>
          </w:p>
        </w:tc>
        <w:tc>
          <w:tcPr>
            <w:tcW w:w="65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27,192,665.22</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69.18</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overflowPunct/>
              <w:topLinePunct w:val="0"/>
              <w:autoSpaceDN/>
              <w:bidi w:val="0"/>
              <w:adjustRightInd/>
              <w:spacing w:line="560" w:lineRule="exact"/>
              <w:jc w:val="center"/>
              <w:rPr>
                <w:rFonts w:hint="eastAsia" w:ascii="宋体" w:hAnsi="宋体" w:eastAsia="宋体" w:cs="宋体"/>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overflowPunct/>
              <w:topLinePunct w:val="0"/>
              <w:autoSpaceDN/>
              <w:bidi w:val="0"/>
              <w:adjustRightInd/>
              <w:spacing w:line="56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jc w:val="center"/>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jc w:val="center"/>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52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6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00" w:hRule="atLeast"/>
          <w:jc w:val="center"/>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履行好纪检、宣传、统战、法制、武装、编制、人事、民宗侨台、综合协调、文秘、基层党建、群团等职责;做好经济发展规划、农村经营管理、经济社会统计、扶贫开发、乡村振兴、民政、教育、文化、体育、社会救助、残疾人事业、劳动就业、社会保障、卫生、计生、老龄事业发展、统筹负责信访、社会治安综合治理、防范和处理邪教、村镇规划、村镇建设、市政公用、市容环卫、环境保护、河长制、财政收支、预决算、总会计、惠农资金兑付、财政资金监督检查、绩效评价、村级财务管理、安全生产综合监管、应急管理、消防管理、人大主席团、行使依法授权或委托的行政执法权等工作。</w:t>
            </w:r>
          </w:p>
        </w:tc>
        <w:tc>
          <w:tcPr>
            <w:tcW w:w="25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履行好纪检、宣传、统战、法制、武装、编制、人事、民宗侨台、综合协调、文秘、基层党建、群团等职责;做好经济发展规划、农村经营管理、经济社会统计、扶贫开发、乡村振兴、民政、教育、文化、体育、社会救助、残疾人事业、劳动就业、社会保障、卫生、计生、老龄事业发展、统筹负责信访、社会治安综合治理、防范和处理邪教、村镇规划、村镇建设、市政公用、市容环卫、环境保护、河长制、财政收支、预决算、总会计、惠农资金兑付、财政资金监督检查、绩效评价、村级财务管理、安全生产综合监管、应急管理、消防管理、人大主席团、行使依法授权或委托的行政执法权等工作。</w:t>
            </w:r>
          </w:p>
        </w:tc>
        <w:tc>
          <w:tcPr>
            <w:tcW w:w="1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纪检、宣传、统战、法制、武装、编制、人事、民宗侨台、综合协调、文秘、基层党建、群团等职能职责;做好经济发展规划、农村经营管理、经济社会统计、扶贫开发、乡村振兴、民政、教育、文化、体育、社会救助、残疾人事业、劳动就业、社会保障、卫生、计生、老龄事业发展、统筹负责信访、社会治安综合治理、防范和处理邪教、村镇规划、村镇建设、市政公用、市容环卫、环境保护、河长制、财政收支、预决算、总会计、惠农资金兑付、财政资金监督检查、绩效评价、村级财务管理、安全生产综合监管、应急管理、消防管理、人大主席团、行使依法授权或委托的行政执法权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jc w:val="center"/>
        </w:trPr>
        <w:tc>
          <w:tcPr>
            <w:tcW w:w="852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jc w:val="center"/>
        </w:trPr>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jc w:val="center"/>
        </w:trPr>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安全生产综合监管、应急管理、消防管理、信访稳定、社会治安综合治理、村镇规划、村镇建设、市政公用、市容环卫、环境保护、河长制、财政工作等完成率</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overflowPunct/>
              <w:topLinePunct w:val="0"/>
              <w:autoSpaceDN/>
              <w:bidi w:val="0"/>
              <w:adjustRightInd/>
              <w:spacing w:line="56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jc w:val="center"/>
        </w:trPr>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居民安全感指数</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overflowPunct/>
              <w:topLinePunct w:val="0"/>
              <w:autoSpaceDN/>
              <w:bidi w:val="0"/>
              <w:adjustRightInd/>
              <w:spacing w:line="56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jc w:val="center"/>
        </w:trPr>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民政、教育、文化、体育、社会救助、残疾人事业、劳动就业、社会保障，统筹负责卫生、计生、老龄事业发展等工作群众满意度</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overflowPunct/>
              <w:topLinePunct w:val="0"/>
              <w:autoSpaceDN/>
              <w:bidi w:val="0"/>
              <w:adjustRightInd/>
              <w:spacing w:line="56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jc w:val="center"/>
        </w:trPr>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人口、居民消费与社会服务、卫生与健康可持续发展</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overflowPunct/>
              <w:topLinePunct w:val="0"/>
              <w:autoSpaceDN/>
              <w:bidi w:val="0"/>
              <w:adjustRightInd/>
              <w:spacing w:line="560" w:lineRule="exact"/>
              <w:jc w:val="center"/>
              <w:rPr>
                <w:rFonts w:hint="eastAsia" w:ascii="宋体" w:hAnsi="宋体" w:eastAsia="宋体" w:cs="宋体"/>
                <w:i w:val="0"/>
                <w:iCs w:val="0"/>
                <w:color w:val="000000"/>
                <w:sz w:val="22"/>
                <w:szCs w:val="22"/>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overflowPunct/>
              <w:topLinePunct w:val="0"/>
              <w:autoSpaceDN/>
              <w:bidi w:val="0"/>
              <w:adjustRightInd/>
              <w:spacing w:line="56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jc w:val="center"/>
        </w:trPr>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基础组织建设满意度</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overflowPunct/>
              <w:topLinePunct w:val="0"/>
              <w:autoSpaceDN/>
              <w:bidi w:val="0"/>
              <w:adjustRightInd/>
              <w:spacing w:line="56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jc w:val="center"/>
        </w:trPr>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overflowPunct/>
              <w:topLinePunct w:val="0"/>
              <w:autoSpaceDN/>
              <w:bidi w:val="0"/>
              <w:adjustRightInd/>
              <w:spacing w:line="560" w:lineRule="exact"/>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overflowPunct/>
              <w:topLinePunct w:val="0"/>
              <w:autoSpaceDN/>
              <w:bidi w:val="0"/>
              <w:adjustRightInd/>
              <w:spacing w:line="560" w:lineRule="exact"/>
              <w:jc w:val="center"/>
              <w:rPr>
                <w:rFonts w:hint="eastAsia" w:ascii="宋体" w:hAnsi="宋体" w:eastAsia="宋体" w:cs="宋体"/>
                <w:i w:val="0"/>
                <w:iCs w:val="0"/>
                <w:color w:val="000000"/>
                <w:sz w:val="22"/>
                <w:szCs w:val="22"/>
                <w:u w:val="none"/>
              </w:rPr>
            </w:pPr>
          </w:p>
        </w:tc>
      </w:tr>
    </w:tbl>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方正仿宋_GBK" w:cs="Times New Roman"/>
          <w:b w:val="0"/>
          <w:bCs w:val="0"/>
          <w:kern w:val="0"/>
          <w:sz w:val="32"/>
          <w:szCs w:val="32"/>
          <w:shd w:val="clear" w:fill="FFFFFF"/>
          <w:lang w:val="en-US" w:eastAsia="zh-CN"/>
        </w:rPr>
      </w:pPr>
      <w:r>
        <w:rPr>
          <w:rFonts w:hint="default" w:ascii="Times New Roman" w:hAnsi="Times New Roman" w:eastAsia="方正仿宋_GBK" w:cs="Times New Roman"/>
          <w:b w:val="0"/>
          <w:bCs w:val="0"/>
          <w:sz w:val="32"/>
          <w:szCs w:val="32"/>
          <w:shd w:val="clear" w:color="auto" w:fill="FFFFFF"/>
          <w:lang w:val="en-US" w:eastAsia="zh-CN"/>
        </w:rPr>
        <w:t>2024年度</w:t>
      </w:r>
      <w:r>
        <w:rPr>
          <w:rFonts w:hint="default" w:ascii="Times New Roman" w:hAnsi="Times New Roman" w:eastAsia="方正仿宋_GBK" w:cs="Times New Roman"/>
          <w:b w:val="0"/>
          <w:bCs w:val="0"/>
          <w:sz w:val="32"/>
          <w:szCs w:val="32"/>
          <w:shd w:val="clear" w:color="auto" w:fill="FFFFFF"/>
        </w:rPr>
        <w:t>项目支出绩效自评表见附件</w:t>
      </w:r>
      <w:r>
        <w:rPr>
          <w:rFonts w:hint="eastAsia" w:ascii="Times New Roman" w:hAnsi="Times New Roman" w:eastAsia="方正仿宋_GBK" w:cs="Times New Roman"/>
          <w:b w:val="0"/>
          <w:bCs w:val="0"/>
          <w:sz w:val="32"/>
          <w:szCs w:val="32"/>
          <w:shd w:val="clear" w:color="auto" w:fill="FFFFFF"/>
          <w:lang w:eastAsia="zh-CN"/>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rPr>
      </w:pPr>
      <w:r>
        <w:rPr>
          <w:rStyle w:val="13"/>
          <w:rFonts w:hint="eastAsia" w:ascii="方正楷体_GBK" w:hAnsi="方正楷体_GBK" w:eastAsia="方正楷体_GBK" w:cs="方正楷体_GBK"/>
          <w:b w:val="0"/>
          <w:bCs/>
          <w:sz w:val="32"/>
          <w:szCs w:val="32"/>
          <w:shd w:val="clear" w:color="auto" w:fill="FFFFFF"/>
          <w:lang w:val="en-US" w:eastAsia="zh-CN"/>
        </w:rPr>
        <w:t>（二）部门绩效评价情况</w:t>
      </w:r>
    </w:p>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val="en-US" w:eastAsia="zh-CN"/>
        </w:rPr>
        <w:t>我部门未开展部门绩效评价。</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rPr>
      </w:pPr>
      <w:r>
        <w:rPr>
          <w:rStyle w:val="13"/>
          <w:rFonts w:hint="eastAsia" w:ascii="方正楷体_GBK" w:hAnsi="方正楷体_GBK" w:eastAsia="方正楷体_GBK" w:cs="方正楷体_GBK"/>
          <w:b w:val="0"/>
          <w:bCs/>
          <w:sz w:val="32"/>
          <w:szCs w:val="32"/>
          <w:shd w:val="clear" w:color="auto" w:fill="FFFFFF"/>
          <w:lang w:val="en-US" w:eastAsia="zh-CN"/>
        </w:rPr>
        <w:t>（三）财政绩效评价情况</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val="en-US" w:eastAsia="zh-CN"/>
        </w:rPr>
        <w:t>县财政局未委托第三方对我部门开展绩效评价。</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firstLine="640" w:firstLineChars="200"/>
        <w:jc w:val="left"/>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lang w:val="en-US" w:eastAsia="zh-CN"/>
        </w:rPr>
        <w:t>六、专业名词解释</w:t>
      </w:r>
    </w:p>
    <w:p>
      <w:pPr>
        <w:pStyle w:val="15"/>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5"/>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开展专业业务活动及其辅助活动取得的现金流入；事业</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收到的财政专户实际核拨的教育收费等资金在此反映。</w:t>
      </w:r>
    </w:p>
    <w:p>
      <w:pPr>
        <w:pStyle w:val="15"/>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（三）经营收入</w:t>
      </w:r>
      <w:r>
        <w:rPr>
          <w:rStyle w:val="13"/>
          <w:rFonts w:hint="eastAsia" w:ascii="楷体" w:hAnsi="楷体" w:eastAsia="楷体" w:cs="楷体"/>
          <w:sz w:val="32"/>
          <w:szCs w:val="32"/>
          <w:shd w:val="clear" w:color="auto" w:fill="FFFFFF"/>
          <w:lang w:val="en-US" w:eastAsia="zh-CN" w:bidi="ar-SA"/>
        </w:rPr>
        <w:t>：</w:t>
      </w:r>
      <w:r>
        <w:rPr>
          <w:rFonts w:hint="eastAsia" w:ascii="方正仿宋_GBK" w:hAnsi="方正仿宋_GBK" w:eastAsia="方正仿宋_GBK" w:cs="方正仿宋_GBK"/>
          <w:kern w:val="0"/>
          <w:sz w:val="32"/>
          <w:szCs w:val="32"/>
          <w:shd w:val="clear" w:fill="FFFFFF"/>
        </w:rPr>
        <w:t>指事业</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在专业业务活动及其辅助活动之外开展非独立核算经营活动取得的现金流入。</w:t>
      </w:r>
    </w:p>
    <w:p>
      <w:pPr>
        <w:pStyle w:val="15"/>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从本级财政部门以外的同级</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取得的经费、从非本级财政部门取得的经费，以及行政</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收到的财政专户管理资金反映在本项内。</w:t>
      </w:r>
    </w:p>
    <w:p>
      <w:pPr>
        <w:pStyle w:val="15"/>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上年结转本年使用的基本支出结转、项目支出结转和结余、经营结余。</w:t>
      </w:r>
    </w:p>
    <w:p>
      <w:pPr>
        <w:pStyle w:val="15"/>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按照国家有关规定，</w:t>
      </w:r>
      <w:r>
        <w:rPr>
          <w:rFonts w:hint="default" w:ascii="方正仿宋_GBK" w:hAnsi="方正仿宋_GBK" w:eastAsia="方正仿宋_GBK" w:cs="方正仿宋_GBK"/>
          <w:kern w:val="0"/>
          <w:sz w:val="32"/>
          <w:szCs w:val="32"/>
          <w:shd w:val="clear" w:fill="FFFFFF"/>
          <w:woUserID w:val="1"/>
        </w:rPr>
        <w:t>交纳</w:t>
      </w:r>
      <w:bookmarkStart w:id="1" w:name="_GoBack"/>
      <w:bookmarkEnd w:id="1"/>
      <w:r>
        <w:rPr>
          <w:rFonts w:hint="eastAsia" w:ascii="方正仿宋_GBK" w:hAnsi="方正仿宋_GBK" w:eastAsia="方正仿宋_GBK" w:cs="方正仿宋_GBK"/>
          <w:kern w:val="0"/>
          <w:sz w:val="32"/>
          <w:szCs w:val="32"/>
          <w:shd w:val="clear" w:fill="FFFFFF"/>
        </w:rPr>
        <w:t>所得税、提取专用基金、转入非财政拨款结余等当年结余的分配情况。</w:t>
      </w:r>
    </w:p>
    <w:p>
      <w:pPr>
        <w:pStyle w:val="15"/>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结转下年的基本支出结转、项目支出结转和结余、经营结余。</w:t>
      </w:r>
    </w:p>
    <w:p>
      <w:pPr>
        <w:pStyle w:val="15"/>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5"/>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在专业业务活动及其辅助活动之外开展非独立核算经营活动发生的支出。</w:t>
      </w:r>
    </w:p>
    <w:p>
      <w:pPr>
        <w:pStyle w:val="15"/>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公务出国（境）的国际旅费、国外城市间交通费、住宿费、伙食费、培训费、公杂费等支出；公务用车购置费反映</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公务用车购置支出（含车辆购置税）；公务用车运行维护费反映</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按规定保留的公务用车燃料费、维修费、过路过桥费、保险费、安全奖励费用等支出；公务接待费反映</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按规定开支的各类公务接待（含外宾接待）支出。</w:t>
      </w:r>
    </w:p>
    <w:p>
      <w:pPr>
        <w:pStyle w:val="15"/>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（含参照公务员法管理的事业</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开支的在职职工和编制外长期聘用人员的各类劳动报酬，以及为上述人员缴纳的各项社会保险费等。</w:t>
      </w:r>
    </w:p>
    <w:p>
      <w:pPr>
        <w:pStyle w:val="15"/>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购买商品和服务的支出（不包括用于购置固定资产的支出、战略性和应急储备支出）。</w:t>
      </w:r>
    </w:p>
    <w:p>
      <w:pPr>
        <w:pStyle w:val="15"/>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5"/>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lang w:val="en-US" w:eastAsia="zh-CN"/>
        </w:rPr>
      </w:pPr>
      <w:r>
        <w:rPr>
          <w:rStyle w:val="13"/>
          <w:rFonts w:hint="eastAsia" w:ascii="方正黑体_GBK" w:hAnsi="方正黑体_GBK" w:eastAsia="方正黑体_GBK" w:cs="方正黑体_GBK"/>
          <w:b w:val="0"/>
          <w:bCs/>
          <w:sz w:val="32"/>
          <w:szCs w:val="32"/>
          <w:shd w:val="clear" w:color="auto" w:fill="FFFFFF"/>
          <w:lang w:val="en-US" w:eastAsia="zh-CN"/>
        </w:rPr>
        <w:t>七、决算公开联系方式及信息反馈渠道</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决算公开信息反馈和联系方式：</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lang w:val="en-US" w:eastAsia="zh-CN"/>
        </w:rPr>
        <w:t>罗梦杰</w:t>
      </w:r>
      <w:r>
        <w:rPr>
          <w:rFonts w:hint="eastAsia" w:ascii="方正仿宋_GBK" w:hAnsi="方正仿宋_GBK" w:eastAsia="方正仿宋_GBK" w:cs="方正仿宋_GBK"/>
          <w:kern w:val="0"/>
          <w:sz w:val="32"/>
          <w:szCs w:val="32"/>
          <w:shd w:val="clear" w:fill="FFFFFF"/>
        </w:rPr>
        <w:t xml:space="preserve">   023-</w:t>
      </w:r>
      <w:r>
        <w:rPr>
          <w:rFonts w:hint="eastAsia" w:ascii="方正仿宋_GBK" w:hAnsi="方正仿宋_GBK" w:eastAsia="方正仿宋_GBK" w:cs="方正仿宋_GBK"/>
          <w:kern w:val="0"/>
          <w:sz w:val="32"/>
          <w:szCs w:val="32"/>
          <w:shd w:val="clear" w:fill="FFFFFF"/>
          <w:lang w:val="en-US" w:eastAsia="zh-CN"/>
        </w:rPr>
        <w:t>70671001</w:t>
      </w:r>
    </w:p>
    <w:p>
      <w:pPr>
        <w:pStyle w:val="14"/>
        <w:keepNext w:val="0"/>
        <w:keepLines w:val="0"/>
        <w:pageBreakBefore w:val="0"/>
        <w:widowControl w:val="0"/>
        <w:kinsoku/>
        <w:overflowPunct/>
        <w:topLinePunct w:val="0"/>
        <w:autoSpaceDE w:val="0"/>
        <w:autoSpaceDN/>
        <w:bidi w:val="0"/>
        <w:adjustRightInd/>
        <w:spacing w:line="560" w:lineRule="exact"/>
        <w:ind w:firstLine="640"/>
        <w:jc w:val="both"/>
        <w:rPr>
          <w:rStyle w:val="13"/>
          <w:rFonts w:ascii="方正仿宋_GBK" w:hAnsi="方正仿宋_GBK" w:eastAsia="方正仿宋_GBK" w:cs="方正仿宋_GBK"/>
          <w:sz w:val="32"/>
          <w:szCs w:val="32"/>
          <w:shd w:val="clear" w:color="auto" w:fill="FFFF00"/>
        </w:rPr>
        <w:sectPr>
          <w:footerReference r:id="rId3" w:type="default"/>
          <w:pgSz w:w="11915" w:h="16840"/>
          <w:pgMar w:top="2098" w:right="1474" w:bottom="1984" w:left="1587" w:header="851" w:footer="992" w:gutter="0"/>
          <w:pgNumType w:fmt="numberInDash"/>
          <w:cols w:space="720" w:num="1"/>
          <w:docGrid w:type="lines" w:linePitch="312" w:charSpace="0"/>
        </w:sectPr>
      </w:pPr>
    </w:p>
    <w:tbl>
      <w:tblPr>
        <w:tblStyle w:val="10"/>
        <w:tblpPr w:leftFromText="180" w:rightFromText="180" w:vertAnchor="text" w:horzAnchor="page" w:tblpXSpec="center" w:tblpY="22"/>
        <w:tblOverlap w:val="never"/>
        <w:tblW w:w="14737" w:type="dxa"/>
        <w:jc w:val="center"/>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jc w:val="center"/>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jc w:val="center"/>
        </w:trPr>
        <w:tc>
          <w:tcPr>
            <w:tcW w:w="429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jc w:val="center"/>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丰都县栗子乡人民政府</w:t>
            </w:r>
          </w:p>
        </w:tc>
        <w:tc>
          <w:tcPr>
            <w:tcW w:w="404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Layout w:type="fixed"/>
          <w:tblCellMar>
            <w:top w:w="0" w:type="dxa"/>
            <w:left w:w="0" w:type="dxa"/>
            <w:bottom w:w="0" w:type="dxa"/>
            <w:right w:w="0" w:type="dxa"/>
          </w:tblCellMar>
        </w:tblPrEx>
        <w:trPr>
          <w:trHeight w:val="243" w:hRule="atLeast"/>
          <w:jc w:val="center"/>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2,332.98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509.99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96.06</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七、附属</w:t>
            </w:r>
            <w:r>
              <w:rPr>
                <w:rFonts w:hint="eastAsia" w:cs="宋体"/>
                <w:b/>
                <w:bCs/>
                <w:color w:val="000000"/>
                <w:sz w:val="20"/>
                <w:szCs w:val="20"/>
                <w:lang w:eastAsia="zh-CN"/>
              </w:rPr>
              <w:t>部门</w:t>
            </w:r>
            <w:r>
              <w:rPr>
                <w:rFonts w:cs="宋体"/>
                <w:b/>
                <w:bCs/>
                <w:color w:val="000000"/>
                <w:sz w:val="20"/>
                <w:szCs w:val="20"/>
              </w:rPr>
              <w:t>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83.37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502.10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51.41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158.68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1,046.91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2,429.04</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2,484.99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62.88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jc w:val="center"/>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2,491.92</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2,491.92</w:t>
            </w:r>
            <w:r>
              <w:rPr>
                <w:rFonts w:ascii="Times New Roman" w:hAnsi="Times New Roman"/>
                <w:color w:val="000000"/>
                <w:sz w:val="20"/>
                <w:u w:color="auto"/>
              </w:rPr>
              <w:t xml:space="preserve"> </w:t>
            </w:r>
          </w:p>
        </w:tc>
      </w:tr>
    </w:tbl>
    <w:p>
      <w:pPr>
        <w:keepNext w:val="0"/>
        <w:keepLines w:val="0"/>
        <w:pageBreakBefore w:val="0"/>
        <w:widowControl w:val="0"/>
        <w:kinsoku/>
        <w:overflowPunct/>
        <w:topLinePunct w:val="0"/>
        <w:autoSpaceDN/>
        <w:bidi w:val="0"/>
        <w:adjustRightInd/>
        <w:spacing w:line="560" w:lineRule="exact"/>
        <w:rPr>
          <w:rFonts w:hint="default" w:cs="宋体"/>
          <w:sz w:val="21"/>
          <w:szCs w:val="21"/>
        </w:rPr>
      </w:pPr>
    </w:p>
    <w:p>
      <w:pPr>
        <w:keepNext w:val="0"/>
        <w:keepLines w:val="0"/>
        <w:pageBreakBefore w:val="0"/>
        <w:widowControl w:val="0"/>
        <w:kinsoku/>
        <w:overflowPunct/>
        <w:topLinePunct w:val="0"/>
        <w:autoSpaceDN/>
        <w:bidi w:val="0"/>
        <w:adjustRightInd/>
        <w:spacing w:line="56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tbl>
      <w:tblPr>
        <w:tblStyle w:val="10"/>
        <w:tblW w:w="15503" w:type="dxa"/>
        <w:jc w:val="center"/>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tblPrEx>
          <w:tblLayout w:type="fixed"/>
          <w:tblCellMar>
            <w:top w:w="0" w:type="dxa"/>
            <w:left w:w="0" w:type="dxa"/>
            <w:bottom w:w="0" w:type="dxa"/>
            <w:right w:w="0" w:type="dxa"/>
          </w:tblCellMar>
        </w:tblPrEx>
        <w:trPr>
          <w:trHeight w:val="641" w:hRule="atLeast"/>
          <w:jc w:val="center"/>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jc w:val="center"/>
        </w:trPr>
        <w:tc>
          <w:tcPr>
            <w:tcW w:w="5712"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丰都县栗子乡人民政府</w:t>
            </w:r>
          </w:p>
        </w:tc>
        <w:tc>
          <w:tcPr>
            <w:tcW w:w="143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20"/>
                <w:szCs w:val="20"/>
              </w:rPr>
            </w:pPr>
          </w:p>
        </w:tc>
        <w:tc>
          <w:tcPr>
            <w:tcW w:w="135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20"/>
                <w:szCs w:val="20"/>
              </w:rPr>
            </w:pPr>
          </w:p>
        </w:tc>
        <w:tc>
          <w:tcPr>
            <w:tcW w:w="138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20"/>
                <w:szCs w:val="20"/>
              </w:rPr>
            </w:pPr>
          </w:p>
        </w:tc>
        <w:tc>
          <w:tcPr>
            <w:tcW w:w="164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jc w:val="center"/>
        </w:trPr>
        <w:tc>
          <w:tcPr>
            <w:tcW w:w="5712"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20"/>
                <w:szCs w:val="20"/>
              </w:rPr>
            </w:pPr>
          </w:p>
        </w:tc>
        <w:tc>
          <w:tcPr>
            <w:tcW w:w="135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20"/>
                <w:szCs w:val="20"/>
              </w:rPr>
            </w:pPr>
          </w:p>
        </w:tc>
        <w:tc>
          <w:tcPr>
            <w:tcW w:w="138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20"/>
                <w:szCs w:val="20"/>
              </w:rPr>
            </w:pPr>
          </w:p>
        </w:tc>
        <w:tc>
          <w:tcPr>
            <w:tcW w:w="164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Layout w:type="fixed"/>
          <w:tblCellMar>
            <w:top w:w="0" w:type="dxa"/>
            <w:left w:w="0" w:type="dxa"/>
            <w:bottom w:w="0" w:type="dxa"/>
            <w:right w:w="0" w:type="dxa"/>
          </w:tblCellMar>
        </w:tblPrEx>
        <w:trPr>
          <w:trHeight w:val="431" w:hRule="atLeast"/>
          <w:jc w:val="center"/>
        </w:trPr>
        <w:tc>
          <w:tcPr>
            <w:tcW w:w="4335"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jc w:val="center"/>
              <w:textAlignment w:val="bottom"/>
              <w:rPr>
                <w:rFonts w:hint="default" w:cs="宋体"/>
                <w:b/>
                <w:color w:val="000000"/>
                <w:sz w:val="20"/>
                <w:szCs w:val="20"/>
              </w:rPr>
            </w:pPr>
            <w:r>
              <w:rPr>
                <w:rFonts w:cs="宋体"/>
                <w:b/>
                <w:color w:val="000000"/>
                <w:sz w:val="20"/>
                <w:szCs w:val="20"/>
              </w:rPr>
              <w:t>项目</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本年收入合计</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财政拨款收入</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上级补助收入</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jc w:val="center"/>
              <w:textAlignment w:val="bottom"/>
              <w:rPr>
                <w:rFonts w:hint="default" w:cs="宋体"/>
                <w:b/>
                <w:color w:val="000000"/>
                <w:sz w:val="20"/>
                <w:szCs w:val="20"/>
              </w:rPr>
            </w:pPr>
            <w:r>
              <w:rPr>
                <w:rFonts w:cs="宋体"/>
                <w:b/>
                <w:color w:val="000000"/>
                <w:sz w:val="20"/>
                <w:szCs w:val="20"/>
              </w:rPr>
              <w:t>事业收入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经营收入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附属</w:t>
            </w:r>
            <w:r>
              <w:rPr>
                <w:rFonts w:hint="eastAsia" w:cs="宋体"/>
                <w:b/>
                <w:color w:val="000000"/>
                <w:sz w:val="20"/>
                <w:szCs w:val="20"/>
                <w:lang w:eastAsia="zh-CN"/>
              </w:rPr>
              <w:t>部门</w:t>
            </w:r>
            <w:r>
              <w:rPr>
                <w:rFonts w:cs="宋体"/>
                <w:b/>
                <w:color w:val="000000"/>
                <w:sz w:val="20"/>
                <w:szCs w:val="20"/>
              </w:rPr>
              <w:t>上缴收入</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jc w:val="center"/>
        </w:trPr>
        <w:tc>
          <w:tcPr>
            <w:tcW w:w="136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297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小计</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其中：教育收费</w:t>
            </w: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jc w:val="center"/>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jc w:val="center"/>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jc w:val="center"/>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jc w:val="center"/>
        </w:trPr>
        <w:tc>
          <w:tcPr>
            <w:tcW w:w="43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1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2,429.04</w:t>
            </w:r>
            <w:r>
              <w:rPr>
                <w:rFonts w:ascii="Times New Roman" w:hAnsi="Times New Roman"/>
                <w:b/>
                <w:color w:val="000000"/>
                <w:sz w:val="20"/>
                <w:u w:color="auto"/>
              </w:rPr>
              <w:t xml:space="preserve"> </w:t>
            </w:r>
          </w:p>
        </w:tc>
        <w:tc>
          <w:tcPr>
            <w:tcW w:w="14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2,429.04</w:t>
            </w:r>
            <w:r>
              <w:rPr>
                <w:rFonts w:ascii="Times New Roman" w:hAnsi="Times New Roman"/>
                <w:b/>
                <w:color w:val="000000"/>
                <w:sz w:val="20"/>
                <w:u w:color="auto"/>
              </w:rPr>
              <w:t xml:space="preserve"> </w:t>
            </w:r>
          </w:p>
        </w:tc>
        <w:tc>
          <w:tcPr>
            <w:tcW w:w="1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一般公共服务支出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507.60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507.60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20101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人大事务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2010104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人大会议</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20103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政府办公厅（室）及相关机构事务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494.96</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494.96</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2010301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行政运行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408.22</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408.22</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2010399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其他政府办公厅（室）及相关机构事务支出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86.75</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86.75</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20105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统计信息事务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2010507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专项普查活动</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20132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组织事务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4.46</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4.46</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2013202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2013299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其他组织事务支出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20138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市场监督管理事务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2013816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食品安全监管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公共安全支出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18.96</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18.96</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20402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公安</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18.96</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18.96</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2040299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其他公安支出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18.96</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18.96</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文化旅游体育与传媒支出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83.37</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83.37</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20701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文化和旅游</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83.37</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83.37</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2070109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群众文化</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40.58</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40.58</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2070199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其他文化和旅游支出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42.79</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42.79</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社会保障和就业支出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501.50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501.50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20801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人力资源和社会保障管理事务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76.01</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76.01</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2080199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其他人力资源和社会保障管理事务支出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76.01</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76.01</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20802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民政管理事务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92.42</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92.42</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2080208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基层政权建设和社区治理</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92.42</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92.42</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20805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199.65</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199.65</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2080505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基本养老保险缴费支出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74.39</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74.39</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2080506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职业年金缴费支出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43.38</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43.38</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2080599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其他行政事业</w:t>
            </w:r>
            <w:r>
              <w:rPr>
                <w:rFonts w:hint="eastAsia" w:cs="宋体"/>
                <w:color w:val="000000"/>
                <w:sz w:val="20"/>
                <w:szCs w:val="20"/>
                <w:lang w:eastAsia="zh-CN"/>
              </w:rPr>
              <w:t>部门</w:t>
            </w:r>
            <w:r>
              <w:rPr>
                <w:rFonts w:cs="宋体"/>
                <w:color w:val="000000"/>
                <w:sz w:val="20"/>
                <w:szCs w:val="20"/>
              </w:rPr>
              <w:t>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81.88</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81.88</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20807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就业补助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101.57</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101.57</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2080705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公益性岗位补贴</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101.57</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101.57</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20810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社会福利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2081006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养老服务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20811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残疾人事业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7.84</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7.84</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2081199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其他残疾人事业支出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7.84</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7.84</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卫生健康支出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51.41</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51.41</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21011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51.41</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51.41</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2101101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部门</w:t>
            </w:r>
            <w:r>
              <w:rPr>
                <w:rFonts w:cs="宋体"/>
                <w:color w:val="000000"/>
                <w:sz w:val="20"/>
                <w:szCs w:val="20"/>
              </w:rPr>
              <w:t>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2101102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事业</w:t>
            </w:r>
            <w:r>
              <w:rPr>
                <w:rFonts w:hint="eastAsia" w:cs="宋体"/>
                <w:color w:val="000000"/>
                <w:sz w:val="20"/>
                <w:szCs w:val="20"/>
                <w:lang w:eastAsia="zh-CN"/>
              </w:rPr>
              <w:t>部门</w:t>
            </w:r>
            <w:r>
              <w:rPr>
                <w:rFonts w:cs="宋体"/>
                <w:color w:val="000000"/>
                <w:sz w:val="20"/>
                <w:szCs w:val="20"/>
              </w:rPr>
              <w:t>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12.09</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12.09</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2101199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其他行政事业</w:t>
            </w:r>
            <w:r>
              <w:rPr>
                <w:rFonts w:hint="eastAsia" w:cs="宋体"/>
                <w:color w:val="000000"/>
                <w:sz w:val="20"/>
                <w:szCs w:val="20"/>
                <w:lang w:eastAsia="zh-CN"/>
              </w:rPr>
              <w:t>部门</w:t>
            </w:r>
            <w:r>
              <w:rPr>
                <w:rFonts w:cs="宋体"/>
                <w:color w:val="000000"/>
                <w:sz w:val="20"/>
                <w:szCs w:val="20"/>
              </w:rPr>
              <w:t>医疗支出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18.62</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18.62</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节能环保支出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21103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污染防治</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2110302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水体</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城乡社区支出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158.68</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158.68</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21201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城乡社区管理事务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50.62</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50.62</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2120199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其他城乡社区管理事务支出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50.62</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50.62</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21205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城乡社区环境卫生</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2120501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城乡社区环境卫生</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21208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国有土地使用权出让收入安排的支出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80.86</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80.86</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2120804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农村基础设施建设支出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80.86</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80.86</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21211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农业土地开发资金安排的支出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农林水支出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993.95</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993.95</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21301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农业农村</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193.41</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193.41</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2130104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事业运行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178.94</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178.94</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2130108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病虫害控制</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2130119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防灾救灾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2130124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农村合作经济</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2130153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耕地建设与利用</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2130199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其他农业农村支出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21302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林业和草原</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17.39</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17.39</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2130207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森林资源管理</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2130209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森林生态效益补偿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21305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巩固脱贫攻坚成果衔接乡村振兴</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614.34</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614.34</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2130504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农村基础设施建设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187.08</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187.08</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2130505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生产发展</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232.24</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232.24</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2130506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社会发展</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94.32</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94.32</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2130599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其他巩固脱贫攻坚成果衔接乡村振兴支出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100.70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100.70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21307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农村综合改革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168.82</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168.82</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2130705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对村民委员会和村党支部的补助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168.82</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168.82</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交通运输支出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21401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公路水路运输</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2140104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公路建设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11.49</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11.49</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2140106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公路养护</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8.07</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8.07</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2140110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公路和运输安全</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4.24</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4.24</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220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自然资源海洋气象等支出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22001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自然资源事务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2200106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自然资源利用与保护</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221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住房保障支出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50.07</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50.07</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22102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住房改革支出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50.07</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50.07</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2210201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住房公积金</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50.07</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50.07</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224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灾害防治及应急管理支出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21.71</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21.71</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22401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应急管理事务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2240199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其他应急管理支出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22406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自然灾害防治</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8.71</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8.71</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2240601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地质灾害防治</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2240602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森林草原防灾减灾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2240699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其他自然灾害防治支出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0.89</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0.89</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22407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自然灾害救灾及恢复重建支出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jc w:val="center"/>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2240703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自然灾害救灾补助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keepNext w:val="0"/>
        <w:keepLines w:val="0"/>
        <w:pageBreakBefore w:val="0"/>
        <w:widowControl w:val="0"/>
        <w:kinsoku/>
        <w:overflowPunct/>
        <w:topLinePunct w:val="0"/>
        <w:autoSpaceDN/>
        <w:bidi w:val="0"/>
        <w:adjustRightInd/>
        <w:spacing w:line="560" w:lineRule="exact"/>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val="0"/>
        <w:kinsoku/>
        <w:overflowPunct/>
        <w:topLinePunct w:val="0"/>
        <w:autoSpaceDN/>
        <w:bidi w:val="0"/>
        <w:adjustRightInd/>
        <w:spacing w:line="560" w:lineRule="exact"/>
        <w:rPr>
          <w:rFonts w:hint="default" w:cs="宋体"/>
          <w:sz w:val="20"/>
          <w:szCs w:val="20"/>
        </w:rPr>
      </w:pPr>
      <w:r>
        <w:rPr>
          <w:rFonts w:cs="宋体"/>
          <w:sz w:val="20"/>
          <w:szCs w:val="20"/>
        </w:rPr>
        <w:br w:type="page"/>
      </w:r>
    </w:p>
    <w:tbl>
      <w:tblPr>
        <w:tblStyle w:val="10"/>
        <w:tblW w:w="15322" w:type="dxa"/>
        <w:jc w:val="center"/>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tblPrEx>
          <w:tblLayout w:type="fixed"/>
          <w:tblCellMar>
            <w:top w:w="0" w:type="dxa"/>
            <w:left w:w="0" w:type="dxa"/>
            <w:bottom w:w="0" w:type="dxa"/>
            <w:right w:w="0" w:type="dxa"/>
          </w:tblCellMar>
        </w:tblPrEx>
        <w:trPr>
          <w:trHeight w:val="654" w:hRule="atLeast"/>
          <w:jc w:val="center"/>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jc w:val="center"/>
        </w:trPr>
        <w:tc>
          <w:tcPr>
            <w:tcW w:w="6953"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丰都县栗子乡人民政府 </w:t>
            </w:r>
          </w:p>
        </w:tc>
        <w:tc>
          <w:tcPr>
            <w:tcW w:w="174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20"/>
                <w:szCs w:val="20"/>
              </w:rPr>
            </w:pPr>
          </w:p>
        </w:tc>
        <w:tc>
          <w:tcPr>
            <w:tcW w:w="150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20"/>
                <w:szCs w:val="20"/>
              </w:rPr>
            </w:pPr>
          </w:p>
        </w:tc>
        <w:tc>
          <w:tcPr>
            <w:tcW w:w="167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20"/>
                <w:szCs w:val="20"/>
              </w:rPr>
            </w:pPr>
          </w:p>
        </w:tc>
        <w:tc>
          <w:tcPr>
            <w:tcW w:w="187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jc w:val="center"/>
        </w:trPr>
        <w:tc>
          <w:tcPr>
            <w:tcW w:w="6953"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20"/>
                <w:szCs w:val="20"/>
              </w:rPr>
            </w:pPr>
          </w:p>
        </w:tc>
        <w:tc>
          <w:tcPr>
            <w:tcW w:w="174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20"/>
                <w:szCs w:val="20"/>
              </w:rPr>
            </w:pPr>
          </w:p>
        </w:tc>
        <w:tc>
          <w:tcPr>
            <w:tcW w:w="150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20"/>
                <w:szCs w:val="20"/>
              </w:rPr>
            </w:pPr>
          </w:p>
        </w:tc>
        <w:tc>
          <w:tcPr>
            <w:tcW w:w="167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20"/>
                <w:szCs w:val="20"/>
              </w:rPr>
            </w:pPr>
          </w:p>
        </w:tc>
        <w:tc>
          <w:tcPr>
            <w:tcW w:w="187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Layout w:type="fixed"/>
          <w:tblCellMar>
            <w:top w:w="0" w:type="dxa"/>
            <w:left w:w="0" w:type="dxa"/>
            <w:bottom w:w="0" w:type="dxa"/>
            <w:right w:w="0" w:type="dxa"/>
          </w:tblCellMar>
        </w:tblPrEx>
        <w:trPr>
          <w:trHeight w:val="362" w:hRule="atLeast"/>
          <w:jc w:val="center"/>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jc w:val="center"/>
              <w:textAlignment w:val="bottom"/>
              <w:rPr>
                <w:rFonts w:hint="default" w:cs="宋体"/>
                <w:b/>
                <w:color w:val="000000"/>
                <w:sz w:val="20"/>
                <w:szCs w:val="20"/>
              </w:rPr>
            </w:pPr>
            <w:r>
              <w:rPr>
                <w:rFonts w:cs="宋体"/>
                <w:b/>
                <w:color w:val="000000"/>
                <w:sz w:val="20"/>
                <w:szCs w:val="20"/>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本年支出合计</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基本支出</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项目支出</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上缴上级支出</w:t>
            </w:r>
          </w:p>
        </w:tc>
        <w:tc>
          <w:tcPr>
            <w:tcW w:w="16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经营支出</w:t>
            </w:r>
          </w:p>
        </w:tc>
        <w:tc>
          <w:tcPr>
            <w:tcW w:w="18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对附属</w:t>
            </w:r>
            <w:r>
              <w:rPr>
                <w:rFonts w:hint="eastAsia" w:cs="宋体"/>
                <w:b/>
                <w:color w:val="000000"/>
                <w:sz w:val="20"/>
                <w:szCs w:val="20"/>
                <w:lang w:eastAsia="zh-CN"/>
              </w:rPr>
              <w:t>部门</w:t>
            </w:r>
            <w:r>
              <w:rPr>
                <w:rFonts w:cs="宋体"/>
                <w:b/>
                <w:color w:val="000000"/>
                <w:sz w:val="20"/>
                <w:szCs w:val="20"/>
              </w:rPr>
              <w:t>补助支出</w:t>
            </w:r>
          </w:p>
        </w:tc>
      </w:tr>
      <w:tr>
        <w:tblPrEx>
          <w:tblLayout w:type="fixed"/>
          <w:tblCellMar>
            <w:top w:w="0" w:type="dxa"/>
            <w:left w:w="0" w:type="dxa"/>
            <w:bottom w:w="0" w:type="dxa"/>
            <w:right w:w="0" w:type="dxa"/>
          </w:tblCellMar>
        </w:tblPrEx>
        <w:trPr>
          <w:trHeight w:val="338" w:hRule="atLeast"/>
          <w:jc w:val="center"/>
        </w:trPr>
        <w:tc>
          <w:tcPr>
            <w:tcW w:w="12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916"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jc w:val="center"/>
        </w:trPr>
        <w:tc>
          <w:tcPr>
            <w:tcW w:w="12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jc w:val="center"/>
        </w:trPr>
        <w:tc>
          <w:tcPr>
            <w:tcW w:w="12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jc w:val="center"/>
        </w:trPr>
        <w:tc>
          <w:tcPr>
            <w:tcW w:w="12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jc w:val="center"/>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2,484.99</w:t>
            </w:r>
            <w:r>
              <w:rPr>
                <w:rFonts w:ascii="Times New Roman" w:hAnsi="Times New Roman"/>
                <w:b/>
                <w:color w:val="000000"/>
                <w:sz w:val="20"/>
                <w:u w:color="auto"/>
              </w:rPr>
              <w:t xml:space="preserve"> </w:t>
            </w:r>
          </w:p>
        </w:tc>
        <w:tc>
          <w:tcPr>
            <w:tcW w:w="1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1,317.30</w:t>
            </w:r>
            <w:r>
              <w:rPr>
                <w:rFonts w:ascii="Times New Roman" w:hAnsi="Times New Roman"/>
                <w:b/>
                <w:color w:val="000000"/>
                <w:sz w:val="20"/>
                <w:u w:color="auto"/>
              </w:rPr>
              <w:t xml:space="preserve"> </w:t>
            </w:r>
          </w:p>
        </w:tc>
        <w:tc>
          <w:tcPr>
            <w:tcW w:w="1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1,167.69</w:t>
            </w:r>
            <w:r>
              <w:rPr>
                <w:rFonts w:ascii="Times New Roman" w:hAnsi="Times New Roman"/>
                <w:b/>
                <w:color w:val="000000"/>
                <w:sz w:val="20"/>
                <w:u w:color="auto"/>
              </w:rPr>
              <w:t xml:space="preserve"> </w:t>
            </w:r>
          </w:p>
        </w:tc>
        <w:tc>
          <w:tcPr>
            <w:tcW w:w="1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一般公共服务支出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509.99</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473.47</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36.52</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20101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人大事务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2010104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人大会议</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20103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政府办公厅（室）及相关机构事务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497.06</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473.47</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23.59</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2010301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行政运行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408.22</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408.22</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2010399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其他政府办公厅（室）及相关机构事务支出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88.84</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65.25</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23.59</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20105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统计信息事务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2010507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专项普查活动</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20132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组织事务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4.76</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4.76</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2013202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2013299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其他组织事务支出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20138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市场监督管理事务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2013816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食品安全监管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公共安全支出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18.96</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18.96</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20402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公安</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18.96</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18.96</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2040299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其他公安支出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18.96</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18.96</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文化旅游体育与传媒支出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83.37</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40.58</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42.79</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20701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文化和旅游</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83.37</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40.58</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42.79</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2070109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群众文化</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40.58</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40.58</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2070199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其他文化和旅游支出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42.79</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42.79</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社会保障和就业支出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502.10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328.84</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173.26</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20801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人力资源和社会保障管理事务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76.01</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76.01</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2080199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其他人力资源和社会保障管理事务支出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76.01</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76.01</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20802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民政管理事务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93.02</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49.68</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43.35</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2080208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基层政权建设和社区治理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93.02</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49.68</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43.35</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20805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199.65</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199.65</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2080505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基本养老保险缴费支出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74.39</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74.39</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2080506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职业年金缴费支出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43.38</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43.38</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2080599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其他行政事业</w:t>
            </w:r>
            <w:r>
              <w:rPr>
                <w:rFonts w:hint="eastAsia" w:cs="宋体"/>
                <w:color w:val="000000"/>
                <w:sz w:val="20"/>
                <w:szCs w:val="20"/>
                <w:lang w:eastAsia="zh-CN"/>
              </w:rPr>
              <w:t>部门</w:t>
            </w:r>
            <w:r>
              <w:rPr>
                <w:rFonts w:cs="宋体"/>
                <w:color w:val="000000"/>
                <w:sz w:val="20"/>
                <w:szCs w:val="20"/>
              </w:rPr>
              <w:t>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81.88</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81.88</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20807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就业补助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101.57</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101.57</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2080705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公益性岗位补贴</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101.57</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101.57</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20810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社会福利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2081006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养老服务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20811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残疾人事业</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7.84</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4.34</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2081199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其他残疾人事业支出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7.84</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4.34</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卫生健康支出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51.41</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51.41</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21011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51.41</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51.41</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2101101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部门</w:t>
            </w:r>
            <w:r>
              <w:rPr>
                <w:rFonts w:cs="宋体"/>
                <w:color w:val="000000"/>
                <w:sz w:val="20"/>
                <w:szCs w:val="20"/>
              </w:rPr>
              <w:t>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2101102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事业</w:t>
            </w:r>
            <w:r>
              <w:rPr>
                <w:rFonts w:hint="eastAsia" w:cs="宋体"/>
                <w:color w:val="000000"/>
                <w:sz w:val="20"/>
                <w:szCs w:val="20"/>
                <w:lang w:eastAsia="zh-CN"/>
              </w:rPr>
              <w:t>部门</w:t>
            </w:r>
            <w:r>
              <w:rPr>
                <w:rFonts w:cs="宋体"/>
                <w:color w:val="000000"/>
                <w:sz w:val="20"/>
                <w:szCs w:val="20"/>
              </w:rPr>
              <w:t>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12.09</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12.09</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2101199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其他行政事业</w:t>
            </w:r>
            <w:r>
              <w:rPr>
                <w:rFonts w:hint="eastAsia" w:cs="宋体"/>
                <w:color w:val="000000"/>
                <w:sz w:val="20"/>
                <w:szCs w:val="20"/>
                <w:lang w:eastAsia="zh-CN"/>
              </w:rPr>
              <w:t>部门</w:t>
            </w:r>
            <w:r>
              <w:rPr>
                <w:rFonts w:cs="宋体"/>
                <w:color w:val="000000"/>
                <w:sz w:val="20"/>
                <w:szCs w:val="20"/>
              </w:rPr>
              <w:t>医疗支出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18.62</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18.62</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节能环保支出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21103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污染防治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2110302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水体</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城乡社区支出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158.68</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50.62</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108.06</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21201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城乡社区管理事务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50.62</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50.62</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2120199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其他城乡社区管理事务支出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50.62</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50.62</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21205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城乡社区环境卫生</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2120501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城乡社区环境卫生</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21208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国有土地使用权出让收入安排的支出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80.86</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80.86</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2120804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农村基础设施建设支出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80.86</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80.86</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21211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农业土地开发资金安排的支出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农林水支出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1,046.91</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312.32</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734.59</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21301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农业农村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193.41</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178.94</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14.47</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2130104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事业运行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178.94</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178.94</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2130108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病虫害控制</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2130119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防灾救灾</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2130124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农村合作经济</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2130153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耕地建设与利用</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2130199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其他农业农村支出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21302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林业和草原</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27.59</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27.59</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2130207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森林资源管理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2130209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森林生态效益补偿</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2130234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林业草原防灾减灾</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21305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巩固脱贫攻坚成果衔接乡村振兴</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611.34</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611.34</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2130504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农村基础设施建设</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187.08</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187.08</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2130505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生产发展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232.24</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232.24</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2130506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社会发展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94.32</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94.32</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2130599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其他巩固脱贫攻坚成果衔接乡村振兴支出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97.70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97.70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21307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农村综合改革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214.57</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133.38</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81.19</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2130701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对村级公益事业建设的补助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46.86</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46.86</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2130705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对村民委员会和村党支部的补助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167.71</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133.38</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34.34</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交通运输支出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21401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公路水路运输</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2140104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公路建设</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11.49</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11.49</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2140106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公路养护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8.07</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8.07</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2140110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公路和运输安全</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4.24</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4.24</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220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自然资源海洋气象等支出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22001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自然资源事务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2200106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自然资源利用与保护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221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住房保障支出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50.07</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50.07</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22102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住房改革支出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50.07</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50.07</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2210201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住房公积金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50.07</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50.07</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224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灾害防治及应急管理支出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21.71</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11.71</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22401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应急管理事务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2240199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其他应急管理支出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22406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自然灾害防治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8.71</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8.71</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2240601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地质灾害防治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2240602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森林草原防灾减灾</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2240699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其他自然灾害防治支出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0.89</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0.89</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22407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自然灾害救灾及恢复重建支出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2240703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自然灾害救灾补助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keepNext w:val="0"/>
        <w:keepLines w:val="0"/>
        <w:pageBreakBefore w:val="0"/>
        <w:widowControl w:val="0"/>
        <w:kinsoku/>
        <w:overflowPunct/>
        <w:topLinePunct w:val="0"/>
        <w:autoSpaceDN/>
        <w:bidi w:val="0"/>
        <w:adjustRightInd/>
        <w:spacing w:line="560" w:lineRule="exact"/>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val="0"/>
        <w:kinsoku/>
        <w:overflowPunct/>
        <w:topLinePunct w:val="0"/>
        <w:autoSpaceDN/>
        <w:bidi w:val="0"/>
        <w:adjustRightInd/>
        <w:spacing w:line="560" w:lineRule="exact"/>
        <w:rPr>
          <w:rFonts w:hint="default" w:cs="宋体"/>
          <w:sz w:val="21"/>
          <w:szCs w:val="21"/>
        </w:rPr>
      </w:pPr>
      <w:r>
        <w:rPr>
          <w:rFonts w:cs="宋体"/>
          <w:sz w:val="21"/>
          <w:szCs w:val="21"/>
        </w:rPr>
        <w:br w:type="page"/>
      </w:r>
    </w:p>
    <w:p>
      <w:pPr>
        <w:keepNext w:val="0"/>
        <w:keepLines w:val="0"/>
        <w:pageBreakBefore w:val="0"/>
        <w:widowControl w:val="0"/>
        <w:kinsoku/>
        <w:overflowPunct/>
        <w:topLinePunct w:val="0"/>
        <w:autoSpaceDN/>
        <w:bidi w:val="0"/>
        <w:adjustRightInd/>
        <w:spacing w:line="560" w:lineRule="exact"/>
        <w:rPr>
          <w:rFonts w:hint="default" w:cs="宋体"/>
          <w:sz w:val="21"/>
          <w:szCs w:val="21"/>
        </w:rPr>
      </w:pPr>
    </w:p>
    <w:tbl>
      <w:tblPr>
        <w:tblStyle w:val="10"/>
        <w:tblW w:w="14678" w:type="dxa"/>
        <w:jc w:val="center"/>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jc w:val="center"/>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jc w:val="center"/>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丰都县栗子乡人民政府</w:t>
            </w:r>
          </w:p>
        </w:tc>
        <w:tc>
          <w:tcPr>
            <w:tcW w:w="169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jc w:val="center"/>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Layout w:type="fixed"/>
          <w:tblCellMar>
            <w:top w:w="0" w:type="dxa"/>
            <w:left w:w="0" w:type="dxa"/>
            <w:bottom w:w="0" w:type="dxa"/>
            <w:right w:w="0" w:type="dxa"/>
          </w:tblCellMar>
        </w:tblPrEx>
        <w:trPr>
          <w:trHeight w:val="90" w:hRule="atLeast"/>
          <w:jc w:val="center"/>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jc w:val="center"/>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jc w:val="center"/>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2,332.98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509.99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509.99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96.06</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18.96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18.96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83.37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83.37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502.10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502.10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51.41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51.41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158.68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62.62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96.06</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1,046.91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1,046.91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23.80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23.80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21.71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21.71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2,429.04</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2,484.99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2,388.92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96.06</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62.88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61.30</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2,491.92</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2,491.92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2,394.27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97.64</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keepNext w:val="0"/>
        <w:keepLines w:val="0"/>
        <w:pageBreakBefore w:val="0"/>
        <w:widowControl w:val="0"/>
        <w:kinsoku/>
        <w:overflowPunct/>
        <w:topLinePunct w:val="0"/>
        <w:autoSpaceDN/>
        <w:bidi w:val="0"/>
        <w:adjustRightInd/>
        <w:spacing w:line="56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jc w:val="center"/>
        <w:tblInd w:w="0" w:type="dxa"/>
        <w:tblLayout w:type="fixed"/>
        <w:tblCellMar>
          <w:top w:w="0" w:type="dxa"/>
          <w:left w:w="0" w:type="dxa"/>
          <w:bottom w:w="0" w:type="dxa"/>
          <w:right w:w="0" w:type="dxa"/>
        </w:tblCellMar>
      </w:tblPr>
      <w:tblGrid>
        <w:gridCol w:w="1305"/>
        <w:gridCol w:w="4073"/>
        <w:gridCol w:w="3306"/>
        <w:gridCol w:w="3297"/>
        <w:gridCol w:w="3341"/>
      </w:tblGrid>
      <w:tr>
        <w:tblPrEx>
          <w:tblLayout w:type="fixed"/>
          <w:tblCellMar>
            <w:top w:w="0" w:type="dxa"/>
            <w:left w:w="0" w:type="dxa"/>
            <w:bottom w:w="0" w:type="dxa"/>
            <w:right w:w="0" w:type="dxa"/>
          </w:tblCellMar>
        </w:tblPrEx>
        <w:trPr>
          <w:trHeight w:val="510" w:hRule="atLeast"/>
          <w:jc w:val="center"/>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jc w:val="center"/>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丰都县栗子乡人民政府</w:t>
            </w:r>
          </w:p>
        </w:tc>
        <w:tc>
          <w:tcPr>
            <w:tcW w:w="329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jc w:val="center"/>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Layout w:type="fixed"/>
          <w:tblCellMar>
            <w:top w:w="0" w:type="dxa"/>
            <w:left w:w="0" w:type="dxa"/>
            <w:bottom w:w="0" w:type="dxa"/>
            <w:right w:w="0" w:type="dxa"/>
          </w:tblCellMar>
        </w:tblPrEx>
        <w:trPr>
          <w:trHeight w:val="308" w:hRule="atLeast"/>
          <w:jc w:val="center"/>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jc w:val="center"/>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jc w:val="center"/>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jc w:val="center"/>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jc w:val="center"/>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2,388.92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1,317.30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1,071.62</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509.99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473.47</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36.52</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2010104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人大会议</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20103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497.06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473.47</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23.59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2010301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408.22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408.22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2010399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其他政府办公厅（室）及相关机构事务支出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88.84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65.25</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23.59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20105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统计信息事务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2010507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专项普查活动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3.01</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20132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2013202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2013299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其他组织事务支出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20138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市场监督管理事务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2013816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食品安全监管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公共安全支出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18.96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18.96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20402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公安</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18.96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18.96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2040299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其他公安支出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18.96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18.96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83.37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40.58</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42.79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20701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83.37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40.58</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42.79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2070109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40.58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40.58</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2070199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42.79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42.79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502.10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328.84</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173.26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20801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76.01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76.01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2080199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76.01</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76.01</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20802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93.02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49.68</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43.35</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2080208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基层政权建设和社区治理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93.02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49.68</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43.35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199.65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199.65</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74.39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74.39</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43.38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43.38</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其他行政事业</w:t>
            </w:r>
            <w:r>
              <w:rPr>
                <w:rFonts w:hint="eastAsia" w:cs="宋体"/>
                <w:color w:val="000000"/>
                <w:sz w:val="20"/>
                <w:szCs w:val="20"/>
                <w:lang w:eastAsia="zh-CN"/>
              </w:rPr>
              <w:t>部门</w:t>
            </w:r>
            <w:r>
              <w:rPr>
                <w:rFonts w:cs="宋体"/>
                <w:color w:val="000000"/>
                <w:sz w:val="20"/>
                <w:szCs w:val="20"/>
              </w:rPr>
              <w:t>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81.88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81.88</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20807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就业补助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101.57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101.57</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2080705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公益性岗位补贴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101.57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101.57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20810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2081006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养老服务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20811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4.34</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2081199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其他残疾人事业支出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51.41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51.41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51.41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51.41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部门</w:t>
            </w:r>
            <w:r>
              <w:rPr>
                <w:rFonts w:cs="宋体"/>
                <w:color w:val="000000"/>
                <w:sz w:val="20"/>
                <w:szCs w:val="20"/>
              </w:rPr>
              <w:t>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20.70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20.70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事业</w:t>
            </w:r>
            <w:r>
              <w:rPr>
                <w:rFonts w:hint="eastAsia" w:cs="宋体"/>
                <w:color w:val="000000"/>
                <w:sz w:val="20"/>
                <w:szCs w:val="20"/>
                <w:lang w:eastAsia="zh-CN"/>
              </w:rPr>
              <w:t>部门</w:t>
            </w:r>
            <w:r>
              <w:rPr>
                <w:rFonts w:cs="宋体"/>
                <w:color w:val="000000"/>
                <w:sz w:val="20"/>
                <w:szCs w:val="20"/>
              </w:rPr>
              <w:t>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12.09</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其他行政事业</w:t>
            </w:r>
            <w:r>
              <w:rPr>
                <w:rFonts w:hint="eastAsia" w:cs="宋体"/>
                <w:color w:val="000000"/>
                <w:sz w:val="20"/>
                <w:szCs w:val="20"/>
                <w:lang w:eastAsia="zh-CN"/>
              </w:rPr>
              <w:t>部门</w:t>
            </w:r>
            <w:r>
              <w:rPr>
                <w:rFonts w:cs="宋体"/>
                <w:color w:val="000000"/>
                <w:sz w:val="20"/>
                <w:szCs w:val="20"/>
              </w:rPr>
              <w:t>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21103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污染防治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2110302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水体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62.62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50.62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50.62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50.62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2120199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2120501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1,046.91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312.32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734.59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21301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193.41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178.94</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14.47</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2130104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178.94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178.94</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2130108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病虫害控制</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2130119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防灾救灾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2130124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农村合作经济</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2130153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耕地建设与利用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2130199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21302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27.59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27.59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2130207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森林资源管理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2130209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森林生态效益补偿</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2130234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林业草原防灾减灾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21305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611.34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611.34</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2130504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农村基础设施建设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187.08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187.08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2130505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232.24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232.24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2130506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社会发展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94.32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94.32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2130599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97.70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97.70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21307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214.57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133.38</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81.19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2130701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对村级公益事业建设的补助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46.86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46.86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2130705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167.71</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133.38</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34.34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21401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2140104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公路建设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2140106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公路养护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2140110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公路和运输安全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220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22001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自然资源事务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2200106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自然资源利用与保护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50.07</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50.07</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50.07</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224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21.71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11.71</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22401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应急管理事务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2240199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22406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8.71</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2240601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地质灾害防治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2240602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森林草原防灾减灾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2240699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其他自然灾害防治支出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22407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2240703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r>
              <w:rPr>
                <w:rFonts w:cs="宋体"/>
                <w:color w:val="000000"/>
                <w:sz w:val="20"/>
                <w:szCs w:val="20"/>
              </w:rPr>
              <w:t>自然灾害救灾补助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r>
    </w:tbl>
    <w:p>
      <w:pPr>
        <w:keepNext w:val="0"/>
        <w:keepLines w:val="0"/>
        <w:pageBreakBefore w:val="0"/>
        <w:widowControl w:val="0"/>
        <w:kinsoku/>
        <w:overflowPunct/>
        <w:topLinePunct w:val="0"/>
        <w:autoSpaceDN/>
        <w:bidi w:val="0"/>
        <w:adjustRightInd/>
        <w:spacing w:line="560" w:lineRule="exact"/>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val="0"/>
        <w:kinsoku/>
        <w:overflowPunct/>
        <w:topLinePunct w:val="0"/>
        <w:autoSpaceDN/>
        <w:bidi w:val="0"/>
        <w:adjustRightInd/>
        <w:spacing w:line="560" w:lineRule="exact"/>
        <w:ind w:firstLine="630" w:firstLineChars="300"/>
        <w:rPr>
          <w:rFonts w:hint="default" w:cs="宋体"/>
          <w:sz w:val="21"/>
          <w:szCs w:val="21"/>
        </w:rPr>
      </w:pPr>
      <w:r>
        <w:rPr>
          <w:rFonts w:cs="宋体"/>
          <w:sz w:val="21"/>
          <w:szCs w:val="21"/>
        </w:rPr>
        <w:br w:type="page"/>
      </w:r>
    </w:p>
    <w:tbl>
      <w:tblPr>
        <w:tblStyle w:val="10"/>
        <w:tblW w:w="15304" w:type="dxa"/>
        <w:jc w:val="center"/>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Layout w:type="fixed"/>
          <w:tblCellMar>
            <w:top w:w="0" w:type="dxa"/>
            <w:left w:w="0" w:type="dxa"/>
            <w:bottom w:w="0" w:type="dxa"/>
            <w:right w:w="0" w:type="dxa"/>
          </w:tblCellMar>
        </w:tblPrEx>
        <w:trPr>
          <w:trHeight w:val="90" w:hRule="atLeast"/>
          <w:jc w:val="center"/>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jc w:val="center"/>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丰都县栗子乡人民政府</w:t>
            </w:r>
          </w:p>
        </w:tc>
        <w:tc>
          <w:tcPr>
            <w:tcW w:w="141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jc w:val="center"/>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rPr>
                <w:rFonts w:hint="default" w:cs="宋体"/>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Layout w:type="fixed"/>
          <w:tblCellMar>
            <w:top w:w="0" w:type="dxa"/>
            <w:left w:w="0" w:type="dxa"/>
            <w:bottom w:w="0" w:type="dxa"/>
            <w:right w:w="0" w:type="dxa"/>
          </w:tblCellMar>
        </w:tblPrEx>
        <w:trPr>
          <w:trHeight w:val="90" w:hRule="atLeast"/>
          <w:jc w:val="center"/>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jc w:val="center"/>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jc w:val="center"/>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758.90</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179.42</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0.27</w:t>
            </w: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155.33</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9.81</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81.14</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0.47</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0.27</w:t>
            </w: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120.66</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185.68</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机关事业</w:t>
            </w:r>
            <w:r>
              <w:rPr>
                <w:rFonts w:hint="eastAsia" w:cs="宋体"/>
                <w:color w:val="000000"/>
                <w:sz w:val="18"/>
                <w:szCs w:val="18"/>
                <w:lang w:eastAsia="zh-CN"/>
              </w:rPr>
              <w:t>部门</w:t>
            </w:r>
            <w:r>
              <w:rPr>
                <w:rFonts w:cs="宋体"/>
                <w:color w:val="000000"/>
                <w:sz w:val="18"/>
                <w:szCs w:val="18"/>
              </w:rPr>
              <w:t>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74.39</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13.05</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43.38</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23.20</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32.79</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9.59</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4.30</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50.07</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5.88</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378.71</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22.17</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350.74</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13.53</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5.80</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29.53</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14.58</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16.95</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43.86</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jc w:val="center"/>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1,137.61</w:t>
            </w:r>
            <w:r>
              <w:rPr>
                <w:rFonts w:ascii="Times New Roman" w:hAnsi="Times New Roman"/>
                <w:color w:val="000000"/>
                <w:sz w:val="18"/>
                <w:u w:color="auto"/>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179.69</w:t>
            </w:r>
            <w:r>
              <w:rPr>
                <w:rFonts w:ascii="Times New Roman" w:hAnsi="Times New Roman"/>
                <w:color w:val="000000"/>
                <w:sz w:val="18"/>
                <w:u w:color="auto"/>
              </w:rPr>
              <w:t xml:space="preserve"> </w:t>
            </w:r>
          </w:p>
        </w:tc>
      </w:tr>
    </w:tbl>
    <w:p>
      <w:pPr>
        <w:keepNext w:val="0"/>
        <w:keepLines w:val="0"/>
        <w:pageBreakBefore w:val="0"/>
        <w:widowControl w:val="0"/>
        <w:kinsoku/>
        <w:wordWrap/>
        <w:overflowPunct/>
        <w:topLinePunct w:val="0"/>
        <w:autoSpaceDE/>
        <w:autoSpaceDN/>
        <w:bidi w:val="0"/>
        <w:adjustRightInd/>
        <w:snapToGrid/>
        <w:spacing w:line="56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jc w:val="center"/>
        <w:tblInd w:w="0" w:type="dxa"/>
        <w:tblLayout w:type="fixed"/>
        <w:tblCellMar>
          <w:top w:w="0" w:type="dxa"/>
          <w:left w:w="0" w:type="dxa"/>
          <w:bottom w:w="0" w:type="dxa"/>
          <w:right w:w="0" w:type="dxa"/>
        </w:tblCellMar>
      </w:tblPr>
      <w:tblGrid>
        <w:gridCol w:w="1373"/>
        <w:gridCol w:w="3630"/>
        <w:gridCol w:w="1686"/>
        <w:gridCol w:w="1686"/>
        <w:gridCol w:w="1686"/>
        <w:gridCol w:w="1686"/>
        <w:gridCol w:w="1750"/>
        <w:gridCol w:w="1825"/>
      </w:tblGrid>
      <w:tr>
        <w:tblPrEx>
          <w:tblLayout w:type="fixed"/>
          <w:tblCellMar>
            <w:top w:w="0" w:type="dxa"/>
            <w:left w:w="0" w:type="dxa"/>
            <w:bottom w:w="0" w:type="dxa"/>
            <w:right w:w="0" w:type="dxa"/>
          </w:tblCellMar>
        </w:tblPrEx>
        <w:trPr>
          <w:trHeight w:val="644" w:hRule="atLeast"/>
          <w:jc w:val="center"/>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jc w:val="center"/>
        </w:trPr>
        <w:tc>
          <w:tcPr>
            <w:tcW w:w="6689"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丰都县栗子乡人民政府</w:t>
            </w:r>
          </w:p>
        </w:tc>
        <w:tc>
          <w:tcPr>
            <w:tcW w:w="168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20"/>
                <w:szCs w:val="20"/>
              </w:rPr>
            </w:pPr>
          </w:p>
        </w:tc>
        <w:tc>
          <w:tcPr>
            <w:tcW w:w="175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20"/>
                <w:szCs w:val="20"/>
              </w:rPr>
            </w:pPr>
          </w:p>
        </w:tc>
        <w:tc>
          <w:tcPr>
            <w:tcW w:w="182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jc w:val="center"/>
        </w:trPr>
        <w:tc>
          <w:tcPr>
            <w:tcW w:w="6689"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20"/>
                <w:szCs w:val="20"/>
              </w:rPr>
            </w:pPr>
          </w:p>
        </w:tc>
        <w:tc>
          <w:tcPr>
            <w:tcW w:w="175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20"/>
                <w:szCs w:val="20"/>
              </w:rPr>
            </w:pPr>
          </w:p>
        </w:tc>
        <w:tc>
          <w:tcPr>
            <w:tcW w:w="182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Layout w:type="fixed"/>
          <w:tblCellMar>
            <w:top w:w="0" w:type="dxa"/>
            <w:left w:w="0" w:type="dxa"/>
            <w:bottom w:w="0" w:type="dxa"/>
            <w:right w:w="0" w:type="dxa"/>
          </w:tblCellMar>
        </w:tblPrEx>
        <w:trPr>
          <w:trHeight w:val="339" w:hRule="atLeast"/>
          <w:jc w:val="center"/>
        </w:trPr>
        <w:tc>
          <w:tcPr>
            <w:tcW w:w="5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项目</w:t>
            </w:r>
          </w:p>
        </w:tc>
        <w:tc>
          <w:tcPr>
            <w:tcW w:w="168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年初结转和结余</w:t>
            </w:r>
          </w:p>
        </w:tc>
        <w:tc>
          <w:tcPr>
            <w:tcW w:w="16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本年收入</w:t>
            </w:r>
          </w:p>
        </w:tc>
        <w:tc>
          <w:tcPr>
            <w:tcW w:w="5122"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本年支出</w:t>
            </w:r>
          </w:p>
        </w:tc>
        <w:tc>
          <w:tcPr>
            <w:tcW w:w="1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jc w:val="center"/>
        </w:trPr>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6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68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168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基本支出</w:t>
            </w:r>
          </w:p>
        </w:tc>
        <w:tc>
          <w:tcPr>
            <w:tcW w:w="17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项目支出</w:t>
            </w: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jc w:val="center"/>
        </w:trPr>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6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7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jc w:val="center"/>
        </w:trPr>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6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7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jc w:val="center"/>
        </w:trPr>
        <w:tc>
          <w:tcPr>
            <w:tcW w:w="500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1.58</w:t>
            </w:r>
            <w:r>
              <w:rPr>
                <w:rFonts w:ascii="Times New Roman" w:hAnsi="Times New Roman"/>
                <w:b/>
                <w:color w:val="000000"/>
                <w:sz w:val="20"/>
                <w:u w:color="auto"/>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96.06</w:t>
            </w:r>
            <w:r>
              <w:rPr>
                <w:rFonts w:ascii="Times New Roman" w:hAnsi="Times New Roman"/>
                <w:b/>
                <w:color w:val="000000"/>
                <w:sz w:val="20"/>
                <w:u w:color="auto"/>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96.06</w:t>
            </w:r>
            <w:r>
              <w:rPr>
                <w:rFonts w:ascii="Times New Roman" w:hAnsi="Times New Roman"/>
                <w:b/>
                <w:color w:val="000000"/>
                <w:sz w:val="20"/>
                <w:u w:color="auto"/>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96.06</w:t>
            </w:r>
            <w:r>
              <w:rPr>
                <w:rFonts w:ascii="Times New Roman" w:hAnsi="Times New Roman"/>
                <w:b/>
                <w:color w:val="000000"/>
                <w:sz w:val="20"/>
                <w:u w:color="auto"/>
              </w:rPr>
              <w:t xml:space="preserve"> </w:t>
            </w:r>
          </w:p>
        </w:tc>
        <w:tc>
          <w:tcPr>
            <w:tcW w:w="1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1.58</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jc w:val="center"/>
        </w:trPr>
        <w:tc>
          <w:tcPr>
            <w:tcW w:w="13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both"/>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both"/>
              <w:textAlignment w:val="center"/>
              <w:rPr>
                <w:rFonts w:hint="default" w:cs="宋体"/>
                <w:color w:val="000000"/>
                <w:sz w:val="20"/>
                <w:szCs w:val="20"/>
              </w:rPr>
            </w:pPr>
            <w:r>
              <w:rPr>
                <w:rFonts w:cs="宋体"/>
                <w:b/>
                <w:color w:val="000000"/>
                <w:sz w:val="20"/>
                <w:szCs w:val="20"/>
              </w:rPr>
              <w:t>城乡社区支出</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1.58</w:t>
            </w:r>
            <w:r>
              <w:rPr>
                <w:rFonts w:ascii="Times New Roman" w:hAnsi="Times New Roman"/>
                <w:b/>
                <w:color w:val="000000"/>
                <w:sz w:val="20"/>
                <w:u w:color="auto"/>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96.06</w:t>
            </w:r>
            <w:r>
              <w:rPr>
                <w:rFonts w:ascii="Times New Roman" w:hAnsi="Times New Roman"/>
                <w:b/>
                <w:color w:val="000000"/>
                <w:sz w:val="20"/>
                <w:u w:color="auto"/>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96.06</w:t>
            </w:r>
            <w:r>
              <w:rPr>
                <w:rFonts w:ascii="Times New Roman" w:hAnsi="Times New Roman"/>
                <w:b/>
                <w:color w:val="000000"/>
                <w:sz w:val="20"/>
                <w:u w:color="auto"/>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96.06</w:t>
            </w:r>
            <w:r>
              <w:rPr>
                <w:rFonts w:ascii="Times New Roman" w:hAnsi="Times New Roman"/>
                <w:b/>
                <w:color w:val="000000"/>
                <w:sz w:val="20"/>
                <w:u w:color="auto"/>
              </w:rPr>
              <w:t xml:space="preserve"> </w:t>
            </w:r>
          </w:p>
        </w:tc>
        <w:tc>
          <w:tcPr>
            <w:tcW w:w="1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1.58</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jc w:val="center"/>
        </w:trPr>
        <w:tc>
          <w:tcPr>
            <w:tcW w:w="13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both"/>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1.58</w:t>
            </w:r>
            <w:r>
              <w:rPr>
                <w:rFonts w:ascii="Times New Roman" w:hAnsi="Times New Roman"/>
                <w:b/>
                <w:color w:val="000000"/>
                <w:sz w:val="20"/>
                <w:u w:color="auto"/>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80.86</w:t>
            </w:r>
            <w:r>
              <w:rPr>
                <w:rFonts w:ascii="Times New Roman" w:hAnsi="Times New Roman"/>
                <w:b/>
                <w:color w:val="000000"/>
                <w:sz w:val="20"/>
                <w:u w:color="auto"/>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80.86</w:t>
            </w:r>
            <w:r>
              <w:rPr>
                <w:rFonts w:ascii="Times New Roman" w:hAnsi="Times New Roman"/>
                <w:b/>
                <w:color w:val="000000"/>
                <w:sz w:val="20"/>
                <w:u w:color="auto"/>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80.86</w:t>
            </w:r>
            <w:r>
              <w:rPr>
                <w:rFonts w:ascii="Times New Roman" w:hAnsi="Times New Roman"/>
                <w:b/>
                <w:color w:val="000000"/>
                <w:sz w:val="20"/>
                <w:u w:color="auto"/>
              </w:rPr>
              <w:t xml:space="preserve"> </w:t>
            </w:r>
          </w:p>
        </w:tc>
        <w:tc>
          <w:tcPr>
            <w:tcW w:w="1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1.58</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jc w:val="center"/>
        </w:trPr>
        <w:tc>
          <w:tcPr>
            <w:tcW w:w="13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both"/>
              <w:textAlignment w:val="center"/>
              <w:rPr>
                <w:rFonts w:hint="default" w:cs="宋体"/>
                <w:color w:val="000000"/>
                <w:sz w:val="20"/>
                <w:szCs w:val="20"/>
              </w:rPr>
            </w:pPr>
            <w:r>
              <w:rPr>
                <w:rFonts w:cs="宋体"/>
                <w:color w:val="000000"/>
                <w:sz w:val="20"/>
                <w:szCs w:val="20"/>
              </w:rPr>
              <w:t>2120804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both"/>
              <w:textAlignment w:val="center"/>
              <w:rPr>
                <w:rFonts w:hint="default" w:cs="宋体"/>
                <w:color w:val="000000"/>
                <w:sz w:val="20"/>
                <w:szCs w:val="20"/>
              </w:rPr>
            </w:pPr>
            <w:r>
              <w:rPr>
                <w:rFonts w:cs="宋体"/>
                <w:color w:val="000000"/>
                <w:sz w:val="20"/>
                <w:szCs w:val="20"/>
              </w:rPr>
              <w:t>农村基础设施建设支出</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80.86</w:t>
            </w:r>
            <w:r>
              <w:rPr>
                <w:rFonts w:ascii="Times New Roman" w:hAnsi="Times New Roman"/>
                <w:color w:val="000000"/>
                <w:sz w:val="20"/>
                <w:u w:color="auto"/>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80.86</w:t>
            </w:r>
            <w:r>
              <w:rPr>
                <w:rFonts w:ascii="Times New Roman" w:hAnsi="Times New Roman"/>
                <w:color w:val="000000"/>
                <w:sz w:val="20"/>
                <w:u w:color="auto"/>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80.86</w:t>
            </w:r>
            <w:r>
              <w:rPr>
                <w:rFonts w:ascii="Times New Roman" w:hAnsi="Times New Roman"/>
                <w:color w:val="000000"/>
                <w:sz w:val="20"/>
                <w:u w:color="auto"/>
              </w:rPr>
              <w:t xml:space="preserve"> </w:t>
            </w:r>
          </w:p>
        </w:tc>
        <w:tc>
          <w:tcPr>
            <w:tcW w:w="1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jc w:val="center"/>
        </w:trPr>
        <w:tc>
          <w:tcPr>
            <w:tcW w:w="13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both"/>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w:t>
            </w:r>
            <w:r>
              <w:rPr>
                <w:rFonts w:ascii="Times New Roman" w:hAnsi="Times New Roman"/>
                <w:color w:val="000000"/>
                <w:sz w:val="20"/>
                <w:u w:color="auto"/>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jc w:val="center"/>
        </w:trPr>
        <w:tc>
          <w:tcPr>
            <w:tcW w:w="13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both"/>
              <w:textAlignment w:val="center"/>
              <w:rPr>
                <w:rFonts w:hint="default" w:cs="宋体"/>
                <w:color w:val="000000"/>
                <w:sz w:val="20"/>
                <w:szCs w:val="20"/>
              </w:rPr>
            </w:pPr>
            <w:r>
              <w:rPr>
                <w:rFonts w:cs="宋体"/>
                <w:color w:val="000000"/>
                <w:sz w:val="20"/>
                <w:szCs w:val="20"/>
              </w:rPr>
              <w:t>21211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both"/>
              <w:textAlignment w:val="center"/>
              <w:rPr>
                <w:rFonts w:hint="default" w:cs="宋体"/>
                <w:color w:val="000000"/>
                <w:sz w:val="20"/>
                <w:szCs w:val="20"/>
              </w:rPr>
            </w:pPr>
            <w:r>
              <w:rPr>
                <w:rFonts w:cs="宋体"/>
                <w:color w:val="000000"/>
                <w:sz w:val="20"/>
                <w:szCs w:val="20"/>
              </w:rPr>
              <w:t>农业土地开发资金安排的支出</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15.20</w:t>
            </w:r>
            <w:r>
              <w:rPr>
                <w:rFonts w:ascii="Times New Roman" w:hAnsi="Times New Roman"/>
                <w:color w:val="000000"/>
                <w:sz w:val="20"/>
                <w:u w:color="auto"/>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15.20</w:t>
            </w:r>
            <w:r>
              <w:rPr>
                <w:rFonts w:ascii="Times New Roman" w:hAnsi="Times New Roman"/>
                <w:color w:val="000000"/>
                <w:sz w:val="20"/>
                <w:u w:color="auto"/>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15.20</w:t>
            </w:r>
            <w:r>
              <w:rPr>
                <w:rFonts w:ascii="Times New Roman" w:hAnsi="Times New Roman"/>
                <w:color w:val="000000"/>
                <w:sz w:val="20"/>
                <w:u w:color="auto"/>
              </w:rPr>
              <w:t xml:space="preserve"> </w:t>
            </w:r>
          </w:p>
        </w:tc>
        <w:tc>
          <w:tcPr>
            <w:tcW w:w="1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keepNext w:val="0"/>
        <w:keepLines w:val="0"/>
        <w:pageBreakBefore w:val="0"/>
        <w:widowControl w:val="0"/>
        <w:kinsoku/>
        <w:overflowPunct/>
        <w:topLinePunct w:val="0"/>
        <w:autoSpaceDN/>
        <w:bidi w:val="0"/>
        <w:adjustRightInd/>
        <w:spacing w:line="560" w:lineRule="exact"/>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val="0"/>
        <w:kinsoku/>
        <w:overflowPunct/>
        <w:topLinePunct w:val="0"/>
        <w:autoSpaceDN/>
        <w:bidi w:val="0"/>
        <w:adjustRightInd/>
        <w:spacing w:line="560" w:lineRule="exact"/>
        <w:rPr>
          <w:rFonts w:hint="default" w:cs="宋体"/>
          <w:sz w:val="21"/>
          <w:szCs w:val="21"/>
        </w:rPr>
      </w:pPr>
      <w:r>
        <w:rPr>
          <w:rFonts w:cs="宋体"/>
          <w:sz w:val="21"/>
          <w:szCs w:val="21"/>
        </w:rPr>
        <w:br w:type="page"/>
      </w:r>
    </w:p>
    <w:tbl>
      <w:tblPr>
        <w:tblStyle w:val="10"/>
        <w:tblW w:w="15322" w:type="dxa"/>
        <w:jc w:val="center"/>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tblPrEx>
          <w:tblLayout w:type="fixed"/>
          <w:tblCellMar>
            <w:top w:w="0" w:type="dxa"/>
            <w:left w:w="0" w:type="dxa"/>
            <w:bottom w:w="0" w:type="dxa"/>
            <w:right w:w="0" w:type="dxa"/>
          </w:tblCellMar>
        </w:tblPrEx>
        <w:trPr>
          <w:trHeight w:val="650" w:hRule="atLeast"/>
          <w:jc w:val="center"/>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jc w:val="center"/>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丰都县栗子乡人民政府</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jc w:val="center"/>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Layout w:type="fixed"/>
          <w:tblCellMar>
            <w:top w:w="0" w:type="dxa"/>
            <w:left w:w="0" w:type="dxa"/>
            <w:bottom w:w="0" w:type="dxa"/>
            <w:right w:w="0" w:type="dxa"/>
          </w:tblCellMar>
        </w:tblPrEx>
        <w:trPr>
          <w:trHeight w:val="422" w:hRule="atLeast"/>
          <w:jc w:val="center"/>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jc w:val="center"/>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jc w:val="center"/>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jc w:val="center"/>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jc w:val="center"/>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jc w:val="center"/>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jc w:val="center"/>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560" w:lineRule="exact"/>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keepNext w:val="0"/>
        <w:keepLines w:val="0"/>
        <w:pageBreakBefore w:val="0"/>
        <w:widowControl w:val="0"/>
        <w:kinsoku/>
        <w:overflowPunct/>
        <w:topLinePunct w:val="0"/>
        <w:autoSpaceDN/>
        <w:bidi w:val="0"/>
        <w:adjustRightInd/>
        <w:spacing w:line="560" w:lineRule="exact"/>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keepNext w:val="0"/>
        <w:keepLines w:val="0"/>
        <w:pageBreakBefore w:val="0"/>
        <w:widowControl w:val="0"/>
        <w:kinsoku/>
        <w:overflowPunct/>
        <w:topLinePunct w:val="0"/>
        <w:autoSpaceDN/>
        <w:bidi w:val="0"/>
        <w:adjustRightInd/>
        <w:spacing w:line="560" w:lineRule="exact"/>
        <w:rPr>
          <w:rFonts w:hint="default" w:cs="宋体"/>
          <w:sz w:val="21"/>
          <w:szCs w:val="21"/>
        </w:rPr>
      </w:pPr>
      <w:r>
        <w:rPr>
          <w:rFonts w:hint="default" w:cs="宋体"/>
          <w:sz w:val="21"/>
          <w:szCs w:val="21"/>
        </w:rPr>
        <w:br w:type="page"/>
      </w:r>
    </w:p>
    <w:tbl>
      <w:tblPr>
        <w:tblStyle w:val="10"/>
        <w:tblW w:w="14130" w:type="dxa"/>
        <w:jc w:val="center"/>
        <w:tblInd w:w="0" w:type="dxa"/>
        <w:tblLayout w:type="fixed"/>
        <w:tblCellMar>
          <w:top w:w="0" w:type="dxa"/>
          <w:left w:w="170" w:type="dxa"/>
          <w:bottom w:w="0" w:type="dxa"/>
          <w:right w:w="170" w:type="dxa"/>
        </w:tblCellMar>
      </w:tblPr>
      <w:tblGrid>
        <w:gridCol w:w="3162"/>
        <w:gridCol w:w="2402"/>
        <w:gridCol w:w="2360"/>
        <w:gridCol w:w="3726"/>
        <w:gridCol w:w="2480"/>
      </w:tblGrid>
      <w:tr>
        <w:tblPrEx>
          <w:tblLayout w:type="fixed"/>
          <w:tblCellMar>
            <w:top w:w="0" w:type="dxa"/>
            <w:left w:w="170" w:type="dxa"/>
            <w:bottom w:w="0" w:type="dxa"/>
            <w:right w:w="170" w:type="dxa"/>
          </w:tblCellMar>
        </w:tblPrEx>
        <w:trPr>
          <w:trHeight w:val="343" w:hRule="atLeast"/>
          <w:jc w:val="center"/>
        </w:trPr>
        <w:tc>
          <w:tcPr>
            <w:tcW w:w="14130" w:type="dxa"/>
            <w:gridSpan w:val="5"/>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jc w:val="center"/>
        </w:trPr>
        <w:tc>
          <w:tcPr>
            <w:tcW w:w="3162" w:type="dxa"/>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kern w:val="2"/>
                <w:sz w:val="20"/>
                <w:szCs w:val="20"/>
              </w:rPr>
            </w:pPr>
          </w:p>
        </w:tc>
        <w:tc>
          <w:tcPr>
            <w:tcW w:w="2402" w:type="dxa"/>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jc w:val="center"/>
              <w:rPr>
                <w:rFonts w:hint="default" w:cs="宋体"/>
                <w:color w:val="000000"/>
                <w:kern w:val="2"/>
                <w:sz w:val="20"/>
                <w:szCs w:val="20"/>
              </w:rPr>
            </w:pPr>
          </w:p>
        </w:tc>
        <w:tc>
          <w:tcPr>
            <w:tcW w:w="2360" w:type="dxa"/>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jc w:val="right"/>
              <w:rPr>
                <w:rFonts w:hint="default" w:cs="宋体"/>
                <w:color w:val="000000"/>
                <w:kern w:val="2"/>
                <w:sz w:val="20"/>
                <w:szCs w:val="20"/>
              </w:rPr>
            </w:pPr>
          </w:p>
        </w:tc>
        <w:tc>
          <w:tcPr>
            <w:tcW w:w="3726" w:type="dxa"/>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kern w:val="2"/>
                <w:sz w:val="20"/>
                <w:szCs w:val="20"/>
              </w:rPr>
            </w:pPr>
          </w:p>
        </w:tc>
        <w:tc>
          <w:tcPr>
            <w:tcW w:w="2480" w:type="dxa"/>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jc w:val="center"/>
        </w:trPr>
        <w:tc>
          <w:tcPr>
            <w:tcW w:w="5564"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丰都县栗子乡人民政府</w:t>
            </w:r>
          </w:p>
        </w:tc>
        <w:tc>
          <w:tcPr>
            <w:tcW w:w="2360" w:type="dxa"/>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jc w:val="right"/>
              <w:rPr>
                <w:rFonts w:hint="default" w:cs="宋体"/>
                <w:color w:val="000000"/>
                <w:kern w:val="2"/>
                <w:sz w:val="20"/>
                <w:szCs w:val="20"/>
              </w:rPr>
            </w:pPr>
          </w:p>
        </w:tc>
        <w:tc>
          <w:tcPr>
            <w:tcW w:w="3726" w:type="dxa"/>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rPr>
                <w:rFonts w:hint="default" w:cs="宋体"/>
                <w:color w:val="000000"/>
                <w:kern w:val="2"/>
                <w:sz w:val="20"/>
                <w:szCs w:val="20"/>
              </w:rPr>
            </w:pPr>
          </w:p>
        </w:tc>
        <w:tc>
          <w:tcPr>
            <w:tcW w:w="2480" w:type="dxa"/>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560" w:lineRule="exact"/>
              <w:jc w:val="right"/>
              <w:textAlignment w:val="bottom"/>
              <w:rPr>
                <w:rFonts w:hint="default" w:cs="宋体"/>
                <w:color w:val="000000"/>
                <w:kern w:val="2"/>
                <w:sz w:val="20"/>
                <w:szCs w:val="20"/>
              </w:rPr>
            </w:pPr>
            <w:r>
              <w:rPr>
                <w:rFonts w:hint="eastAsia" w:cs="宋体"/>
                <w:color w:val="000000"/>
                <w:kern w:val="2"/>
                <w:sz w:val="20"/>
                <w:szCs w:val="20"/>
                <w:lang w:eastAsia="zh-CN"/>
              </w:rPr>
              <w:t>部门</w:t>
            </w:r>
            <w:r>
              <w:rPr>
                <w:rFonts w:cs="宋体"/>
                <w:color w:val="000000"/>
                <w:kern w:val="2"/>
                <w:sz w:val="20"/>
                <w:szCs w:val="20"/>
              </w:rPr>
              <w:t>：</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60.22</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16.30</w:t>
            </w: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16.30</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eastAsia" w:eastAsia="宋体" w:cs="宋体"/>
                <w:b/>
                <w:bCs/>
                <w:color w:val="000000"/>
                <w:kern w:val="2"/>
                <w:sz w:val="16"/>
                <w:szCs w:val="16"/>
                <w:lang w:eastAsia="zh-CN"/>
              </w:rPr>
            </w:pPr>
            <w:r>
              <w:rPr>
                <w:rFonts w:cs="宋体"/>
                <w:b/>
                <w:bCs/>
                <w:color w:val="000000"/>
                <w:kern w:val="2"/>
                <w:sz w:val="16"/>
                <w:szCs w:val="16"/>
              </w:rPr>
              <w:t xml:space="preserve">  （一）行政</w:t>
            </w:r>
            <w:r>
              <w:rPr>
                <w:rFonts w:hint="eastAsia" w:cs="宋体"/>
                <w:b/>
                <w:bCs/>
                <w:color w:val="000000"/>
                <w:kern w:val="2"/>
                <w:sz w:val="16"/>
                <w:szCs w:val="16"/>
                <w:lang w:eastAsia="zh-CN"/>
              </w:rPr>
              <w:t>部门</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60.22</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eastAsia" w:eastAsia="宋体" w:cs="宋体"/>
                <w:b/>
                <w:bCs/>
                <w:color w:val="000000"/>
                <w:kern w:val="2"/>
                <w:sz w:val="16"/>
                <w:szCs w:val="16"/>
                <w:lang w:eastAsia="zh-CN"/>
              </w:rPr>
            </w:pPr>
            <w:r>
              <w:rPr>
                <w:rFonts w:cs="宋体"/>
                <w:b/>
                <w:bCs/>
                <w:color w:val="000000"/>
                <w:kern w:val="2"/>
                <w:sz w:val="16"/>
                <w:szCs w:val="16"/>
              </w:rPr>
              <w:t xml:space="preserve">  （二）参照公务员法管理事业</w:t>
            </w:r>
            <w:r>
              <w:rPr>
                <w:rFonts w:hint="eastAsia" w:cs="宋体"/>
                <w:b/>
                <w:bCs/>
                <w:color w:val="000000"/>
                <w:kern w:val="2"/>
                <w:sz w:val="16"/>
                <w:szCs w:val="16"/>
                <w:lang w:eastAsia="zh-CN"/>
              </w:rPr>
              <w:t>部门</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12.39</w:t>
            </w: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12.39</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12.39</w:t>
            </w: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12.39</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3.91</w:t>
            </w: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3.91</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3.91</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180</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540</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0.08</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rPr>
                <w:rFonts w:hint="default" w:cs="宋体"/>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2.71</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rPr>
                <w:rFonts w:hint="default" w:cs="宋体"/>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jc w:val="center"/>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cs="宋体"/>
                <w:b/>
                <w:bCs/>
                <w:color w:val="000000"/>
                <w:sz w:val="16"/>
                <w:szCs w:val="16"/>
              </w:rPr>
            </w:pPr>
            <w:r>
              <w:rPr>
                <w:rFonts w:cs="宋体"/>
                <w:b/>
                <w:bCs/>
                <w:color w:val="000000"/>
                <w:sz w:val="16"/>
                <w:szCs w:val="16"/>
              </w:rPr>
              <w:t>四、差旅费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10.55</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rPr>
                <w:rFonts w:hint="default" w:cs="宋体"/>
                <w:color w:val="000000"/>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60" w:lineRule="exact"/>
              <w:jc w:val="right"/>
              <w:rPr>
                <w:rFonts w:hint="default" w:cs="宋体"/>
                <w:color w:val="000000"/>
                <w:sz w:val="16"/>
                <w:szCs w:val="16"/>
              </w:rPr>
            </w:pPr>
          </w:p>
        </w:tc>
      </w:tr>
    </w:tbl>
    <w:p>
      <w:pPr>
        <w:keepNext w:val="0"/>
        <w:keepLines w:val="0"/>
        <w:pageBreakBefore w:val="0"/>
        <w:widowControl w:val="0"/>
        <w:kinsoku/>
        <w:overflowPunct/>
        <w:topLinePunct w:val="0"/>
        <w:autoSpaceDN/>
        <w:bidi w:val="0"/>
        <w:adjustRightInd/>
        <w:spacing w:line="560" w:lineRule="exact"/>
        <w:ind w:left="540" w:hanging="540" w:hangingChars="300"/>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 2.本套报表金额</w:t>
      </w:r>
      <w:r>
        <w:rPr>
          <w:rFonts w:hint="eastAsia" w:cs="宋体"/>
          <w:sz w:val="18"/>
          <w:szCs w:val="18"/>
          <w:lang w:eastAsia="zh-CN"/>
        </w:rPr>
        <w:t>部门</w:t>
      </w:r>
      <w:r>
        <w:rPr>
          <w:rFonts w:cs="宋体"/>
          <w:sz w:val="18"/>
          <w:szCs w:val="18"/>
        </w:rPr>
        <w:t>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altName w:val="汉仪书宋二KW"/>
    <w:panose1 w:val="02010600030101010101"/>
    <w:charset w:val="50"/>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_GBK">
    <w:altName w:val="汉仪书宋二KW"/>
    <w:panose1 w:val="03000509000000000000"/>
    <w:charset w:val="86"/>
    <w:family w:val="script"/>
    <w:pitch w:val="default"/>
    <w:sig w:usb0="00000000" w:usb1="00000000" w:usb2="00000000" w:usb3="00000000" w:csb0="00040000" w:csb1="00000000"/>
  </w:font>
  <w:font w:name="方正黑体_GBK">
    <w:altName w:val="汉仪中黑KW"/>
    <w:panose1 w:val="03000509000000000000"/>
    <w:charset w:val="86"/>
    <w:family w:val="auto"/>
    <w:pitch w:val="default"/>
    <w:sig w:usb0="00000000" w:usb1="00000000" w:usb2="00000000" w:usb3="00000000" w:csb0="00040000" w:csb1="00000000"/>
  </w:font>
  <w:font w:name="方正楷体_GBK">
    <w:altName w:val="汉仪楷体KW"/>
    <w:panose1 w:val="03000509000000000000"/>
    <w:charset w:val="86"/>
    <w:family w:val="auto"/>
    <w:pitch w:val="default"/>
    <w:sig w:usb0="00000000" w:usb1="00000000" w:usb2="00000000" w:usb3="00000000" w:csb0="00040000" w:csb1="00000000"/>
  </w:font>
  <w:font w:name="方正仿宋_GBK">
    <w:altName w:val="汉仪仿宋KW"/>
    <w:panose1 w:val="03000509000000000000"/>
    <w:charset w:val="86"/>
    <w:family w:val="auto"/>
    <w:pitch w:val="default"/>
    <w:sig w:usb0="00000000" w:usb1="00000000" w:usb2="00000000" w:usb3="00000000" w:csb0="00040000" w:csb1="00000000"/>
  </w:font>
  <w:font w:name="微软雅黑">
    <w:altName w:val="汉仪旗黑KW 55S"/>
    <w:panose1 w:val="020B0503020204020204"/>
    <w:charset w:val="86"/>
    <w:family w:val="auto"/>
    <w:pitch w:val="default"/>
    <w:sig w:usb0="00000000" w:usb1="00000000" w:usb2="00000016" w:usb3="00000000" w:csb0="0004001F"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汉仪旗黑KW 55S">
    <w:panose1 w:val="00020600040101010101"/>
    <w:charset w:val="86"/>
    <w:family w:val="auto"/>
    <w:pitch w:val="default"/>
    <w:sig w:usb0="A00002BF" w:usb1="3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zSVju0AAAAAUBAAAPAAAAAAAAAAEAIAAAADgAAABkcnMvZG93bnJldi54bWxQSwECFAAUAAAA&#10;CACHTuJAK6jqchkCAAAhBAAADgAAAAAAAAABACAAAAA1AQAAZHJzL2Uyb0RvYy54bWxQSwUGAAAA&#10;AAYABgBZAQAAwAU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s0lY7tAAAAAFAQAADwAAAAAAAAABACAAAAA4AAAAZHJzL2Rvd25yZXYueG1sUEsBAhQAFAAAAAgA&#10;h07iQLD4MYkXAgAAGQQAAA4AAAAAAAAAAQAgAAAANQEAAGRycy9lMm9Eb2MueG1sUEsFBgAAAAAG&#10;AAYAWQEAAL4FA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HgNVFTYAAAACgEAAA8AAAAAAAAAAQAgAAAAOAAAAGRycy9kb3ducmV2LnhtbFBL&#10;AQIUABQAAAAIAIdO4kBvM20dGQIAABgEAAAOAAAAAAAAAAEAIAAAAD0BAABkcnMvZTJvRG9jLnht&#10;bFBLBQYAAAAABgAGAFkBAADIBQAAA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1210C"/>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A64046"/>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0F4064E"/>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E9188B"/>
    <w:rsid w:val="2FF06E00"/>
    <w:rsid w:val="30562E26"/>
    <w:rsid w:val="30586FEC"/>
    <w:rsid w:val="30601FF7"/>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4C405F"/>
    <w:rsid w:val="36C9128A"/>
    <w:rsid w:val="372E3953"/>
    <w:rsid w:val="37841E99"/>
    <w:rsid w:val="37BF1123"/>
    <w:rsid w:val="383C3F15"/>
    <w:rsid w:val="38BE4696"/>
    <w:rsid w:val="3902212D"/>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CB70FB"/>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173DD"/>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9DF4923"/>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880972"/>
    <w:rsid w:val="728E7235"/>
    <w:rsid w:val="72DB435C"/>
    <w:rsid w:val="72E2613A"/>
    <w:rsid w:val="72F771F4"/>
    <w:rsid w:val="734150D5"/>
    <w:rsid w:val="736650B0"/>
    <w:rsid w:val="73934AD2"/>
    <w:rsid w:val="750837F0"/>
    <w:rsid w:val="754758CF"/>
    <w:rsid w:val="761275E6"/>
    <w:rsid w:val="764F62AB"/>
    <w:rsid w:val="765C45EC"/>
    <w:rsid w:val="768A7619"/>
    <w:rsid w:val="76AA36E6"/>
    <w:rsid w:val="76E612A1"/>
    <w:rsid w:val="772E1EBA"/>
    <w:rsid w:val="77303AE2"/>
    <w:rsid w:val="77EB79F7"/>
    <w:rsid w:val="796D60A4"/>
    <w:rsid w:val="79A031D5"/>
    <w:rsid w:val="79FFC354"/>
    <w:rsid w:val="7A1525F7"/>
    <w:rsid w:val="7B24540B"/>
    <w:rsid w:val="7B420052"/>
    <w:rsid w:val="7B861484"/>
    <w:rsid w:val="7BD06A28"/>
    <w:rsid w:val="7C3A7C0B"/>
    <w:rsid w:val="7C5248E4"/>
    <w:rsid w:val="7C566698"/>
    <w:rsid w:val="7C5866A3"/>
    <w:rsid w:val="7CBE2F89"/>
    <w:rsid w:val="7D7406BB"/>
    <w:rsid w:val="7DE94331"/>
    <w:rsid w:val="7F446A19"/>
    <w:rsid w:val="7F7452B9"/>
    <w:rsid w:val="7F8401D1"/>
    <w:rsid w:val="7FAC32D7"/>
    <w:rsid w:val="F7FDA53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4"/>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49</Pages>
  <Words>14417</Words>
  <Characters>22782</Characters>
  <Lines>186</Lines>
  <Paragraphs>52</Paragraphs>
  <TotalTime>12</TotalTime>
  <ScaleCrop>false</ScaleCrop>
  <LinksUpToDate>false</LinksUpToDate>
  <CharactersWithSpaces>25098</CharactersWithSpaces>
  <Application>WWO_openplatform_20210902171309-902389ccc8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2025-06-26T15:40:00Z</dcterms:created>
  <dc:creator>Administrator</dc:creator>
  <cp:lastModifiedBy>崔氏特</cp:lastModifiedBy>
  <dcterms:modified xsi:type="dcterms:W3CDTF">2025-09-16T17:19:47Z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0AE1E273F9CD45838EE8582B8726BF60_13</vt:lpwstr>
  </property>
  <property fmtid="{D5CDD505-2E9C-101B-9397-08002B2CF9AE}" pid="4" name="KSOTemplateDocerSaveRecord">
    <vt:lpwstr>eyJoZGlkIjoiNDE5YmRhMGNmMWEzZDIxMDhlZTQ5NjAwZGVjOWRlZjUiLCJ1c2VySWQiOiI0MjUyNjYyNjIifQ==</vt:lpwstr>
  </property>
</Properties>
</file>