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一、202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年财政预算执行情况</w:t>
      </w:r>
    </w:p>
    <w:p>
      <w:pPr>
        <w:pStyle w:val="4"/>
        <w:widowControl/>
        <w:shd w:val="clear" w:color="auto" w:fill="FFFFFF"/>
        <w:spacing w:beforeAutospacing="0" w:after="180" w:afterAutospacing="0" w:line="600" w:lineRule="atLeast"/>
        <w:ind w:firstLine="640" w:firstLineChars="200"/>
        <w:jc w:val="left"/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val="en-US" w:eastAsia="zh-CN"/>
        </w:rPr>
        <w:t>过去一年，镇财政在镇党委、镇政府及上级财政部门的正确领导下，在镇人大的监督支持下，紧紧围绕全年工作总目标，以习近平新时代中国特色社会主义思想为指导，以全面深化财政改革为动力，深入学习贯彻党的二十大和二十届二中、三中全会精神，统筹谋划，重点突破，聚焦组织财政收入、优化支出结构、加强财政监督，全力稳经济、促发展、保运转、惠民生，财政运行总体平稳有序，全镇经济社会持续健康发展。</w:t>
      </w:r>
    </w:p>
    <w:p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</w:rPr>
        <w:t>（一）一般公共预算</w:t>
      </w:r>
    </w:p>
    <w:p>
      <w:pPr>
        <w:spacing w:line="570" w:lineRule="exact"/>
        <w:ind w:firstLine="643" w:firstLineChars="200"/>
        <w:rPr>
          <w:rFonts w:ascii="方正仿宋_GBK" w:hAnsi="Times New Roman" w:eastAsia="方正仿宋_GBK" w:cs="Times New Roman"/>
          <w:b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eastAsia="方正仿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方正仿宋_GBK" w:hAnsi="Times New Roman" w:eastAsia="方正仿宋_GBK" w:cs="Times New Roman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收入情况。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龙孔镇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一般公共预算收入总计为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2904.74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万元，为年度预算数的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，同比增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118.15万元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70" w:lineRule="exact"/>
        <w:ind w:firstLine="643" w:firstLineChars="200"/>
        <w:rPr>
          <w:rFonts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方正仿宋_GBK" w:eastAsia="方正仿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2. </w:t>
      </w:r>
      <w:r>
        <w:rPr>
          <w:rFonts w:hint="eastAsia" w:ascii="方正仿宋_GBK" w:eastAsia="方正仿宋_GBK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支出情况。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龙孔镇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一般公共预算支出总计为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2904.74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万元,为年度预算数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100%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，同比增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加</w:t>
      </w:r>
      <w:r>
        <w:rPr>
          <w:rFonts w:hint="eastAsia" w:ascii="Times New Roman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118.15</w:t>
      </w:r>
      <w:r>
        <w:rPr>
          <w:rFonts w:hint="eastAsia" w:ascii="方正仿宋_GBK" w:hAnsi="Times New Roman" w:eastAsia="方正仿宋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ascii="方正仿宋_GBK" w:eastAsia="方正仿宋_GBK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。支出分项情况如下：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（1）一般公共服务支出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760.50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人大、政府办公室及相关机构、行政运行、统计信息、组织、市场监督管理、信访等事务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）文化旅游体育与传媒支出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57.49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群众文化、公共文化服务、农家书屋、其他文化和旅游等事务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）社会保障和就业支出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549.24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万元，主要用于人力资源和社会保障管理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、民政管理、行政事业单位养老、就业补助、社会福利、残疾人事业等事务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）卫生健康支出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76.59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行政事业单位医疗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）城乡社区支出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81.76万元，主要用于城乡社区管理事务支出；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1076.85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万元，主要用于农业农村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事业运行、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防灾救灾、农业生产发展、森林资源管理、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水利、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巩固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拓展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脱贫攻坚成果衔接乡村振兴、农村综合改革等事务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）交通运输支出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162.70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万元，主要用于公路建设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、公路养护、公路和运输安全等事务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）自然资源海洋气象等支出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18.50万元，主要用于自然资源利用与保护事务支出；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）住房保障支出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79.3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住房公积金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）灾害防治及应急管理支出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41.82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万元，主要用于应急管理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、地质灾害防治、森林草原防灾减灾、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自然灾害救灾补助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。</w:t>
      </w:r>
    </w:p>
    <w:p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  <w:t>（二）政府性基金预算</w:t>
      </w:r>
    </w:p>
    <w:p>
      <w:pPr>
        <w:spacing w:line="570" w:lineRule="exact"/>
        <w:ind w:firstLine="643" w:firstLineChars="200"/>
        <w:rPr>
          <w:rFonts w:ascii="方正仿宋_GBK" w:hAnsi="Times New Roman" w:eastAsia="方正仿宋_GBK" w:cs="Times New Roman"/>
          <w:b/>
          <w:kern w:val="0"/>
          <w:sz w:val="32"/>
          <w:szCs w:val="32"/>
          <w:highlight w:val="none"/>
        </w:rPr>
      </w:pPr>
      <w:r>
        <w:rPr>
          <w:rFonts w:hint="eastAsia" w:ascii="方正仿宋_GBK" w:eastAsia="方正仿宋_GBK"/>
          <w:b/>
          <w:bCs/>
          <w:kern w:val="0"/>
          <w:sz w:val="32"/>
          <w:szCs w:val="32"/>
          <w:highlight w:val="none"/>
        </w:rPr>
        <w:t>1.</w:t>
      </w:r>
      <w:r>
        <w:rPr>
          <w:rFonts w:hint="eastAsia" w:ascii="方正仿宋_GBK" w:hAnsi="Times New Roman" w:eastAsia="方正仿宋_GBK" w:cs="Times New Roman"/>
          <w:b/>
          <w:bCs/>
          <w:kern w:val="0"/>
          <w:sz w:val="32"/>
          <w:szCs w:val="32"/>
          <w:highlight w:val="none"/>
        </w:rPr>
        <w:t>收入情况。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龙孔镇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政府性基金预算收入总计为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5.60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万元，为年度预算数的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94.43万元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。</w:t>
      </w:r>
    </w:p>
    <w:p>
      <w:pPr>
        <w:spacing w:line="570" w:lineRule="exact"/>
        <w:ind w:firstLine="643" w:firstLineChars="200"/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</w:pPr>
      <w:r>
        <w:rPr>
          <w:rFonts w:ascii="方正仿宋_GBK" w:eastAsia="方正仿宋_GBK"/>
          <w:b/>
          <w:bCs/>
          <w:kern w:val="0"/>
          <w:sz w:val="32"/>
          <w:szCs w:val="32"/>
          <w:highlight w:val="none"/>
        </w:rPr>
        <w:t>2. </w:t>
      </w:r>
      <w:r>
        <w:rPr>
          <w:rFonts w:hint="eastAsia" w:ascii="方正仿宋_GBK" w:eastAsia="方正仿宋_GBK"/>
          <w:b/>
          <w:bCs/>
          <w:kern w:val="0"/>
          <w:sz w:val="32"/>
          <w:szCs w:val="32"/>
          <w:highlight w:val="none"/>
        </w:rPr>
        <w:t>支出情况。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年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龙孔镇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政府性基金预算支出总计为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5.60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万元,为年度预算数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100%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</w:rPr>
        <w:t>，同比减少</w:t>
      </w:r>
      <w:r>
        <w:rPr>
          <w:rFonts w:hint="eastAsia" w:ascii="方正仿宋_GBK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94.43万元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</w:rPr>
        <w:t>。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社会福利的彩票公益金、体育事业的彩票公益金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等支出</w:t>
      </w:r>
      <w:r>
        <w:rPr>
          <w:rFonts w:hint="eastAsia" w:ascii="方正仿宋_GBK" w:eastAsia="方正仿宋_GBK"/>
          <w:kern w:val="0"/>
          <w:sz w:val="32"/>
          <w:szCs w:val="32"/>
          <w:highlight w:val="none"/>
          <w:lang w:eastAsia="zh-CN"/>
        </w:rPr>
        <w:t>。</w:t>
      </w:r>
    </w:p>
    <w:p>
      <w:pPr>
        <w:spacing w:line="570" w:lineRule="exact"/>
        <w:ind w:firstLine="643" w:firstLineChars="200"/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  <w:t>（三）</w:t>
      </w: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  <w:lang w:eastAsia="zh-CN"/>
        </w:rPr>
        <w:t>2024</w:t>
      </w: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  <w:highlight w:val="none"/>
        </w:rPr>
        <w:t>年重点财政工作</w:t>
      </w:r>
    </w:p>
    <w:p>
      <w:p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积极培育税源，全力挖掘新增财力。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面对外部环境的不确定性、经济下行等压力，我们积极拓展财源建设，依法依规加强收入征管，提高税源管理水平。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一是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推进税源跟踪分析。通过与税务部门的协调配合，强化税收收入协同共治，建立健全高效衔接的涉税数据共享机制，分析研判重点行业、重点税源企业税收增减变动原因，防止税源外流，实现挖潜增收。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二是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拓宽非税收入渠道。围绕全年财政收入目标，深度挖掘非税收入潜力，努力盘活镇级国有资产，增加财政收入。</w:t>
      </w:r>
    </w:p>
    <w:p>
      <w:p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eastAsia="zh-CN"/>
        </w:rPr>
        <w:t>聚焦民生导向，助力重点领域资金保障。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坚持为民办实事，以人为本的工作思想，统筹财政资金，聚焦解决群众急难愁盼问题，全镇民生支出占一般公共预算支出比重达80%。坚持“尽力而为，量力而行”，科学调度资金。牢固树立过“紧日子”思想，进一步严控“三公”经费和各类非刚性、非必要支出，兜牢民生底线，保障重点领域资金需求。统筹整合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衔接资金152.89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万元，推进乡村振兴、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改善人居环境、提升新农人培育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eastAsia="zh-CN"/>
        </w:rPr>
        <w:t>等重大项目顺利实施。</w:t>
      </w:r>
    </w:p>
    <w:p>
      <w:p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3.规范资金使用，提升财政绩效管理效能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贯彻落实党中央关于“全面实施预算绩效管理”的决策部署，探索财政科学监管方式路径，以加快建立现代财政制度为目标，深入推进财政管理改革，提升财政管理效能。增强预算刚性约束，严格预算执行。按照过紧日子要求，严控“三公”经费支出，2024年“三公”经费实际支出16.53万元，同比减少3%。严格做好项目绩效审核，严把项目筛选、入库关，通过规范财政资金使用和审核，最大限度地节约资金。并充分利用财政承受能力论证工具，不断提高财政管理水平，增强镇级财政的公共服务水平和统筹发展能力。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各位代表、同志们！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2024年龙孔镇财政运行态势总体平稳，这离不开镇党委和镇政府的统筹决策，离不开镇人大的监督指导，同时也是各部门以及全镇人民共同努力的结果。但在财政运行中仍然存在着一些困难和问题，如：收入增长缓慢，收支矛盾突出，资金兑付压力大。针对这些问题镇财政将在今后的工作中认真研判，采取有效措施逐步予以克服和解决。</w:t>
      </w:r>
    </w:p>
    <w:p>
      <w:pPr>
        <w:spacing w:line="570" w:lineRule="exact"/>
        <w:ind w:firstLine="640" w:firstLineChars="200"/>
        <w:rPr>
          <w:rFonts w:ascii="方正黑体_GBK" w:eastAsia="方正黑体_GBK"/>
          <w:color w:val="000000"/>
          <w:kern w:val="0"/>
          <w:sz w:val="32"/>
          <w:szCs w:val="32"/>
        </w:rPr>
      </w:pP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二、202</w:t>
      </w:r>
      <w:r>
        <w:rPr>
          <w:rFonts w:hint="eastAsia" w:ascii="方正黑体_GBK" w:eastAsia="方正黑体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黑体_GBK" w:eastAsia="方正黑体_GBK"/>
          <w:color w:val="000000"/>
          <w:kern w:val="0"/>
          <w:sz w:val="32"/>
          <w:szCs w:val="32"/>
        </w:rPr>
        <w:t>年财政预算（草案）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2025年是“十四五”规划的收官之年，也是现代化新重庆建设纵深推进的关键之年，实施更加积极的财政政策，做好预算编制和财政工作意义重大，镇财政将全面贯彻党中央、国务院和市委、市政府以及县委、县政府决策部署，严格落实镇党委、镇政府的工作要求，认真执行镇人大决议，科学研判财政收支形势，积极发挥财政职能作用，努力为全镇经济社会发展提供财力支撑。</w:t>
      </w:r>
    </w:p>
    <w:p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</w:rPr>
        <w:t>（一）一般公共预算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年一般公共预算收入预期总计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2620.11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2620.11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一般公共服务支出754.4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政府办公室及相关机构、组织、社会工作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等行政运行管理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文化旅游体育与传媒支出48.82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万元，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主要用于群众文化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服务支出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.社会保障和就业支出311.27万元，主要用于人力资源和社会保障管理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、民政管理、行政单位离退休、机关事业单位基本养老保险缴费、机关事业单位职业年金缴费、其他行政事业单位养老等事务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.卫生健康支出72.88万元，主要用于行政事业单位医疗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.城乡社区支出95.12万元，主要用于城乡社区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管理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.农林水支出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781.06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万元，主要用于农业农村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事业运行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、农村综合改革对村民委员会和村党支部的补助等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；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7.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交通运输支出453.75万元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主要用于公路建设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、公路养护、公路和运输安全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等支出；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8.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自然资源海洋气象等支出4.5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主要用于自然资源利用与保护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支出；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9.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住房保障支出71.31万元，主要用于住房公积金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缴费支出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；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灾害防治及应急管理支出6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主要用于自然灾害救灾补助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支出；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11.预备费21万元，主要用于自然灾害等突发事件处置及其他难以预见的支出。</w:t>
      </w:r>
    </w:p>
    <w:p>
      <w:pPr>
        <w:spacing w:line="570" w:lineRule="exact"/>
        <w:ind w:firstLine="643" w:firstLineChars="200"/>
        <w:rPr>
          <w:rFonts w:ascii="方正楷体_GBK" w:hAnsi="Times New Roman" w:eastAsia="方正楷体_GBK" w:cs="Times New Roman"/>
          <w:b/>
          <w:bCs/>
          <w:kern w:val="0"/>
          <w:sz w:val="32"/>
          <w:szCs w:val="32"/>
        </w:rPr>
      </w:pPr>
      <w:r>
        <w:rPr>
          <w:rFonts w:hint="eastAsia" w:ascii="方正楷体_GBK" w:hAnsi="Times New Roman" w:eastAsia="方正楷体_GBK" w:cs="Times New Roman"/>
          <w:b/>
          <w:bCs/>
          <w:kern w:val="0"/>
          <w:sz w:val="32"/>
          <w:szCs w:val="32"/>
        </w:rPr>
        <w:t>（二）政府性基金预算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年政府性基金预算资金收入预期总计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57.01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万元。根据收入安排相应的支出总计预算为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57.01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万元。支出的分类情况是：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1.城乡社区支出20.51万元，主要用于其他国有土地使用权出让收入安排的支出；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其他支出36.5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0万元，主要用于社会福利的彩票公益金、其他社会公益事业的彩票公益金支出。</w:t>
      </w:r>
    </w:p>
    <w:p>
      <w:pPr>
        <w:spacing w:line="570" w:lineRule="exact"/>
        <w:ind w:firstLine="643" w:firstLineChars="200"/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</w:rPr>
        <w:t>三、2</w:t>
      </w:r>
      <w:r>
        <w:rPr>
          <w:rFonts w:ascii="Times New Roman" w:hAnsi="Times New Roman" w:eastAsia="方正仿宋_GBK" w:cs="Times New Roman"/>
          <w:b/>
          <w:bCs/>
          <w:kern w:val="0"/>
          <w:sz w:val="32"/>
          <w:szCs w:val="32"/>
        </w:rPr>
        <w:t>02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</w:rPr>
        <w:t>年财政工作主要任务</w:t>
      </w:r>
    </w:p>
    <w:p>
      <w:p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</w:rPr>
        <w:t>围绕2025年财政收支预算目标任务，我们将重点抓好以下几个方面的工作。</w:t>
      </w:r>
    </w:p>
    <w:p>
      <w:pPr>
        <w:numPr>
          <w:ilvl w:val="0"/>
          <w:numId w:val="1"/>
        </w:numPr>
        <w:spacing w:line="570" w:lineRule="exact"/>
        <w:ind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加强财源建设，提高财政收入质量。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一方面，严格落实国家税费优惠、财政补助、政府采购等财税扶持政策，用好用活惠企信贷产品，帮助市场主体纾困解难，持续打造最优营商环境，在减轻企业负担的同时，培育新的经济增长点。另一方面，加强财政收入组织工作，盘活国有闲置资产、资源，从存量资产中挖掘增收潜力。强化国有资本收益管理，增加镇级财政收入。加强税收征管，确保应收尽收，积极向上争取更多项目落地龙孔。</w:t>
      </w:r>
    </w:p>
    <w:p>
      <w:pPr>
        <w:numPr>
          <w:ilvl w:val="0"/>
          <w:numId w:val="1"/>
        </w:numPr>
        <w:spacing w:line="57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优化支出结构，保障重点领域支出。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优先保障“三保”支出、市县重点考核支出及镇党委重大决策支出，注重惠民生、促消费、增后劲，持续落实“党政机关要坚持过紧日子”，强化“三公”经费预算管理，严控行政事业单位编外聘用人员规模和政府购买服务事项。</w:t>
      </w:r>
    </w:p>
    <w:p>
      <w:pPr>
        <w:numPr>
          <w:ilvl w:val="0"/>
          <w:numId w:val="1"/>
        </w:numPr>
        <w:spacing w:line="57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深化财政改革，提高财政治理效能。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持续深化零基预算改革，提高预算管理规范性、精准性。进一步推进预算绩效管理，持续完善“全方位、全过程、全覆盖”管理体系，严格落实预算绩效管理机制。把好财政投资项目预算入口和结算出口，规范政府采购行为，推进数字财政建设，加强财政数据分析应用。</w:t>
      </w:r>
    </w:p>
    <w:p>
      <w:pPr>
        <w:numPr>
          <w:ilvl w:val="0"/>
          <w:numId w:val="1"/>
        </w:numPr>
        <w:spacing w:line="570" w:lineRule="exact"/>
        <w:ind w:left="0" w:leftChars="0" w:firstLine="643" w:firstLineChars="200"/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b/>
          <w:bCs/>
          <w:kern w:val="0"/>
          <w:sz w:val="32"/>
          <w:szCs w:val="32"/>
          <w:highlight w:val="none"/>
          <w:lang w:val="en-US" w:eastAsia="zh-CN"/>
        </w:rPr>
        <w:t>加强风险管控，筑牢运行安全屏障。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highlight w:val="none"/>
          <w:lang w:val="en-US" w:eastAsia="zh-CN"/>
        </w:rPr>
        <w:t>坚持财政运行风险监测，完善库款保障措施，合理调度使用资金，优化预算执行动态监控体系，加强国库集中支付资金监管，不断防范支付风险。加大财会监督力度，推动财会监督与纪检监察、审计监督等各类监督贯通协调，构建全方位立体化监督体系。</w:t>
      </w:r>
    </w:p>
    <w:p>
      <w:pPr>
        <w:numPr>
          <w:ilvl w:val="0"/>
          <w:numId w:val="0"/>
        </w:numPr>
        <w:spacing w:line="570" w:lineRule="exact"/>
        <w:ind w:firstLine="640" w:firstLineChars="200"/>
        <w:rPr>
          <w:rFonts w:eastAsia="方正小标宋_GBK"/>
          <w:color w:val="000000"/>
          <w:kern w:val="0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  <w:shd w:val="clear" w:color="auto" w:fill="FFFFFF"/>
        </w:rPr>
        <w:t>各位代表</w:t>
      </w:r>
      <w:r>
        <w:rPr>
          <w:rFonts w:hint="eastAsia" w:ascii="Times New Roman" w:hAnsi="Times New Roman" w:eastAsia="方正仿宋_GBK"/>
          <w:sz w:val="32"/>
          <w:szCs w:val="32"/>
          <w:shd w:val="clear" w:color="auto" w:fill="FFFFFF"/>
          <w:lang w:eastAsia="zh-CN"/>
        </w:rPr>
        <w:t>、同志们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！2025年既是“十四五”规划收官之年，也是“十五五”规划谋篇布局之年。做好2025年财政工作意义重大、责任重大，镇财政将在镇党委、镇政府的正确领导和镇人大的监督支持下，埋头苦干，勇毅前行，为全镇经济社会事业持续健康发展作出新的贡献，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  <w:lang w:val="en-US" w:eastAsia="zh-CN"/>
        </w:rPr>
        <w:t>建“橙意龙孔”、享“橙香生活”</w:t>
      </w:r>
      <w:r>
        <w:rPr>
          <w:rFonts w:hint="eastAsia" w:ascii="Times New Roman" w:hAnsi="Times New Roman" w:eastAsia="方正仿宋_GBK" w:cs="Times New Roman"/>
          <w:sz w:val="32"/>
          <w:szCs w:val="32"/>
          <w:shd w:val="clear" w:color="auto" w:fill="FFFFFF"/>
        </w:rPr>
        <w:t>彰显财政担当、贡献财政力量！</w:t>
      </w:r>
    </w:p>
    <w:p>
      <w:pPr>
        <w:spacing w:line="570" w:lineRule="exact"/>
        <w:ind w:firstLine="640" w:firstLineChars="200"/>
        <w:rPr>
          <w:rFonts w:hint="default" w:eastAsia="方正黑体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eastAsia="方正黑体_GBK"/>
          <w:color w:val="000000"/>
          <w:kern w:val="0"/>
          <w:sz w:val="32"/>
          <w:szCs w:val="32"/>
          <w:lang w:val="en-US" w:eastAsia="zh-CN"/>
        </w:rPr>
        <w:t>四、相关事项说明</w:t>
      </w:r>
    </w:p>
    <w:p>
      <w:pPr>
        <w:spacing w:line="570" w:lineRule="exact"/>
        <w:ind w:firstLine="643" w:firstLineChars="200"/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  <w:t>一、</w:t>
      </w: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  <w:lang w:eastAsia="zh-CN"/>
        </w:rPr>
        <w:t>2024</w:t>
      </w: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  <w:t>年预备费使用情况</w:t>
      </w:r>
    </w:p>
    <w:p>
      <w:pPr>
        <w:spacing w:line="570" w:lineRule="exact"/>
        <w:ind w:firstLine="640" w:firstLineChars="200"/>
        <w:rPr>
          <w:rFonts w:hint="default" w:ascii="方正仿宋_GBK" w:hAnsi="Times New Roman" w:eastAsia="方正仿宋_GBK" w:cs="Times New Roman"/>
          <w:kern w:val="0"/>
          <w:sz w:val="32"/>
          <w:szCs w:val="32"/>
          <w:lang w:val="en-US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预备费全年预算21万元，主要用于灾害防治及应急管理事务支出。其中，应急管理事务支出20.99万元。</w:t>
      </w:r>
    </w:p>
    <w:p>
      <w:pPr>
        <w:spacing w:line="570" w:lineRule="exact"/>
        <w:ind w:firstLine="643" w:firstLineChars="200"/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</w:pPr>
      <w:r>
        <w:rPr>
          <w:rFonts w:hint="eastAsia" w:ascii="方正书宋_GBK" w:hAnsi="方正书宋_GBK" w:eastAsia="方正书宋_GBK" w:cs="方正书宋_GBK"/>
          <w:b/>
          <w:bCs/>
          <w:color w:val="000000"/>
          <w:kern w:val="0"/>
          <w:sz w:val="32"/>
          <w:szCs w:val="32"/>
        </w:rPr>
        <w:t>二、“三公”经费相关情况</w:t>
      </w:r>
    </w:p>
    <w:p>
      <w:pPr>
        <w:spacing w:line="570" w:lineRule="exact"/>
        <w:ind w:firstLine="640" w:firstLineChars="200"/>
        <w:rPr>
          <w:rFonts w:ascii="Times New Roman" w:hAnsi="Times New Roman" w:eastAsia="方正仿宋_GBK" w:cs="Times New Roman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0"/>
          <w:sz w:val="32"/>
          <w:szCs w:val="32"/>
        </w:rPr>
        <w:t>2025年“三公”经费预算19万元，比2024年减少2万元。其中：公务接待费3万元，比上年减少2万元，主要原因是严格落实中央八项规定，持续压缩公务接待开支；公务用车运行维护费16万元，与2024年持平，主要原因是本镇实有车辆4辆，均为燃油车。</w:t>
      </w: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70" w:lineRule="exact"/>
        <w:jc w:val="both"/>
        <w:rPr>
          <w:rFonts w:eastAsia="方正小标宋_GBK"/>
          <w:sz w:val="44"/>
          <w:szCs w:val="44"/>
        </w:rPr>
      </w:pP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名词解释</w:t>
      </w:r>
    </w:p>
    <w:p>
      <w:pPr>
        <w:spacing w:line="57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一般公共预算：</w:t>
      </w:r>
      <w:r>
        <w:rPr>
          <w:rFonts w:eastAsia="方正仿宋_GBK"/>
          <w:kern w:val="0"/>
          <w:sz w:val="32"/>
          <w:szCs w:val="32"/>
        </w:rPr>
        <w:t>是对以税收为主体的财政收入，安排用于保障和改善民生、推动经济社会发展、维护国家安全、维持国家机构正常运转等方面的收支预算。包括税收收入和非税收入，其中，非税收入主要包括行政事业性收费收入、罚没收入、国有资源（资产）有偿使用收入等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政府性基金预算：</w:t>
      </w:r>
      <w:r>
        <w:rPr>
          <w:rFonts w:eastAsia="方正仿宋_GBK"/>
          <w:kern w:val="0"/>
          <w:sz w:val="32"/>
          <w:szCs w:val="32"/>
        </w:rPr>
        <w:t>是对依照法律、行政法规的规定在一定期限内向特定对象征收、收取或者以其他方式筹集的资金，专项用于特定公共事业发展的收支预算。主要包括土地收入、城市建设配套费。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国有资本经营预算：</w:t>
      </w:r>
      <w:r>
        <w:rPr>
          <w:rFonts w:eastAsia="方正仿宋_GBK"/>
          <w:kern w:val="0"/>
          <w:sz w:val="32"/>
          <w:szCs w:val="32"/>
        </w:rPr>
        <w:t>是对国有资本收益作出支出安排的收支预算。主要为国企上缴利润收入、产权转让收入。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社保基金预算：</w:t>
      </w:r>
      <w:r>
        <w:rPr>
          <w:rFonts w:eastAsia="方正仿宋_GBK"/>
          <w:kern w:val="0"/>
          <w:sz w:val="32"/>
          <w:szCs w:val="32"/>
        </w:rPr>
        <w:t>是对社会保险缴款、一般公共预算安排和其他方式筹集的资金，专项用于社会保险的收支预算。目前是全市统筹，由市统一编制、我县不单独编报。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债券资金：</w:t>
      </w:r>
      <w:r>
        <w:rPr>
          <w:rFonts w:eastAsia="方正仿宋_GBK"/>
          <w:kern w:val="0"/>
          <w:sz w:val="32"/>
          <w:szCs w:val="32"/>
        </w:rPr>
        <w:t>即地方政府债券资金，是指重庆市政府以政府的信用为基础并承诺偿还本息，自主向社会发行地方政府债券筹集的财政资金。按债券发行类别分为置换债券资金和新增债券资金，按预算管理分为一般债券（纳入一般公共预算管理）和专项债券（纳入政府性基金预算管理）。</w:t>
      </w:r>
    </w:p>
    <w:p>
      <w:pPr>
        <w:spacing w:line="560" w:lineRule="exact"/>
        <w:ind w:firstLine="640" w:firstLineChars="200"/>
        <w:rPr>
          <w:rFonts w:eastAsia="方正仿宋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三公经费</w:t>
      </w:r>
      <w:r>
        <w:rPr>
          <w:rFonts w:eastAsia="方正仿宋_GBK"/>
          <w:kern w:val="0"/>
          <w:sz w:val="32"/>
          <w:szCs w:val="32"/>
        </w:rPr>
        <w:t>：指政府部门公务出国（境）经费、公务车购置及运行费、公务接待费。</w:t>
      </w:r>
    </w:p>
    <w:p>
      <w:pPr>
        <w:spacing w:line="570" w:lineRule="exact"/>
        <w:rPr>
          <w:rFonts w:ascii="Times New Roman" w:hAnsi="Times New Roman" w:eastAsia="方正仿宋_GBK" w:cs="Times New Roman"/>
          <w:kern w:val="0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-91440</wp:posOffset>
              </wp:positionV>
              <wp:extent cx="42164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164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7.2pt;height:144pt;width:33.2pt;mso-position-horizontal:right;mso-position-horizontal-relative:margin;z-index:251659264;mso-width-relative:page;mso-height-relative:page;" filled="f" stroked="f" coordsize="21600,21600" o:gfxdata="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Li8/lrXAAAABwEAAA8AAAAAAAAAAQAgAAAAIgAAAGRycy9kb3ducmV2&#10;LnhtbFBLAQIUABQAAAAIAIdO4kB27G8VNgIAAGIEAAAOAAAAAAAAAAEAIAAAACY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>—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AD37F3"/>
    <w:multiLevelType w:val="singleLevel"/>
    <w:tmpl w:val="CFAD37F3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4NGZlNWZlMmVkYWQ1YTA1NGQxYWZmMjQyZjZiYzkifQ=="/>
  </w:docVars>
  <w:rsids>
    <w:rsidRoot w:val="003C5D59"/>
    <w:rsid w:val="00323BF6"/>
    <w:rsid w:val="00325422"/>
    <w:rsid w:val="003C5D59"/>
    <w:rsid w:val="005C716D"/>
    <w:rsid w:val="00776BF3"/>
    <w:rsid w:val="00866A66"/>
    <w:rsid w:val="00941616"/>
    <w:rsid w:val="00953237"/>
    <w:rsid w:val="00991ADF"/>
    <w:rsid w:val="00B90839"/>
    <w:rsid w:val="00D662AB"/>
    <w:rsid w:val="00D7749F"/>
    <w:rsid w:val="00F9294A"/>
    <w:rsid w:val="00FA0688"/>
    <w:rsid w:val="01655E65"/>
    <w:rsid w:val="01814321"/>
    <w:rsid w:val="02E5725D"/>
    <w:rsid w:val="033329F4"/>
    <w:rsid w:val="03C3194F"/>
    <w:rsid w:val="04FB279B"/>
    <w:rsid w:val="057B7A05"/>
    <w:rsid w:val="06C61153"/>
    <w:rsid w:val="0899356D"/>
    <w:rsid w:val="09156036"/>
    <w:rsid w:val="0A6767AA"/>
    <w:rsid w:val="0A700256"/>
    <w:rsid w:val="0AAA48E8"/>
    <w:rsid w:val="0BA15CEB"/>
    <w:rsid w:val="0DE46306"/>
    <w:rsid w:val="0DE545B5"/>
    <w:rsid w:val="0E104377"/>
    <w:rsid w:val="0E99714E"/>
    <w:rsid w:val="101E5DCD"/>
    <w:rsid w:val="10484987"/>
    <w:rsid w:val="112453F4"/>
    <w:rsid w:val="11A46535"/>
    <w:rsid w:val="13201BEB"/>
    <w:rsid w:val="13E64BE3"/>
    <w:rsid w:val="144C4480"/>
    <w:rsid w:val="147217C8"/>
    <w:rsid w:val="14AD4BB6"/>
    <w:rsid w:val="17836BED"/>
    <w:rsid w:val="178564C1"/>
    <w:rsid w:val="178F7340"/>
    <w:rsid w:val="184243B2"/>
    <w:rsid w:val="18EB4A4A"/>
    <w:rsid w:val="1917583F"/>
    <w:rsid w:val="1A8B286B"/>
    <w:rsid w:val="1AF67AD2"/>
    <w:rsid w:val="1D047E88"/>
    <w:rsid w:val="1D936104"/>
    <w:rsid w:val="1DDE2DCF"/>
    <w:rsid w:val="1FC849FE"/>
    <w:rsid w:val="204D7D98"/>
    <w:rsid w:val="22632191"/>
    <w:rsid w:val="230F5DD4"/>
    <w:rsid w:val="2465729D"/>
    <w:rsid w:val="259C15A5"/>
    <w:rsid w:val="29153918"/>
    <w:rsid w:val="293735B7"/>
    <w:rsid w:val="2C517B80"/>
    <w:rsid w:val="2C7867B7"/>
    <w:rsid w:val="2CDA0C05"/>
    <w:rsid w:val="2E284AC7"/>
    <w:rsid w:val="2F8F5CD7"/>
    <w:rsid w:val="30FD7358"/>
    <w:rsid w:val="3216448E"/>
    <w:rsid w:val="32D560F7"/>
    <w:rsid w:val="34050BF1"/>
    <w:rsid w:val="373A6E70"/>
    <w:rsid w:val="39013E0A"/>
    <w:rsid w:val="3A4E0628"/>
    <w:rsid w:val="3BE41159"/>
    <w:rsid w:val="3D6819C4"/>
    <w:rsid w:val="3E38578C"/>
    <w:rsid w:val="3E7959E8"/>
    <w:rsid w:val="3ED402CB"/>
    <w:rsid w:val="3FD322A2"/>
    <w:rsid w:val="3FFA53EF"/>
    <w:rsid w:val="40C36228"/>
    <w:rsid w:val="41097DCA"/>
    <w:rsid w:val="43F03A7C"/>
    <w:rsid w:val="47394A4E"/>
    <w:rsid w:val="4BEE392E"/>
    <w:rsid w:val="4C465592"/>
    <w:rsid w:val="4F732AC8"/>
    <w:rsid w:val="4FCF1AE6"/>
    <w:rsid w:val="50A30AB6"/>
    <w:rsid w:val="50CA4969"/>
    <w:rsid w:val="50E517A3"/>
    <w:rsid w:val="5122044E"/>
    <w:rsid w:val="523F4EE3"/>
    <w:rsid w:val="529C2335"/>
    <w:rsid w:val="53885615"/>
    <w:rsid w:val="53A30B5C"/>
    <w:rsid w:val="544D19A0"/>
    <w:rsid w:val="54686973"/>
    <w:rsid w:val="55540CA5"/>
    <w:rsid w:val="56793877"/>
    <w:rsid w:val="56C1680E"/>
    <w:rsid w:val="57A2219C"/>
    <w:rsid w:val="59561490"/>
    <w:rsid w:val="5B3A26EB"/>
    <w:rsid w:val="5D3E1BE0"/>
    <w:rsid w:val="5DBF6416"/>
    <w:rsid w:val="5F15001E"/>
    <w:rsid w:val="5F677827"/>
    <w:rsid w:val="5F7563E8"/>
    <w:rsid w:val="5FED5F7E"/>
    <w:rsid w:val="5FEE1F6D"/>
    <w:rsid w:val="604A33D1"/>
    <w:rsid w:val="60F5158E"/>
    <w:rsid w:val="61972646"/>
    <w:rsid w:val="627806C9"/>
    <w:rsid w:val="628C1A7E"/>
    <w:rsid w:val="629B7ECB"/>
    <w:rsid w:val="62C51434"/>
    <w:rsid w:val="638D28C0"/>
    <w:rsid w:val="66BC48FC"/>
    <w:rsid w:val="670B1913"/>
    <w:rsid w:val="679D028A"/>
    <w:rsid w:val="682B37F2"/>
    <w:rsid w:val="6A3D5D54"/>
    <w:rsid w:val="6B144D07"/>
    <w:rsid w:val="6C164AAF"/>
    <w:rsid w:val="6C3A69EF"/>
    <w:rsid w:val="6C855839"/>
    <w:rsid w:val="6D1F1741"/>
    <w:rsid w:val="6D5B66F6"/>
    <w:rsid w:val="6D6B0BCD"/>
    <w:rsid w:val="6DB4457F"/>
    <w:rsid w:val="6E6B2E90"/>
    <w:rsid w:val="6FAC19B2"/>
    <w:rsid w:val="6FCA12D5"/>
    <w:rsid w:val="70CD6084"/>
    <w:rsid w:val="716360A0"/>
    <w:rsid w:val="71BF6877"/>
    <w:rsid w:val="71C24A02"/>
    <w:rsid w:val="73F97190"/>
    <w:rsid w:val="750D2B24"/>
    <w:rsid w:val="757765BE"/>
    <w:rsid w:val="76BB24DB"/>
    <w:rsid w:val="772406D8"/>
    <w:rsid w:val="777F18E0"/>
    <w:rsid w:val="795445DD"/>
    <w:rsid w:val="7A4D67CE"/>
    <w:rsid w:val="7AB94F83"/>
    <w:rsid w:val="7AF17BB8"/>
    <w:rsid w:val="7B5C195C"/>
    <w:rsid w:val="7BEB3862"/>
    <w:rsid w:val="7DA5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3961</Words>
  <Characters>4231</Characters>
  <Lines>11</Lines>
  <Paragraphs>3</Paragraphs>
  <TotalTime>13</TotalTime>
  <ScaleCrop>false</ScaleCrop>
  <LinksUpToDate>false</LinksUpToDate>
  <CharactersWithSpaces>4231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2024-02-19T03:43:00Z</dcterms:created>
  <dc:creator>Administrator</dc:creator>
  <cp:lastModifiedBy>a</cp:lastModifiedBy>
  <dcterms:modified xsi:type="dcterms:W3CDTF">2025-04-28T07:31:00Z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3DEC6E0AF3244E399F83F1FFBB6A9553_12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