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ascii="方正小标宋_GBK" w:hAnsi="华文宋体" w:cs="MingLiU"/>
          <w:b w:val="0"/>
          <w:bCs/>
          <w:snapToGrid w:val="0"/>
          <w:w w:val="99"/>
          <w:sz w:val="44"/>
          <w:szCs w:val="44"/>
        </w:rPr>
      </w:pPr>
      <w:bookmarkStart w:id="0" w:name="_Toc200359427"/>
      <w:bookmarkStart w:id="1" w:name="_Toc277082536"/>
      <w:bookmarkStart w:id="2" w:name="_Toc224103299"/>
      <w:bookmarkStart w:id="3" w:name="_Toc200359238"/>
      <w:bookmarkStart w:id="4" w:name="_Toc287607728"/>
      <w:bookmarkStart w:id="5" w:name="_Toc439254292"/>
      <w:r>
        <w:rPr>
          <w:rFonts w:hint="eastAsia" w:ascii="方正小标宋_GBK" w:hAnsi="华文宋体" w:cs="MingLiU"/>
          <w:b w:val="0"/>
          <w:bCs/>
          <w:snapToGrid w:val="0"/>
          <w:w w:val="99"/>
          <w:sz w:val="44"/>
          <w:szCs w:val="44"/>
        </w:rPr>
        <w:t>丰都县龙河镇人民政府</w:t>
      </w:r>
    </w:p>
    <w:p>
      <w:pPr>
        <w:spacing w:line="520" w:lineRule="exact"/>
        <w:jc w:val="center"/>
        <w:rPr>
          <w:rFonts w:ascii="方正小标宋_GBK" w:hAnsi="华文宋体" w:cs="MingLiU"/>
          <w:b w:val="0"/>
          <w:bCs/>
          <w:snapToGrid w:val="0"/>
          <w:w w:val="99"/>
          <w:sz w:val="44"/>
          <w:szCs w:val="44"/>
        </w:rPr>
      </w:pPr>
      <w:r>
        <w:rPr>
          <w:rFonts w:hint="eastAsia" w:ascii="方正小标宋_GBK" w:hAnsi="华文宋体" w:cs="MingLiU"/>
          <w:b w:val="0"/>
          <w:bCs/>
          <w:snapToGrid w:val="0"/>
          <w:w w:val="99"/>
          <w:sz w:val="44"/>
          <w:szCs w:val="44"/>
        </w:rPr>
        <w:t>关于丰都县龙河镇抗旱水源工程施工单位</w:t>
      </w:r>
    </w:p>
    <w:p>
      <w:pPr>
        <w:spacing w:line="520" w:lineRule="exact"/>
        <w:jc w:val="center"/>
        <w:rPr>
          <w:rFonts w:hint="eastAsia" w:ascii="方正小标宋_GBK" w:hAnsi="华文宋体" w:cs="MingLiU"/>
          <w:b w:val="0"/>
          <w:bCs/>
          <w:snapToGrid w:val="0"/>
          <w:w w:val="99"/>
          <w:sz w:val="44"/>
          <w:szCs w:val="44"/>
        </w:rPr>
      </w:pPr>
      <w:r>
        <w:rPr>
          <w:rFonts w:hint="eastAsia" w:ascii="方正小标宋_GBK" w:hAnsi="华文宋体" w:cs="MingLiU"/>
          <w:b w:val="0"/>
          <w:bCs/>
          <w:snapToGrid w:val="0"/>
          <w:w w:val="99"/>
          <w:sz w:val="44"/>
          <w:szCs w:val="44"/>
        </w:rPr>
        <w:t>竞争性比选的公告</w:t>
      </w:r>
    </w:p>
    <w:p>
      <w:pPr>
        <w:spacing w:line="520" w:lineRule="exact"/>
        <w:jc w:val="center"/>
        <w:rPr>
          <w:rFonts w:hint="eastAsia" w:ascii="方正小标宋_GBK" w:hAnsi="华文宋体" w:cs="MingLiU"/>
          <w:b w:val="0"/>
          <w:bCs/>
          <w:snapToGrid w:val="0"/>
          <w:w w:val="99"/>
          <w:sz w:val="44"/>
          <w:szCs w:val="44"/>
        </w:rPr>
      </w:pP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1. 招标条件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position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本招标项目</w:t>
      </w:r>
      <w:r>
        <w:rPr>
          <w:rFonts w:hint="eastAsia" w:ascii="方正仿宋_GBK" w:hAnsi="方正仿宋_GBK" w:eastAsia="方正仿宋_GBK" w:cs="方正仿宋_GBK"/>
          <w:b/>
          <w:snapToGrid w:val="0"/>
          <w:sz w:val="32"/>
          <w:szCs w:val="32"/>
          <w:u w:val="single"/>
        </w:rPr>
        <w:t>丰都县龙河镇抗旱水源工程施工单位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竞争性比选工作已由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  <w:u w:val="single"/>
        </w:rPr>
        <w:t>丰都县龙河镇人民政府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批准实施，项目业主为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  <w:u w:val="single"/>
        </w:rPr>
        <w:t>丰都县龙河镇人民政府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资金来源为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w w:val="99"/>
          <w:sz w:val="32"/>
          <w:szCs w:val="32"/>
          <w:u w:val="single"/>
        </w:rPr>
        <w:t>2025年财政衔接资金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  <w:u w:val="single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项目出资比例为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  <w:u w:val="single"/>
        </w:rPr>
        <w:t xml:space="preserve"> 100%，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招标人</w:t>
      </w:r>
      <w:r>
        <w:rPr>
          <w:rFonts w:hint="eastAsia" w:ascii="方正仿宋_GBK" w:hAnsi="方正仿宋_GBK" w:eastAsia="方正仿宋_GBK" w:cs="方正仿宋_GBK"/>
          <w:snapToGrid w:val="0"/>
          <w:position w:val="-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  <w:u w:val="single"/>
        </w:rPr>
        <w:t>丰都县龙河镇人民政府</w:t>
      </w:r>
      <w:r>
        <w:rPr>
          <w:rFonts w:hint="eastAsia" w:ascii="方正仿宋_GBK" w:hAnsi="方正仿宋_GBK" w:eastAsia="方正仿宋_GBK" w:cs="方正仿宋_GBK"/>
          <w:b/>
          <w:snapToGrid w:val="0"/>
          <w:w w:val="99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position w:val="-2"/>
          <w:sz w:val="32"/>
          <w:szCs w:val="32"/>
        </w:rPr>
        <w:t>该项目属于饮水工程，经党委会研究决定现对该项目的施工单位进行竞争性比选，由于该项目属于考核项目，时间要求紧，故招标限价用预算审核价暂作此次招标最高限价，待财评价出来后，如果此次招标限价高于财评价就以财评价作为施工合同金额，如果此次招标限价低于财评价就以此次招标限价作为施工合同金额。</w:t>
      </w: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bookmarkStart w:id="6" w:name="_Toc200359239"/>
      <w:bookmarkStart w:id="7" w:name="_Toc224103300"/>
      <w:bookmarkStart w:id="8" w:name="_Toc439254293"/>
      <w:bookmarkStart w:id="9" w:name="_Toc287607729"/>
      <w:bookmarkStart w:id="10" w:name="_Toc277082537"/>
      <w:bookmarkStart w:id="11" w:name="_Toc200359428"/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 项目概况与招标范围</w:t>
      </w:r>
      <w:bookmarkEnd w:id="6"/>
      <w:bookmarkEnd w:id="7"/>
      <w:bookmarkEnd w:id="8"/>
      <w:bookmarkEnd w:id="9"/>
      <w:bookmarkEnd w:id="10"/>
      <w:bookmarkEnd w:id="11"/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2.1 项目名称：丰都县龙河镇抗旱水源工程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2.2 项目地点：丰都县龙河镇杉木岩村、柏木园村、石仓坝村</w:t>
      </w:r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2.3 工作内容：本工程主要建设内容为新建杉木岩村新水厂、柏木园供水蓄水池、石仓坝管网整治：新建蓄水池100m³、30m³，新建挡土墙，新建泥结石路面，新建C20钢筋砼地面，新建块石混凝土挡墙，新建供水、输水管网及其附属设施闸阀井等，购置安装室外球机监控，购置安装浸没式超滤膜净水设备，购置安装全自动50g/h次氯酸钠发生器，购置安装清水箱，购置抽水泵、电杆、电线、电缆等。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2.4 投资规模：最高限价75.5万元。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2.5 计划工期：4个月（与施工合同同步）。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2.6 招标范围：丰都县龙河镇抗旱水源工程的所有设计施工内容。</w:t>
      </w: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bookmarkStart w:id="12" w:name="_Toc287607730"/>
      <w:bookmarkStart w:id="13" w:name="_Toc200359240"/>
      <w:bookmarkStart w:id="14" w:name="_Toc224103301"/>
      <w:bookmarkStart w:id="15" w:name="_Toc200359429"/>
      <w:bookmarkStart w:id="16" w:name="_Toc439254294"/>
      <w:bookmarkStart w:id="17" w:name="_Toc277082538"/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3. 投标人资格要求</w:t>
      </w:r>
      <w:bookmarkEnd w:id="12"/>
      <w:bookmarkEnd w:id="13"/>
      <w:bookmarkEnd w:id="14"/>
      <w:bookmarkEnd w:id="15"/>
      <w:bookmarkEnd w:id="16"/>
      <w:bookmarkEnd w:id="17"/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3.1 本次招标要求投标人须具备行政主管部门颁发的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  <w:u w:val="single"/>
        </w:rPr>
        <w:t>建筑工程施工总承包三级及以上资质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</w:rPr>
        <w:t>,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并在人员、设备、资金等方面具有相应的施工能力。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3.2 资格审查方式：资格预审</w:t>
      </w:r>
    </w:p>
    <w:p>
      <w:pPr>
        <w:pageBreakBefore w:val="0"/>
        <w:tabs>
          <w:tab w:val="left" w:pos="3840"/>
          <w:tab w:val="left" w:pos="5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3.3 本次招标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</w:rPr>
        <w:t>不接受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联合体投标。</w:t>
      </w:r>
      <w:bookmarkStart w:id="18" w:name="_Toc331774921"/>
      <w:bookmarkEnd w:id="18"/>
      <w:bookmarkStart w:id="19" w:name="_Toc200359242"/>
      <w:bookmarkEnd w:id="19"/>
      <w:bookmarkStart w:id="20" w:name="_Toc224103303"/>
      <w:bookmarkEnd w:id="20"/>
      <w:bookmarkStart w:id="21" w:name="_Toc332358969"/>
      <w:bookmarkEnd w:id="21"/>
      <w:bookmarkStart w:id="22" w:name="_Toc200359431"/>
      <w:bookmarkEnd w:id="22"/>
      <w:bookmarkStart w:id="23" w:name="_Toc331600480"/>
      <w:bookmarkEnd w:id="23"/>
      <w:bookmarkStart w:id="24" w:name="_Toc277082540"/>
      <w:bookmarkEnd w:id="24"/>
      <w:bookmarkStart w:id="25" w:name="_Toc287607732"/>
      <w:bookmarkEnd w:id="25"/>
      <w:bookmarkStart w:id="26" w:name="_Toc11822"/>
      <w:bookmarkStart w:id="27" w:name="_Toc368656809"/>
      <w:bookmarkStart w:id="28" w:name="_Toc402862118"/>
      <w:bookmarkStart w:id="29" w:name="_Toc405726920"/>
      <w:bookmarkStart w:id="30" w:name="_Toc402861915"/>
      <w:bookmarkStart w:id="31" w:name="_Toc423198619"/>
      <w:bookmarkStart w:id="32" w:name="_Toc351398164"/>
      <w:bookmarkStart w:id="33" w:name="_Toc353957502"/>
      <w:bookmarkStart w:id="34" w:name="_Toc421716096"/>
      <w:bookmarkStart w:id="35" w:name="_Toc439254296"/>
      <w:bookmarkStart w:id="36" w:name="_Toc397666832"/>
    </w:p>
    <w:p>
      <w:pPr>
        <w:pStyle w:val="2"/>
        <w:keepLines w:val="0"/>
        <w:pageBreakBefore w:val="0"/>
        <w:widowControl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4. 招标文件获取</w:t>
      </w:r>
    </w:p>
    <w:p>
      <w:pPr>
        <w:pStyle w:val="2"/>
        <w:keepLines w:val="0"/>
        <w:pageBreakBefore w:val="0"/>
        <w:widowControl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  <w:t>凡通过上述报名者，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</w:rPr>
        <w:t>请于2025年6月17日至2025年6月24日上午09:00时前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  <w:t>（法定公休日、法定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  <w:lang w:val="en-US" w:eastAsia="zh-CN"/>
        </w:rPr>
        <w:t>节假日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  <w:t>除外）至丰都县龙河镇政府办公楼319室王伟处（电话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023-70678079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z w:val="32"/>
          <w:szCs w:val="32"/>
        </w:rPr>
        <w:t>）获取招标文件。</w:t>
      </w: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5. 投标文件的递交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5.1投标文件递交的截止时间（投标截止时间，下同）为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2025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24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>00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地点为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  <w:u w:val="single"/>
        </w:rPr>
        <w:t>龙河镇政府办公楼319室王伟处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。</w:t>
      </w:r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5.2  逾期送达的或者未送达指定地点的投标文件，招标人不予受理。</w:t>
      </w: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6. 比选评分说明：</w:t>
      </w:r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6.1参加比选单位资质（满分15）：具备建设行政主管部门颁发的建筑工程施工总承包三级资质得13分，二级资质得14分，一级资质得15分，否则不得分。（若未提供资质证书，只提供营业执照的按照三级资质得分。）</w:t>
      </w:r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6.2 参加比选单位信誉度（满分15）：进入“丰都县国有投资非必须招标项目备选承包商库”的加10分，能够提供本项目同类型工程合同证明的加5分，不能提供的不加分。（以提供的复印件为准）。</w:t>
      </w:r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6.3 报价（满分35分）：所有报价不得超过最高限价75.5万元以内为有效报价，超出不得分。</w:t>
      </w:r>
    </w:p>
    <w:p>
      <w:pPr>
        <w:pageBreakBefore w:val="0"/>
        <w:kinsoku/>
        <w:overflowPunct/>
        <w:topLinePunct w:val="0"/>
        <w:bidi w:val="0"/>
        <w:snapToGrid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6.4 技术部分（满分35分）：参考投标单位提供施工组织方案的合理性、先进性、全面性，以及投标单位采用先进技术缩短施工工期承诺书、优先使用本区域内农民工承诺书。</w:t>
      </w:r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bookmarkStart w:id="37" w:name="_Toc351398165"/>
      <w:bookmarkEnd w:id="37"/>
      <w:bookmarkStart w:id="38" w:name="_Toc405726921"/>
      <w:bookmarkStart w:id="39" w:name="_Toc397666833"/>
      <w:bookmarkStart w:id="40" w:name="_Toc421716097"/>
      <w:bookmarkStart w:id="41" w:name="_Toc368656810"/>
      <w:bookmarkStart w:id="42" w:name="_Toc423198620"/>
      <w:bookmarkStart w:id="43" w:name="_Toc18824"/>
      <w:bookmarkStart w:id="44" w:name="_Toc439254297"/>
      <w:bookmarkStart w:id="45" w:name="_Toc353957503"/>
      <w:bookmarkStart w:id="46" w:name="_Toc402862119"/>
      <w:bookmarkStart w:id="47" w:name="_Toc402861916"/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7. 发布公告的媒介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本次招标公告同时在政府专栏上发布。</w:t>
      </w:r>
      <w:bookmarkStart w:id="48" w:name="_Toc439254298"/>
    </w:p>
    <w:p>
      <w:pPr>
        <w:pStyle w:val="2"/>
        <w:pageBreakBefore w:val="0"/>
        <w:kinsoku/>
        <w:overflowPunct/>
        <w:topLinePunct w:val="0"/>
        <w:bidi w:val="0"/>
        <w:spacing w:before="0" w:after="0"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8．联系方式</w:t>
      </w:r>
      <w:bookmarkEnd w:id="48"/>
      <w:bookmarkStart w:id="49" w:name="_GoBack"/>
      <w:bookmarkEnd w:id="49"/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招标人：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丰都县龙河镇人民政府      </w:t>
      </w:r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　址：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丰都县龙河镇坪远路255号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王伟                     </w:t>
      </w:r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　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023-70678079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</w:p>
    <w:p>
      <w:pPr>
        <w:pageBreakBefore w:val="0"/>
        <w:kinsoku/>
        <w:overflowPunct/>
        <w:topLinePunct w:val="0"/>
        <w:bidi w:val="0"/>
        <w:spacing w:line="57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tabs>
          <w:tab w:val="left" w:pos="3840"/>
          <w:tab w:val="left" w:pos="53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 xml:space="preserve"> 丰都县龙河镇人民政府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 </w:t>
      </w:r>
    </w:p>
    <w:p>
      <w:pPr>
        <w:pageBreakBefore w:val="0"/>
        <w:tabs>
          <w:tab w:val="left" w:pos="3840"/>
          <w:tab w:val="left" w:pos="53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2025年6月17日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tabs>
          <w:tab w:val="left" w:pos="3840"/>
          <w:tab w:val="left" w:pos="5300"/>
        </w:tabs>
        <w:kinsoku/>
        <w:wordWrap/>
        <w:overflowPunct/>
        <w:topLinePunct w:val="0"/>
        <w:autoSpaceDE w:val="0"/>
        <w:autoSpaceDN w:val="0"/>
        <w:bidi/>
        <w:adjustRightInd w:val="0"/>
        <w:snapToGrid w:val="0"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840"/>
          <w:tab w:val="left" w:pos="5300"/>
        </w:tabs>
        <w:kinsoku/>
        <w:wordWrap/>
        <w:overflowPunct/>
        <w:topLinePunct w:val="0"/>
        <w:autoSpaceDE w:val="0"/>
        <w:autoSpaceDN w:val="0"/>
        <w:bidi/>
        <w:adjustRightInd w:val="0"/>
        <w:snapToGrid w:val="0"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（此件公开发布）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PMingLiU-ExtB"/>
    <w:panose1 w:val="02010609000101010101"/>
    <w:charset w:val="88"/>
    <w:family w:val="swiss"/>
    <w:pitch w:val="default"/>
    <w:sig w:usb0="00000000" w:usb1="00000000" w:usb2="00000010" w:usb3="00000000" w:csb0="00100000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A"/>
    <w:rsid w:val="00005AFC"/>
    <w:rsid w:val="00085882"/>
    <w:rsid w:val="00532608"/>
    <w:rsid w:val="005635B1"/>
    <w:rsid w:val="00733948"/>
    <w:rsid w:val="00745C33"/>
    <w:rsid w:val="0097092D"/>
    <w:rsid w:val="009B5FF0"/>
    <w:rsid w:val="00A143BC"/>
    <w:rsid w:val="00AD171A"/>
    <w:rsid w:val="00C77C6F"/>
    <w:rsid w:val="00E3216F"/>
    <w:rsid w:val="00E5048A"/>
    <w:rsid w:val="00E61EC7"/>
    <w:rsid w:val="00E7646C"/>
    <w:rsid w:val="277644E0"/>
    <w:rsid w:val="2F232D8B"/>
    <w:rsid w:val="43AF42CC"/>
    <w:rsid w:val="57B80F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方正小标宋_GBK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0"/>
    <w:qFormat/>
    <w:uiPriority w:val="0"/>
    <w:rPr>
      <w:sz w:val="28"/>
      <w:szCs w:val="28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uiPriority w:val="0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10">
    <w:name w:val="正文文本 Char"/>
    <w:basedOn w:val="7"/>
    <w:link w:val="3"/>
    <w:qFormat/>
    <w:uiPriority w:val="0"/>
    <w:rPr>
      <w:rFonts w:ascii="宋体" w:hAnsi="宋体" w:eastAsia="方正小标宋_GBK" w:cs="宋体"/>
      <w:kern w:val="0"/>
      <w:sz w:val="28"/>
      <w:szCs w:val="28"/>
    </w:rPr>
  </w:style>
  <w:style w:type="character" w:customStyle="1" w:styleId="11">
    <w:name w:val="页眉 Char"/>
    <w:basedOn w:val="7"/>
    <w:link w:val="6"/>
    <w:semiHidden/>
    <w:uiPriority w:val="99"/>
    <w:rPr>
      <w:rFonts w:ascii="宋体" w:hAnsi="宋体" w:eastAsia="方正小标宋_GBK" w:cs="宋体"/>
      <w:sz w:val="18"/>
      <w:szCs w:val="18"/>
    </w:rPr>
  </w:style>
  <w:style w:type="character" w:customStyle="1" w:styleId="12">
    <w:name w:val="页脚 Char"/>
    <w:basedOn w:val="7"/>
    <w:link w:val="5"/>
    <w:semiHidden/>
    <w:qFormat/>
    <w:uiPriority w:val="99"/>
    <w:rPr>
      <w:rFonts w:ascii="宋体" w:hAnsi="宋体" w:eastAsia="方正小标宋_GBK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2024-11-25T09:05:00Z</dcterms:created>
  <dc:creator>admin</dc:creator>
  <cp:lastModifiedBy>Administrator</cp:lastModifiedBy>
  <cp:lastPrinted>2025-06-23T06:56:00Z</cp:lastPrinted>
  <dcterms:modified xsi:type="dcterms:W3CDTF">2025-06-23T09:06:32Z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