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龙河镇2021年财政预算执行情况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及2022年预算情况的报告</w:t>
      </w:r>
    </w:p>
    <w:p>
      <w:pPr>
        <w:jc w:val="center"/>
        <w:rPr>
          <w:rFonts w:ascii="仿宋" w:hAnsi="仿宋" w:eastAsia="仿宋"/>
          <w:sz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各位代表：</w:t>
      </w:r>
    </w:p>
    <w:p>
      <w:pPr>
        <w:pStyle w:val="6"/>
        <w:shd w:val="clear" w:color="auto" w:fill="FFFFFF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受镇人民政府的委托，向大会报告龙河镇2021年财政预算执行情况和2022年财政预算情况，</w:t>
      </w:r>
      <w:r>
        <w:rPr>
          <w:rFonts w:eastAsia="方正仿宋_GBK"/>
          <w:sz w:val="32"/>
          <w:szCs w:val="32"/>
        </w:rPr>
        <w:t>提请各位代表审议，并请其他列席会议的同志提出意见。</w:t>
      </w:r>
    </w:p>
    <w:p>
      <w:pPr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一、2021年财政预算执行情况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（一）2021年财政预算收入完成情况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1、截至2021年11月一般预算收入</w:t>
      </w:r>
      <w:r>
        <w:rPr>
          <w:rFonts w:ascii="仿宋" w:hAnsi="仿宋" w:eastAsia="仿宋"/>
          <w:sz w:val="32"/>
          <w:szCs w:val="32"/>
        </w:rPr>
        <w:t>3767</w:t>
      </w:r>
      <w:r>
        <w:rPr>
          <w:rFonts w:hint="eastAsia" w:ascii="仿宋" w:hAnsi="仿宋" w:eastAsia="仿宋"/>
          <w:sz w:val="32"/>
          <w:szCs w:val="32"/>
        </w:rPr>
        <w:t>.90万元。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2、截至2021年11月政府性基金专项拨款补助收入</w:t>
      </w:r>
      <w:r>
        <w:rPr>
          <w:rFonts w:ascii="仿宋" w:hAnsi="仿宋" w:eastAsia="仿宋"/>
          <w:sz w:val="32"/>
          <w:szCs w:val="32"/>
        </w:rPr>
        <w:t>506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3万元。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（二）2021年财政一般预算支出完成情况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1、截至2021年11月地方财政一般预算支出完成3767.9万元，分项完成情况： </w:t>
      </w:r>
    </w:p>
    <w:p>
      <w:pPr>
        <w:spacing w:line="600" w:lineRule="exac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——一般公共服务支出完成944.07万元。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——国防支出完成17.1万元。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——公共安全支出完成1.6万元。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——文化体育与传媒支出完成73.42万元。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——社会保障和就业支出完成560.66万元。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——卫生健康支出完成106.68万元。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——节能环保支出完成11.69万元。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——城乡社区事务支出完成267.10万元。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——农林水事务支出完成1436.41万元。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——交通运输支出完成122.25万元。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——住房保障支出完成141.34万元。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——灾害防治及应急管理支出完成85.57万元。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2、截至2021年11月政府基金支出完成506.53万元，分项完成情况：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——文化体育与传媒支出完成18.79万元。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——城乡社区事务支出完成462.37万元。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——农林水事务支出完成15万元。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——其他支出10.38万元。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（三）2021年财政一般预算收支平衡结果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1、截至2021年11月一般预算上级补助收入</w:t>
      </w:r>
      <w:r>
        <w:rPr>
          <w:rFonts w:ascii="仿宋" w:hAnsi="仿宋" w:eastAsia="仿宋"/>
          <w:sz w:val="32"/>
          <w:szCs w:val="32"/>
        </w:rPr>
        <w:t>3767</w:t>
      </w:r>
      <w:r>
        <w:rPr>
          <w:rFonts w:hint="eastAsia" w:ascii="仿宋" w:hAnsi="仿宋" w:eastAsia="仿宋"/>
          <w:sz w:val="32"/>
          <w:szCs w:val="32"/>
        </w:rPr>
        <w:t>.90万元，地方财政一般预算支出</w:t>
      </w:r>
      <w:r>
        <w:rPr>
          <w:rFonts w:ascii="仿宋" w:hAnsi="仿宋" w:eastAsia="仿宋"/>
          <w:sz w:val="32"/>
          <w:szCs w:val="32"/>
        </w:rPr>
        <w:t>3767</w:t>
      </w:r>
      <w:r>
        <w:rPr>
          <w:rFonts w:hint="eastAsia" w:ascii="仿宋" w:hAnsi="仿宋" w:eastAsia="仿宋"/>
          <w:sz w:val="32"/>
          <w:szCs w:val="32"/>
        </w:rPr>
        <w:t>.90万元，当年持平，累计持平。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2、截至2021年11月政府性基金收入506.53万元，政府性基金支出506.53万元,当年持平，累计持平。</w:t>
      </w:r>
    </w:p>
    <w:p>
      <w:pPr>
        <w:spacing w:line="600" w:lineRule="exact"/>
        <w:ind w:firstLine="803" w:firstLineChars="2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二、2021年财政工作情况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年，在镇党委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政府的正确领导和镇人大的依法监督下，财政部门攻坚克难，积极组织财政收入，优化财政支出结构，不断加强财政管理，充分发挥财政职能，财政预算执行情况良好，为全镇经济和社会事业提供了财力保障。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（一）狠抓财政收入。一是深挖财源，掌握税源动态，做好税源分析测算，发挥非税收入潜力；二是加强部门协作，提高税收征收入库率，做到全覆盖、应收尽收；三是疏通收入渠道，积极向上级争取资金资源。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（二）强化支出保障。兜牢“三保”完善服务，进一步调整和</w:t>
      </w:r>
      <w:r>
        <w:rPr>
          <w:rFonts w:ascii="仿宋" w:hAnsi="仿宋" w:eastAsia="仿宋"/>
          <w:sz w:val="32"/>
          <w:szCs w:val="32"/>
        </w:rPr>
        <w:t>优化财政支出结构，</w:t>
      </w:r>
      <w:r>
        <w:rPr>
          <w:rFonts w:hint="eastAsia" w:ascii="仿宋" w:hAnsi="仿宋" w:eastAsia="仿宋"/>
          <w:sz w:val="32"/>
          <w:szCs w:val="32"/>
        </w:rPr>
        <w:t>集中财政效能，合理安排支出预算，确保公共管理高效开展，公共服务有序进行，城乡社会安定、民生稳定。</w:t>
      </w:r>
      <w:r>
        <w:rPr>
          <w:rFonts w:hint="eastAsia" w:ascii="仿宋" w:hAnsi="仿宋" w:eastAsia="仿宋"/>
          <w:b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树牢过“紧日子”的意识，</w:t>
      </w:r>
      <w:r>
        <w:rPr>
          <w:rFonts w:eastAsia="方正仿宋_GBK"/>
          <w:sz w:val="32"/>
          <w:szCs w:val="32"/>
        </w:rPr>
        <w:t>严</w:t>
      </w:r>
      <w:r>
        <w:rPr>
          <w:rFonts w:hint="eastAsia" w:eastAsia="方正仿宋_GBK"/>
          <w:sz w:val="32"/>
          <w:szCs w:val="32"/>
          <w:lang w:eastAsia="zh-CN"/>
        </w:rPr>
        <w:t>格</w:t>
      </w:r>
      <w:r>
        <w:rPr>
          <w:rFonts w:eastAsia="方正仿宋_GBK"/>
          <w:sz w:val="32"/>
          <w:szCs w:val="32"/>
        </w:rPr>
        <w:t>控制“三公”经费支出，降低行政运行成本，节约财力用于民生支出。</w:t>
      </w:r>
      <w:r>
        <w:rPr>
          <w:rFonts w:hint="eastAsia" w:ascii="仿宋" w:hAnsi="仿宋" w:eastAsia="仿宋"/>
          <w:b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强化库款管理、盘活存量资金，增强保运转的能力，保障重点项目支出，确保民工薪酬及时落袋，工程项目顺利实施。</w:t>
      </w:r>
      <w:r>
        <w:rPr>
          <w:rFonts w:hint="eastAsia" w:ascii="仿宋" w:hAnsi="仿宋" w:eastAsia="仿宋"/>
          <w:b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确保民生优先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持续保障和改善民生，让发展成果进一步惠及全镇百姓。</w:t>
      </w:r>
      <w:r>
        <w:rPr>
          <w:rFonts w:hint="eastAsia" w:ascii="仿宋" w:hAnsi="仿宋" w:eastAsia="仿宋"/>
          <w:sz w:val="32"/>
          <w:szCs w:val="32"/>
        </w:rPr>
        <w:t>确保惠民政策落到实处，切实增强人民群众的“获得感”和“幸福感”。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（三）深化财政管理。一是强化预算管理。</w:t>
      </w:r>
      <w:r>
        <w:rPr>
          <w:rFonts w:eastAsia="方正仿宋_GBK"/>
          <w:sz w:val="32"/>
          <w:szCs w:val="32"/>
        </w:rPr>
        <w:t>严格执行年度预算，强化预算约束，做到年初有预算，月度有计划，用款有申请，有预算不超支，无预算不开支，预算调整规范。</w:t>
      </w:r>
      <w:r>
        <w:rPr>
          <w:rFonts w:hint="eastAsia" w:ascii="仿宋" w:hAnsi="仿宋" w:eastAsia="仿宋"/>
          <w:sz w:val="32"/>
          <w:szCs w:val="32"/>
        </w:rPr>
        <w:t>二是推行内控内审，完善</w:t>
      </w:r>
      <w:r>
        <w:rPr>
          <w:rFonts w:eastAsia="方正仿宋_GBK"/>
          <w:sz w:val="32"/>
          <w:szCs w:val="32"/>
        </w:rPr>
        <w:t>“事前预算，事中监管，事后审计”</w:t>
      </w:r>
      <w:r>
        <w:rPr>
          <w:rFonts w:hint="eastAsia" w:eastAsia="方正仿宋_GBK"/>
          <w:sz w:val="32"/>
          <w:szCs w:val="32"/>
        </w:rPr>
        <w:t>实施链条</w:t>
      </w:r>
      <w:r>
        <w:rPr>
          <w:rFonts w:hint="eastAsia" w:ascii="仿宋" w:hAnsi="仿宋" w:eastAsia="仿宋"/>
          <w:sz w:val="32"/>
          <w:szCs w:val="32"/>
        </w:rPr>
        <w:t>。积极推进项目绩效评价，做到有张有弛花出高效益。三是加强政府性债务管控，</w:t>
      </w:r>
      <w:r>
        <w:rPr>
          <w:rFonts w:eastAsia="方正仿宋_GBK"/>
          <w:sz w:val="32"/>
          <w:szCs w:val="32"/>
        </w:rPr>
        <w:t>强化政府债务管理。加强对债务的统计分析和风险防控，</w:t>
      </w:r>
      <w:r>
        <w:rPr>
          <w:rFonts w:hint="eastAsia" w:eastAsia="方正仿宋_GBK"/>
          <w:sz w:val="32"/>
          <w:szCs w:val="32"/>
        </w:rPr>
        <w:t>消解存量债务</w:t>
      </w:r>
      <w:r>
        <w:rPr>
          <w:rFonts w:eastAsia="方正仿宋_GBK"/>
          <w:sz w:val="32"/>
          <w:szCs w:val="32"/>
        </w:rPr>
        <w:t>。加强政府投资项目的计划管理，发挥财政投资评审前置关口作用，切实做好监督管理工作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国有资产管理情况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11月，我镇共有资产1283.01万元，其中固定资产1252.39万元，包括土地、房屋及构筑物1099.49万元，通用设备138.36万元，专用设备3.25万元，家具、用具、装具及动植物11.30万元。无形资产30.62万元（公共设施用地）。资产管理方面，建立规范完善国有资产管理制度，进一步提高国有资产管理的科学性，行政事业性国有资产配置使用更加合理有效，充分发挥社会效益。</w:t>
      </w:r>
    </w:p>
    <w:p>
      <w:pPr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四、2022年财政预算收支安排情况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2022年财政预算收支本着积极可靠，量力而行，以收定支，收支平衡的原则，结合2021年财政收支预算执行情况和今年财政收入增减的客观因素统筹安排：2022年争取上级补助收入（同口径、剔除</w:t>
      </w:r>
      <w:r>
        <w:rPr>
          <w:rFonts w:hint="eastAsia" w:ascii="仿宋" w:hAnsi="仿宋" w:eastAsia="仿宋"/>
          <w:sz w:val="32"/>
          <w:szCs w:val="32"/>
          <w:lang w:eastAsia="zh-CN"/>
        </w:rPr>
        <w:t>临时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性补助）2608.57万元，与一般预算支出2608.57万元，当年预算收支持平。分项情况是：一般公共服务支出预算814.53万元;文化体育与传媒支出预算76.30万元;社会保障和就业支出预算378.14万元;卫生健康支出预算85.09元;节能环保支出预算13万元；城乡社区事务支出预算198.01万元;农林水事务支出预算874.55万元; 住房保障预算73.95万元；灾害防治及应急管理支出65.00万元；预备费30.00万元。</w:t>
      </w:r>
    </w:p>
    <w:p>
      <w:pPr>
        <w:spacing w:line="600" w:lineRule="exact"/>
        <w:ind w:firstLine="642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五、真抓实干，确保圆满完成2022年财政任务。</w:t>
      </w:r>
    </w:p>
    <w:p>
      <w:pPr>
        <w:spacing w:line="60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eastAsia="方正仿宋_GBK"/>
          <w:bCs/>
          <w:sz w:val="32"/>
          <w:szCs w:val="32"/>
        </w:rPr>
        <w:t>强化预算统筹，</w:t>
      </w:r>
      <w:r>
        <w:rPr>
          <w:rFonts w:hint="eastAsia" w:eastAsia="方正仿宋_GBK"/>
          <w:bCs/>
          <w:sz w:val="32"/>
          <w:szCs w:val="32"/>
        </w:rPr>
        <w:t>大力保障</w:t>
      </w:r>
      <w:r>
        <w:rPr>
          <w:rFonts w:eastAsia="方正仿宋_GBK"/>
          <w:bCs/>
          <w:sz w:val="32"/>
          <w:szCs w:val="32"/>
        </w:rPr>
        <w:t>民生。</w:t>
      </w:r>
      <w:r>
        <w:rPr>
          <w:rFonts w:hint="eastAsia" w:eastAsia="方正仿宋_GBK"/>
          <w:b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强化量入为出意识，细化落实各项支出保障和资金平衡，加强对上沟通，争取上级补助收入，加快推进存量资金转化为可用财力。最大限度筹措资金用于保障各类支出。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坚持兜底性保障。按照“保基本、兜底线”的要求及权责清晰、保障适度、可持续的社会保障体系建设目标，继续做好我镇民生政策资金保障工作。</w:t>
      </w:r>
      <w:r>
        <w:rPr>
          <w:rFonts w:hint="eastAsia" w:eastAsia="方正仿宋_GBK"/>
          <w:b/>
          <w:bCs/>
          <w:sz w:val="32"/>
          <w:szCs w:val="32"/>
        </w:rPr>
        <w:t>三</w:t>
      </w:r>
      <w:r>
        <w:rPr>
          <w:rFonts w:eastAsia="方正仿宋_GBK"/>
          <w:b/>
          <w:bCs/>
          <w:sz w:val="32"/>
          <w:szCs w:val="32"/>
        </w:rPr>
        <w:t>是</w:t>
      </w:r>
      <w:r>
        <w:rPr>
          <w:rFonts w:eastAsia="方正仿宋_GBK"/>
          <w:sz w:val="32"/>
          <w:szCs w:val="32"/>
        </w:rPr>
        <w:t>优化支出结构。牢固树立“过紧日子”的思想，</w:t>
      </w:r>
      <w:r>
        <w:rPr>
          <w:rFonts w:hint="eastAsia" w:eastAsia="方正仿宋_GBK"/>
          <w:sz w:val="32"/>
          <w:szCs w:val="32"/>
        </w:rPr>
        <w:t>进一步压减公用经费和一般性支出，新增财力投向事关群众切身利益的民生项目，财政支出重点向农村人畜饮水工程、道路工程、人居环境整治等</w:t>
      </w:r>
      <w:r>
        <w:rPr>
          <w:rFonts w:eastAsia="方正仿宋_GBK"/>
          <w:sz w:val="32"/>
          <w:szCs w:val="32"/>
        </w:rPr>
        <w:t>以改善民生为重点的社会建设</w:t>
      </w:r>
      <w:r>
        <w:rPr>
          <w:rFonts w:hint="eastAsia" w:eastAsia="方正仿宋_GBK"/>
          <w:sz w:val="32"/>
          <w:szCs w:val="32"/>
        </w:rPr>
        <w:t>倾斜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eastAsia="方正仿宋_GBK"/>
          <w:bCs/>
          <w:sz w:val="32"/>
          <w:szCs w:val="32"/>
        </w:rPr>
        <w:t>大力培植财源，确保收支平稳。</w:t>
      </w:r>
      <w:r>
        <w:rPr>
          <w:rFonts w:eastAsia="方正仿宋_GBK"/>
          <w:b/>
          <w:bCs/>
          <w:sz w:val="32"/>
          <w:szCs w:val="32"/>
        </w:rPr>
        <w:t>一是</w:t>
      </w:r>
      <w:r>
        <w:rPr>
          <w:rFonts w:hint="eastAsia" w:eastAsia="方正仿宋_GBK"/>
          <w:sz w:val="32"/>
          <w:szCs w:val="32"/>
        </w:rPr>
        <w:t>坚决落实减税降费政策，着力做好开源节流，多渠道挖潜增收，强化税源监控，加强非税收入征管增加可支配财力。</w:t>
      </w:r>
      <w:r>
        <w:rPr>
          <w:rFonts w:eastAsia="方正仿宋_GBK"/>
          <w:b/>
          <w:bCs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关注重大改革，综合考虑后疫情时期各项政策因素的叠加影响，深入分析在 “六稳”“六保”等政策措施，提前谋划，力争在利益调整中赢得主动。</w:t>
      </w:r>
      <w:r>
        <w:rPr>
          <w:rFonts w:eastAsia="方正仿宋_GBK"/>
          <w:b/>
          <w:bCs/>
          <w:sz w:val="32"/>
          <w:szCs w:val="32"/>
        </w:rPr>
        <w:t>三是</w:t>
      </w:r>
      <w:r>
        <w:rPr>
          <w:rFonts w:eastAsia="方正仿宋_GBK"/>
          <w:sz w:val="32"/>
          <w:szCs w:val="32"/>
        </w:rPr>
        <w:t>协同各部门形成合力，积极向上争取资金和资源要素支持。</w:t>
      </w:r>
      <w:r>
        <w:rPr>
          <w:rFonts w:hint="eastAsia" w:ascii="仿宋" w:hAnsi="仿宋" w:eastAsia="仿宋"/>
          <w:sz w:val="32"/>
          <w:szCs w:val="32"/>
        </w:rPr>
        <w:t>继续优化支出结构，提升财政保障能力。</w:t>
      </w:r>
    </w:p>
    <w:p>
      <w:pPr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（三）加强绩效监督，提高使用效益。</w:t>
      </w:r>
      <w:r>
        <w:rPr>
          <w:rFonts w:hint="eastAsia" w:ascii="仿宋" w:hAnsi="仿宋" w:eastAsia="仿宋"/>
          <w:b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强化预算执行。严格按照人民代表大会通过的财政预算执行。</w:t>
      </w:r>
      <w:r>
        <w:rPr>
          <w:rFonts w:hint="eastAsia" w:ascii="仿宋" w:hAnsi="仿宋" w:eastAsia="仿宋"/>
          <w:b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加大资金统筹力度。分清轻重缓急，优化资金使用顺序，确保镇村两级正常运转。</w:t>
      </w:r>
      <w:r>
        <w:rPr>
          <w:rFonts w:hint="eastAsia" w:ascii="仿宋" w:hAnsi="仿宋" w:eastAsia="仿宋"/>
          <w:b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加强财务核算，严格用款审批，规范收支程序，提高资金使用效益。</w:t>
      </w:r>
      <w:r>
        <w:rPr>
          <w:rFonts w:hint="eastAsia" w:ascii="仿宋" w:hAnsi="仿宋" w:eastAsia="仿宋"/>
          <w:b/>
          <w:sz w:val="32"/>
          <w:szCs w:val="32"/>
        </w:rPr>
        <w:t>四是</w:t>
      </w:r>
      <w:r>
        <w:rPr>
          <w:rFonts w:hint="eastAsia" w:ascii="仿宋" w:hAnsi="仿宋" w:eastAsia="仿宋"/>
          <w:sz w:val="32"/>
          <w:szCs w:val="32"/>
        </w:rPr>
        <w:t>深化财政资金绩效管理，</w:t>
      </w:r>
      <w:r>
        <w:rPr>
          <w:rFonts w:eastAsia="方正仿宋_GBK"/>
          <w:sz w:val="32"/>
          <w:szCs w:val="32"/>
        </w:rPr>
        <w:t>形成事前事中有效控制、事后跟踪问效的监督体系，切实提高财政资金的安全性和高效性。</w:t>
      </w:r>
      <w:r>
        <w:rPr>
          <w:rFonts w:hint="eastAsia" w:ascii="仿宋" w:hAnsi="仿宋" w:eastAsia="仿宋"/>
          <w:b/>
          <w:sz w:val="32"/>
          <w:szCs w:val="32"/>
        </w:rPr>
        <w:t>五是</w:t>
      </w:r>
      <w:r>
        <w:rPr>
          <w:rFonts w:hint="eastAsia" w:ascii="仿宋" w:hAnsi="仿宋" w:eastAsia="仿宋"/>
          <w:sz w:val="32"/>
          <w:szCs w:val="32"/>
        </w:rPr>
        <w:t>厉行节约。严格执行中央八项规定和市县关于厉行节约的各项规定，严格控制“三公”经费等一般性支出。</w:t>
      </w:r>
      <w:r>
        <w:rPr>
          <w:rFonts w:hint="eastAsia" w:ascii="仿宋" w:hAnsi="仿宋" w:eastAsia="仿宋"/>
          <w:b/>
          <w:sz w:val="32"/>
          <w:szCs w:val="32"/>
        </w:rPr>
        <w:t>六是</w:t>
      </w:r>
      <w:r>
        <w:rPr>
          <w:rFonts w:hint="eastAsia" w:ascii="仿宋" w:hAnsi="仿宋" w:eastAsia="仿宋"/>
          <w:sz w:val="32"/>
          <w:szCs w:val="32"/>
        </w:rPr>
        <w:t>加强业务学习。以法治财政建设为抓手，提高财政业务水平。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各位代表，我</w:t>
      </w:r>
      <w:r>
        <w:rPr>
          <w:rFonts w:eastAsia="方正仿宋_GBK"/>
          <w:sz w:val="32"/>
          <w:szCs w:val="32"/>
        </w:rPr>
        <w:t>们将在镇党委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政府的坚强领导和镇人大的有力监督下，按照镇党委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政府确定的目标任务，以更加积极的态度，更加务实的作风，更加有为的担当，</w:t>
      </w:r>
      <w:r>
        <w:rPr>
          <w:rFonts w:hint="eastAsia" w:ascii="仿宋" w:hAnsi="仿宋" w:eastAsia="仿宋"/>
          <w:sz w:val="32"/>
          <w:szCs w:val="32"/>
        </w:rPr>
        <w:t>认真贯彻落实本次会议的各项决议，千方百计做好财政工作，</w:t>
      </w:r>
      <w:r>
        <w:rPr>
          <w:rFonts w:eastAsia="方正仿宋_GBK"/>
          <w:sz w:val="32"/>
          <w:szCs w:val="32"/>
        </w:rPr>
        <w:t>全面完成</w:t>
      </w:r>
      <w:r>
        <w:rPr>
          <w:rFonts w:hint="eastAsia"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年财政各项目标任务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建设美丽新龙河继续</w:t>
      </w:r>
      <w:r>
        <w:rPr>
          <w:rFonts w:eastAsia="方正仿宋_GBK"/>
          <w:sz w:val="32"/>
          <w:szCs w:val="32"/>
        </w:rPr>
        <w:t>努力奋斗！</w:t>
      </w:r>
    </w:p>
    <w:sectPr>
      <w:footerReference r:id="rId3" w:type="default"/>
      <w:pgSz w:w="11906" w:h="16838"/>
      <w:pgMar w:top="1361" w:right="1304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567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D8FE5"/>
    <w:multiLevelType w:val="singleLevel"/>
    <w:tmpl w:val="5E4D8F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9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8A6"/>
    <w:rsid w:val="000015EC"/>
    <w:rsid w:val="000316B0"/>
    <w:rsid w:val="00055AD8"/>
    <w:rsid w:val="00060D88"/>
    <w:rsid w:val="00083490"/>
    <w:rsid w:val="000908A6"/>
    <w:rsid w:val="000B39DC"/>
    <w:rsid w:val="000D0694"/>
    <w:rsid w:val="000D13D4"/>
    <w:rsid w:val="000D248A"/>
    <w:rsid w:val="00106479"/>
    <w:rsid w:val="001070A8"/>
    <w:rsid w:val="00110181"/>
    <w:rsid w:val="00116DC9"/>
    <w:rsid w:val="001170B8"/>
    <w:rsid w:val="00131EEB"/>
    <w:rsid w:val="00132466"/>
    <w:rsid w:val="00136BDE"/>
    <w:rsid w:val="00154D43"/>
    <w:rsid w:val="0019352C"/>
    <w:rsid w:val="001B655C"/>
    <w:rsid w:val="001C6CBE"/>
    <w:rsid w:val="001D073E"/>
    <w:rsid w:val="001D7FFE"/>
    <w:rsid w:val="001E57F2"/>
    <w:rsid w:val="002249D6"/>
    <w:rsid w:val="00231420"/>
    <w:rsid w:val="0023483A"/>
    <w:rsid w:val="002654A3"/>
    <w:rsid w:val="00287EEF"/>
    <w:rsid w:val="002A224C"/>
    <w:rsid w:val="002A591F"/>
    <w:rsid w:val="002B1400"/>
    <w:rsid w:val="002C7A9C"/>
    <w:rsid w:val="002E0DA9"/>
    <w:rsid w:val="003157FB"/>
    <w:rsid w:val="003217D3"/>
    <w:rsid w:val="003239E2"/>
    <w:rsid w:val="00340029"/>
    <w:rsid w:val="0034233E"/>
    <w:rsid w:val="00344B93"/>
    <w:rsid w:val="00353B88"/>
    <w:rsid w:val="003719CA"/>
    <w:rsid w:val="00372750"/>
    <w:rsid w:val="00382E2F"/>
    <w:rsid w:val="003855C1"/>
    <w:rsid w:val="00385C10"/>
    <w:rsid w:val="00385D50"/>
    <w:rsid w:val="00394A82"/>
    <w:rsid w:val="003966FD"/>
    <w:rsid w:val="00396963"/>
    <w:rsid w:val="003A76B2"/>
    <w:rsid w:val="003B21F3"/>
    <w:rsid w:val="003C0D60"/>
    <w:rsid w:val="003C3136"/>
    <w:rsid w:val="003F6963"/>
    <w:rsid w:val="00431477"/>
    <w:rsid w:val="0043354D"/>
    <w:rsid w:val="00435350"/>
    <w:rsid w:val="00435D2C"/>
    <w:rsid w:val="00437452"/>
    <w:rsid w:val="004413C2"/>
    <w:rsid w:val="0045349C"/>
    <w:rsid w:val="004910BC"/>
    <w:rsid w:val="004A5149"/>
    <w:rsid w:val="004F2252"/>
    <w:rsid w:val="00513667"/>
    <w:rsid w:val="00530EC9"/>
    <w:rsid w:val="005336C8"/>
    <w:rsid w:val="00534FB2"/>
    <w:rsid w:val="005523BF"/>
    <w:rsid w:val="00570819"/>
    <w:rsid w:val="00591E58"/>
    <w:rsid w:val="005C5527"/>
    <w:rsid w:val="005C56C3"/>
    <w:rsid w:val="005D14BA"/>
    <w:rsid w:val="005F6C58"/>
    <w:rsid w:val="00604D2A"/>
    <w:rsid w:val="00610631"/>
    <w:rsid w:val="00611398"/>
    <w:rsid w:val="00634E4D"/>
    <w:rsid w:val="006506F6"/>
    <w:rsid w:val="00664F7D"/>
    <w:rsid w:val="00680ADB"/>
    <w:rsid w:val="00687BD1"/>
    <w:rsid w:val="006A2009"/>
    <w:rsid w:val="006A7114"/>
    <w:rsid w:val="006B1505"/>
    <w:rsid w:val="006D3222"/>
    <w:rsid w:val="006D4F45"/>
    <w:rsid w:val="006E79BA"/>
    <w:rsid w:val="006F7EB0"/>
    <w:rsid w:val="00702541"/>
    <w:rsid w:val="00715F75"/>
    <w:rsid w:val="00751370"/>
    <w:rsid w:val="00762D93"/>
    <w:rsid w:val="00783694"/>
    <w:rsid w:val="0079454E"/>
    <w:rsid w:val="007A0D51"/>
    <w:rsid w:val="007A5ACA"/>
    <w:rsid w:val="007B2A57"/>
    <w:rsid w:val="007C3464"/>
    <w:rsid w:val="007C7132"/>
    <w:rsid w:val="007E2B86"/>
    <w:rsid w:val="007E7E7B"/>
    <w:rsid w:val="007F096A"/>
    <w:rsid w:val="007F59AA"/>
    <w:rsid w:val="00800BC6"/>
    <w:rsid w:val="00806C61"/>
    <w:rsid w:val="008223FC"/>
    <w:rsid w:val="0083401B"/>
    <w:rsid w:val="00866A28"/>
    <w:rsid w:val="00884929"/>
    <w:rsid w:val="008969BA"/>
    <w:rsid w:val="0091584F"/>
    <w:rsid w:val="009227F2"/>
    <w:rsid w:val="0092304F"/>
    <w:rsid w:val="00923263"/>
    <w:rsid w:val="009236A8"/>
    <w:rsid w:val="00935375"/>
    <w:rsid w:val="009369C6"/>
    <w:rsid w:val="00946E26"/>
    <w:rsid w:val="0095538E"/>
    <w:rsid w:val="00962827"/>
    <w:rsid w:val="00963193"/>
    <w:rsid w:val="00970FA6"/>
    <w:rsid w:val="009849AC"/>
    <w:rsid w:val="009A6424"/>
    <w:rsid w:val="009B2D76"/>
    <w:rsid w:val="009C1CA6"/>
    <w:rsid w:val="009D7F36"/>
    <w:rsid w:val="009F0D25"/>
    <w:rsid w:val="009F27A3"/>
    <w:rsid w:val="00A04A67"/>
    <w:rsid w:val="00A21895"/>
    <w:rsid w:val="00A26541"/>
    <w:rsid w:val="00A2754A"/>
    <w:rsid w:val="00A4445E"/>
    <w:rsid w:val="00A53A84"/>
    <w:rsid w:val="00A61D6D"/>
    <w:rsid w:val="00A660BC"/>
    <w:rsid w:val="00A66C52"/>
    <w:rsid w:val="00A77D24"/>
    <w:rsid w:val="00A8756F"/>
    <w:rsid w:val="00A902C7"/>
    <w:rsid w:val="00AA2C49"/>
    <w:rsid w:val="00AE19F9"/>
    <w:rsid w:val="00B02A53"/>
    <w:rsid w:val="00B2068F"/>
    <w:rsid w:val="00B446AD"/>
    <w:rsid w:val="00B479A0"/>
    <w:rsid w:val="00B52684"/>
    <w:rsid w:val="00B6417C"/>
    <w:rsid w:val="00BA52B0"/>
    <w:rsid w:val="00BB2712"/>
    <w:rsid w:val="00BC018C"/>
    <w:rsid w:val="00C004AE"/>
    <w:rsid w:val="00C0299A"/>
    <w:rsid w:val="00C074A1"/>
    <w:rsid w:val="00C16437"/>
    <w:rsid w:val="00C17D27"/>
    <w:rsid w:val="00C26205"/>
    <w:rsid w:val="00C34B3C"/>
    <w:rsid w:val="00C44AD8"/>
    <w:rsid w:val="00C66B2E"/>
    <w:rsid w:val="00C80BEF"/>
    <w:rsid w:val="00C84DF3"/>
    <w:rsid w:val="00C862D9"/>
    <w:rsid w:val="00C933AB"/>
    <w:rsid w:val="00C9480F"/>
    <w:rsid w:val="00CA156C"/>
    <w:rsid w:val="00CB2B4E"/>
    <w:rsid w:val="00CB6967"/>
    <w:rsid w:val="00CD04CF"/>
    <w:rsid w:val="00CD5204"/>
    <w:rsid w:val="00CF3A0C"/>
    <w:rsid w:val="00CF6B27"/>
    <w:rsid w:val="00D132C0"/>
    <w:rsid w:val="00D27855"/>
    <w:rsid w:val="00D30109"/>
    <w:rsid w:val="00D56320"/>
    <w:rsid w:val="00D71166"/>
    <w:rsid w:val="00D72AD8"/>
    <w:rsid w:val="00D77DB3"/>
    <w:rsid w:val="00D80C77"/>
    <w:rsid w:val="00D8683E"/>
    <w:rsid w:val="00D90664"/>
    <w:rsid w:val="00DE1636"/>
    <w:rsid w:val="00DE1705"/>
    <w:rsid w:val="00DF3064"/>
    <w:rsid w:val="00DF35EA"/>
    <w:rsid w:val="00E07EBB"/>
    <w:rsid w:val="00E20CBA"/>
    <w:rsid w:val="00E27641"/>
    <w:rsid w:val="00E54486"/>
    <w:rsid w:val="00E75300"/>
    <w:rsid w:val="00E93F3C"/>
    <w:rsid w:val="00E9559A"/>
    <w:rsid w:val="00E97D67"/>
    <w:rsid w:val="00EA495C"/>
    <w:rsid w:val="00EC402D"/>
    <w:rsid w:val="00ED5F9F"/>
    <w:rsid w:val="00EF3929"/>
    <w:rsid w:val="00EF6AA1"/>
    <w:rsid w:val="00F0186F"/>
    <w:rsid w:val="00F10EE3"/>
    <w:rsid w:val="00F12504"/>
    <w:rsid w:val="00F13F58"/>
    <w:rsid w:val="00F22933"/>
    <w:rsid w:val="00F32BCD"/>
    <w:rsid w:val="00F5005D"/>
    <w:rsid w:val="00F530D2"/>
    <w:rsid w:val="00F67B02"/>
    <w:rsid w:val="00F853D4"/>
    <w:rsid w:val="00F86701"/>
    <w:rsid w:val="00FB2A51"/>
    <w:rsid w:val="00FB6D39"/>
    <w:rsid w:val="00FE1F49"/>
    <w:rsid w:val="00FF0A5F"/>
    <w:rsid w:val="112867C5"/>
    <w:rsid w:val="1AC27095"/>
    <w:rsid w:val="1F702E3A"/>
    <w:rsid w:val="37FFCA93"/>
    <w:rsid w:val="53B66038"/>
    <w:rsid w:val="DEA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rticle_f14"/>
    <w:basedOn w:val="8"/>
    <w:qFormat/>
    <w:uiPriority w:val="0"/>
    <w:rPr>
      <w:rFonts w:hint="default" w:ascii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0"/>
    <w:basedOn w:val="1"/>
    <w:qFormat/>
    <w:uiPriority w:val="0"/>
    <w:pPr>
      <w:widowControl/>
      <w:snapToGrid w:val="0"/>
      <w:spacing w:line="357" w:lineRule="atLeast"/>
      <w:textAlignment w:val="baseline"/>
    </w:pPr>
    <w:rPr>
      <w:color w:val="000000"/>
      <w:kern w:val="0"/>
      <w:szCs w:val="21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422</Words>
  <Characters>2412</Characters>
  <Lines>20</Lines>
  <Paragraphs>5</Paragraphs>
  <TotalTime>1248</TotalTime>
  <ScaleCrop>false</ScaleCrop>
  <LinksUpToDate>false</LinksUpToDate>
  <CharactersWithSpaces>2829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2020-02-05T19:05:00Z</dcterms:created>
  <dc:creator>admin-161204</dc:creator>
  <cp:lastModifiedBy>fengdu</cp:lastModifiedBy>
  <cp:lastPrinted>2021-02-26T21:30:00Z</cp:lastPrinted>
  <dcterms:modified xsi:type="dcterms:W3CDTF">2023-12-18T09:49:29Z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