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一、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年财政收支预算执行情况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（一）收入完成情况。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年全镇上级补助收入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6808.58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万元（其中体制补助</w:t>
      </w:r>
      <w:r>
        <w:rPr>
          <w:rFonts w:ascii="Times New Roman" w:eastAsia="方正仿宋_GBK" w:hAnsi="Times New Roman"/>
          <w:color w:val="000000"/>
          <w:sz w:val="32"/>
          <w:szCs w:val="32"/>
        </w:rPr>
        <w:t>3825.76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万元、税收返还补助</w:t>
      </w:r>
      <w:r>
        <w:rPr>
          <w:rFonts w:ascii="Times New Roman" w:eastAsia="方正仿宋_GBK" w:hAnsi="Times New Roman"/>
          <w:color w:val="000000"/>
          <w:sz w:val="32"/>
          <w:szCs w:val="32"/>
        </w:rPr>
        <w:t>415.22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万元、专项拨款补助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2567.6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万元）；加上年结余收入</w:t>
      </w:r>
      <w:r>
        <w:rPr>
          <w:rFonts w:ascii="Times New Roman" w:eastAsia="方正仿宋_GBK" w:hAnsi="Times New Roman"/>
          <w:color w:val="000000"/>
          <w:sz w:val="32"/>
          <w:szCs w:val="32"/>
        </w:rPr>
        <w:t>476.42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万元。减上解支出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915.6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万元，累计财力</w:t>
      </w:r>
      <w:r>
        <w:rPr>
          <w:rFonts w:ascii="Times New Roman" w:eastAsia="方正仿宋_GBK" w:hAnsi="Times New Roman"/>
          <w:color w:val="000000"/>
          <w:sz w:val="32"/>
          <w:szCs w:val="32"/>
        </w:rPr>
        <w:t>6369.4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万元。当年实现总预算支出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8821.75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万元，其中，一般预算支出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6353.78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万元，基金支出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2467.97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万元。收支抵除后，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年终滚存结余</w:t>
      </w:r>
      <w:r>
        <w:rPr>
          <w:rFonts w:ascii="Times New Roman" w:eastAsia="方正仿宋_GBK" w:hAnsi="Times New Roman"/>
          <w:color w:val="000000"/>
          <w:sz w:val="32"/>
          <w:szCs w:val="32"/>
        </w:rPr>
        <w:t>328.97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（二）主要支出情况。全年实现总预算支出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8821.75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按支出功能分类：一是一般公共服务支出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1242.83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万元；二是国防支出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7.11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万元；三是公共安全支出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33.56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万元；四是教育支出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万元；五是文化体育与传媒支出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102.07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万元；六是社会保障和就业支出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861.73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万元；七是医疗卫生与计划生育支出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208.18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万元；八是节能环保支出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50.73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万元；九是城乡社区支出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2037.68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万元；十是农林水支出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3615.9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万元；十一是交通运输支出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520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万元；十二是资源勘探信息等支出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20.8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万元；十三是商业服务业等支出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16.46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万元；十四是住房保障支出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80.43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万元；十五是其他支出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19.27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按经济用途分类：一是工资福利支出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1734.54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万元，占总支出的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％；二是商品和服务支出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2195.23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万元，占总支出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％；三是对个人和家庭补助支出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1542.51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万元，占总支出的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17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％；四是资本性支出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3349.47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万元，占总支出的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38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％。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年项目支出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5963.04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万元，主要项目支出：移民库区建设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2026.01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万元，农村道路建设及养护</w:t>
      </w:r>
      <w:r>
        <w:rPr>
          <w:rFonts w:ascii="Times New Roman" w:eastAsia="方正仿宋_GBK" w:hAnsi="Times New Roman"/>
          <w:color w:val="000000"/>
          <w:sz w:val="32"/>
          <w:szCs w:val="32"/>
        </w:rPr>
        <w:t>841.29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万元，市政运行维护</w:t>
      </w:r>
      <w:r>
        <w:rPr>
          <w:rFonts w:ascii="Times New Roman" w:eastAsia="方正仿宋_GBK" w:hAnsi="Times New Roman"/>
          <w:color w:val="000000"/>
          <w:sz w:val="32"/>
          <w:szCs w:val="32"/>
        </w:rPr>
        <w:t>742.45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万元，优抚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定补及困难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群众临时救助</w:t>
      </w:r>
      <w:r>
        <w:rPr>
          <w:rFonts w:ascii="Times New Roman" w:eastAsia="方正仿宋_GBK" w:hAnsi="Times New Roman"/>
          <w:color w:val="000000"/>
          <w:sz w:val="32"/>
          <w:szCs w:val="32"/>
        </w:rPr>
        <w:t>487.16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万元，发展壮大村农村集体经济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256.30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万元，场镇升级改造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253</w:t>
      </w:r>
      <w:r>
        <w:rPr>
          <w:rFonts w:ascii="Times New Roman" w:eastAsia="方正仿宋_GBK" w:hAnsi="Times New Roman"/>
          <w:color w:val="000000"/>
          <w:sz w:val="32"/>
          <w:szCs w:val="32"/>
        </w:rPr>
        <w:t>.26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万元，平安建设</w:t>
      </w:r>
      <w:r>
        <w:rPr>
          <w:rFonts w:ascii="Times New Roman" w:eastAsia="方正仿宋_GBK" w:hAnsi="Times New Roman"/>
          <w:color w:val="000000"/>
          <w:sz w:val="32"/>
          <w:szCs w:val="32"/>
        </w:rPr>
        <w:t>114.31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万元，村居便民服务中心建设</w:t>
      </w:r>
      <w:r>
        <w:rPr>
          <w:rFonts w:ascii="Times New Roman" w:eastAsia="方正仿宋_GBK" w:hAnsi="Times New Roman"/>
          <w:color w:val="000000"/>
          <w:sz w:val="32"/>
          <w:szCs w:val="32"/>
        </w:rPr>
        <w:t>45.27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等。从收支对比情况看，除及时保障了行政事业单位在职、离退休人员以及优抚人员和机构运转经费外，最大限度地保障了社会保障经费、公共安全经费和社会经济发展经费，为全镇社会经济发展和构建和谐社会提供了坚强的财力保障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年财政收支预算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的预算盘子是在财政保障范围不断扩大，刚性支出不断增加，可用财力严重不足的情况下，参考上一年预算执行情况、有关支出绩效评价结果和本年度收支预测，统筹兼顾、确保重点，充分考虑各方面法定及政策性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的资金保障，集中财力支持事关全镇经济和社会发展的重点项目，充分体现公共财政、民生财政的政策取向和重点保障。由于财力有限，没有纳入的支出，需要通过各级各部门的共同努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力，多渠道筹措资金，以及争取收入的增加来解决，恳请各位代表予以理解。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在现行财政体制下，高家镇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年财政收支预算情况为：收入（不含上级给的专项补助）预算全为上级补助收入，总计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2846.44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万元，支出安排</w:t>
      </w:r>
      <w:r>
        <w:rPr>
          <w:rFonts w:ascii="Times New Roman" w:eastAsia="方正仿宋_GBK" w:hAnsi="Times New Roman"/>
          <w:color w:val="000000"/>
          <w:sz w:val="32"/>
          <w:szCs w:val="32"/>
        </w:rPr>
        <w:t>2846.44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万元。其中，按经济用途对支出安排分类如下：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（一）基本支出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2342.22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万元。其中：工资福利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1230.37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万元，商品服务支出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385</w:t>
      </w:r>
      <w:r>
        <w:rPr>
          <w:rFonts w:ascii="Times New Roman" w:eastAsia="方正仿宋_GBK" w:hAnsi="Times New Roman"/>
          <w:color w:val="000000"/>
          <w:sz w:val="32"/>
          <w:szCs w:val="32"/>
        </w:rPr>
        <w:t>.73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万元，对家庭和个人补助</w:t>
      </w:r>
      <w:r>
        <w:rPr>
          <w:rFonts w:ascii="Times New Roman" w:eastAsia="方正仿宋_GBK" w:hAnsi="Times New Roman"/>
          <w:color w:val="000000"/>
          <w:sz w:val="32"/>
          <w:szCs w:val="32"/>
        </w:rPr>
        <w:t>726.12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（二）项目支出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474.22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万元。其分项为：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人民代表大会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万元，政务信息化</w:t>
      </w:r>
      <w:r>
        <w:rPr>
          <w:rFonts w:ascii="Times New Roman" w:eastAsia="方正仿宋_GBK" w:hAnsi="Times New Roman"/>
          <w:color w:val="000000"/>
          <w:sz w:val="32"/>
          <w:szCs w:val="32"/>
        </w:rPr>
        <w:t>31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万元，精准扶贫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万元，党建群团工作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万元，国防管理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万元，公共安全</w:t>
      </w:r>
      <w:r>
        <w:rPr>
          <w:rFonts w:ascii="Times New Roman" w:eastAsia="方正仿宋_GBK" w:hAnsi="Times New Roman"/>
          <w:color w:val="000000"/>
          <w:sz w:val="32"/>
          <w:szCs w:val="32"/>
        </w:rPr>
        <w:t>60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万元，消防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万元，文化教育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万元，老干部活动经费</w:t>
      </w:r>
      <w:r>
        <w:rPr>
          <w:rFonts w:ascii="Times New Roman" w:eastAsia="方正仿宋_GBK" w:hAnsi="Times New Roman"/>
          <w:color w:val="000000"/>
          <w:sz w:val="32"/>
          <w:szCs w:val="32"/>
        </w:rPr>
        <w:t>15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万元，市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sz w:val="32"/>
          <w:szCs w:val="32"/>
        </w:rPr>
        <w:t>政运行维护</w:t>
      </w:r>
      <w:r>
        <w:rPr>
          <w:rFonts w:ascii="Times New Roman" w:eastAsia="方正仿宋_GBK" w:hAnsi="Times New Roman"/>
          <w:color w:val="000000"/>
          <w:sz w:val="32"/>
          <w:szCs w:val="32"/>
        </w:rPr>
        <w:t>213.22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万元，乡村旅游、减灾、防汛、抗旱、森林防火、肉牛发展、松材线虫、大实蝇防治</w:t>
      </w:r>
      <w:r>
        <w:rPr>
          <w:rFonts w:ascii="Times New Roman" w:eastAsia="方正仿宋_GBK" w:hAnsi="Times New Roman"/>
          <w:color w:val="000000"/>
          <w:sz w:val="32"/>
          <w:szCs w:val="32"/>
        </w:rPr>
        <w:t>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万元，统计、五城同创、安全生产、招商引资、商贸流通、食品安全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万元，计生、宣传、河长制、移民</w:t>
      </w:r>
      <w:r>
        <w:rPr>
          <w:rFonts w:ascii="Times New Roman" w:eastAsia="方正仿宋_GBK" w:hAnsi="Times New Roman"/>
          <w:color w:val="000000"/>
          <w:sz w:val="32"/>
          <w:szCs w:val="32"/>
        </w:rPr>
        <w:t>15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万元，工会经费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、预备费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万元；全年财政收支</w:t>
      </w:r>
      <w:r>
        <w:rPr>
          <w:rFonts w:ascii="Times New Roman" w:eastAsia="方正仿宋_GBK" w:hAnsi="Times New Roman"/>
          <w:color w:val="000000"/>
          <w:sz w:val="32"/>
          <w:szCs w:val="32"/>
        </w:rPr>
        <w:t>预算平衡。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年财政主要工作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年是新中国成立</w:t>
      </w:r>
      <w:r>
        <w:rPr>
          <w:rFonts w:ascii="Times New Roman" w:eastAsia="方正仿宋_GBK" w:hAnsi="Times New Roman"/>
          <w:color w:val="000000"/>
          <w:sz w:val="32"/>
          <w:szCs w:val="32"/>
        </w:rPr>
        <w:t>70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周年，是全面建成小康社会、实现第一个百年奋斗目标的关键之年。财政工作将认真贯彻落实镇党委重大决策部署，全面执行镇人大决定决议，积极发挥财政职能，更好的服务于全镇经济社会发展大局。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（一）加强财源建设，增强保障能力。建立重点税源信息共享机制，做到应收尽收。建立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事权明确、财权匹配、激励相容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的财政管理体制，强化我镇财政功能。主动作为，积极应对，争取上级更多支持。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（二）优化支出结构，保障基本运转。坚持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保工资、保运转、保民生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和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压缩一般性支出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三保一压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政策，努力调整支出结构不合理造成的存量，修正不可持续的支出政策，调整无效和低效的支出，统筹各部门在资金使用上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先用上级后用本级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的原则，切实保障不断增长的人员刚性和民生项目支出需求。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（三）强化财政监管，提升资金效益。按照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规范管理、科学运用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原则，建立财政项目库管理系统，作为资金拨付的依据。完善内控制度，加强政府采购工作。加强行政事业单位资产监管，实现资产的使用效益最大化。加强财政财务监督管理，深入开展部门预算执行及重点项目支出检查，不断提高财政资金使用效益。</w:t>
      </w:r>
    </w:p>
    <w:p w:rsidR="00393A1C" w:rsidRDefault="00B21F7B">
      <w:pPr>
        <w:pStyle w:val="a3"/>
        <w:widowControl/>
        <w:spacing w:before="240" w:beforeAutospacing="0" w:after="240" w:afterAutospacing="0" w:line="368" w:lineRule="atLeast"/>
        <w:ind w:firstLine="42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（四）加强债务管理，确保风险</w:t>
      </w:r>
      <w:r>
        <w:rPr>
          <w:rFonts w:ascii="Times New Roman" w:eastAsia="方正仿宋_GBK" w:hAnsi="Times New Roman"/>
          <w:color w:val="000000"/>
          <w:sz w:val="32"/>
          <w:szCs w:val="32"/>
        </w:rPr>
        <w:t>可控。树立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全口径、大财政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理念，清理核实财政借款，符合核销的按程序报批，符合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借改拨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的完善相关手续，该收加的及时收回。</w:t>
      </w:r>
    </w:p>
    <w:p w:rsidR="00393A1C" w:rsidRDefault="00393A1C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39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1895"/>
    <w:rsid w:val="00393A1C"/>
    <w:rsid w:val="00B21F7B"/>
    <w:rsid w:val="01CD0EDC"/>
    <w:rsid w:val="03666F65"/>
    <w:rsid w:val="0BBC39D6"/>
    <w:rsid w:val="17AC2D70"/>
    <w:rsid w:val="1B7E1895"/>
    <w:rsid w:val="29FF2BDA"/>
    <w:rsid w:val="2F284E0E"/>
    <w:rsid w:val="3164597E"/>
    <w:rsid w:val="432E3059"/>
    <w:rsid w:val="446307BD"/>
    <w:rsid w:val="451954AA"/>
    <w:rsid w:val="4A741892"/>
    <w:rsid w:val="525A438C"/>
    <w:rsid w:val="579B162C"/>
    <w:rsid w:val="597B0E09"/>
    <w:rsid w:val="6C4859BF"/>
    <w:rsid w:val="75C51FA0"/>
    <w:rsid w:val="78992F77"/>
    <w:rsid w:val="7E3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C4842-2D5A-45D4-8FF5-B8DA99C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联想电脑丰都旗舰专卖店</dc:creator>
  <cp:lastModifiedBy>Microsoft 帐户</cp:lastModifiedBy>
  <cp:revision>2</cp:revision>
  <dcterms:created xsi:type="dcterms:W3CDTF">2021-12-31T07:05:00Z</dcterms:created>
  <dcterms:modified xsi:type="dcterms:W3CDTF">2022-12-27T06:25:00Z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