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left="0"/>
        <w:jc w:val="center"/>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bookmarkStart w:id="0" w:name="_GoBack"/>
      <w:r>
        <w:rPr>
          <w:rFonts w:hint="eastAsia" w:ascii="方正小标宋_GBK" w:hAnsi="方正小标宋_GBK" w:eastAsia="方正小标宋_GBK" w:cs="方正小标宋_GBK"/>
          <w:i w:val="0"/>
          <w:iCs w:val="0"/>
          <w:caps w:val="0"/>
          <w:color w:val="333333"/>
          <w:spacing w:val="0"/>
          <w:sz w:val="45"/>
          <w:szCs w:val="45"/>
          <w:shd w:val="clear" w:fill="FFFFFF"/>
        </w:rPr>
        <w:t>丰都县都督乡人民政府2022年度部门决算情况说明</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ascii="方正黑体_GBK" w:hAnsi="方正黑体_GBK" w:eastAsia="方正黑体_GBK" w:cs="方正黑体_GBK"/>
          <w:sz w:val="31"/>
          <w:szCs w:val="31"/>
        </w:rPr>
      </w:pPr>
      <w:r>
        <w:rPr>
          <w:rFonts w:ascii="方正黑体_GBK" w:hAnsi="方正黑体_GBK" w:eastAsia="方正黑体_GBK" w:cs="方正黑体_GBK"/>
          <w:sz w:val="31"/>
          <w:szCs w:val="31"/>
        </w:rPr>
        <w:t> </w:t>
      </w:r>
    </w:p>
    <w:p>
      <w:pPr>
        <w:pStyle w:val="2"/>
        <w:keepNext w:val="0"/>
        <w:keepLines w:val="0"/>
        <w:widowControl/>
        <w:suppressLineNumbers w:val="0"/>
        <w:spacing w:before="0" w:beforeAutospacing="0" w:after="0" w:afterAutospacing="0" w:line="420" w:lineRule="atLeast"/>
        <w:ind w:left="0" w:right="0" w:firstLine="0"/>
        <w:jc w:val="left"/>
        <w:rPr>
          <w:rFonts w:ascii="sans-serif" w:hAnsi="sans-serif" w:eastAsia="sans-serif" w:cs="sans-serif"/>
          <w:i w:val="0"/>
          <w:caps w:val="0"/>
          <w:color w:val="000000"/>
          <w:spacing w:val="0"/>
          <w:sz w:val="43"/>
          <w:szCs w:val="43"/>
        </w:rPr>
      </w:pPr>
      <w:r>
        <w:rPr>
          <w:rFonts w:ascii="方正黑体_GBK" w:hAnsi="方正黑体_GBK" w:eastAsia="方正黑体_GBK" w:cs="方正黑体_GBK"/>
          <w:i w:val="0"/>
          <w:caps w:val="0"/>
          <w:color w:val="000000"/>
          <w:spacing w:val="0"/>
          <w:sz w:val="31"/>
          <w:szCs w:val="31"/>
        </w:rPr>
        <w:t>一、部门基本情况</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ascii="方正楷体_GBK" w:hAnsi="方正楷体_GBK" w:eastAsia="方正楷体_GBK" w:cs="方正楷体_GBK"/>
          <w:i w:val="0"/>
          <w:caps w:val="0"/>
          <w:color w:val="000000"/>
          <w:spacing w:val="0"/>
          <w:sz w:val="31"/>
          <w:szCs w:val="31"/>
        </w:rPr>
        <w:t>（一）职能职责</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ascii="方正仿宋_GBK" w:hAnsi="方正仿宋_GBK" w:eastAsia="方正仿宋_GBK" w:cs="方正仿宋_GBK"/>
          <w:i w:val="0"/>
          <w:caps w:val="0"/>
          <w:color w:val="000000"/>
          <w:spacing w:val="0"/>
          <w:sz w:val="31"/>
          <w:szCs w:val="31"/>
          <w:shd w:val="clear" w:fill="FFFFFF"/>
        </w:rPr>
        <w:t>1.贯彻执行党的路线方针政策和县委县政府的精神；</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2.讨论决定本乡经济建设和社会发展中的重大问题；</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3.执行本乡经济和社会发展计划、预算，管理本乡的经济、教育、科学、文化、卫生、体育事业和农业、林业、水务、财政、民政、计划生育、劳动保障、市政市容、安全生产、村乡规划建设等行政工作；</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4.主要职能：促进经济发展、增加农民收入，强化公共服务、着力改善民生，加强社会管理、维护农村稳定，推进基层民主、促进农村和谐。</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（二）机构设置。</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1.预算编制单位包括：丰都县都督乡人民政府；丰都县都督乡文化服务中心、丰都县都督乡综合行政执法大队、丰都县都督乡农业服务中心、丰都县都督乡劳动就业和社会保障服务所、丰都县都督乡退役军人服务站。</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2.政府设立8个内设机构：党政办公室、经济发展办公室、民政和社会事务办公室、平安建设办公室、规划建设管理环保办公室、财政办公室、人大办公室、综合行政执法办公室。</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3.我乡部门行政编制17人；事业编制15人。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（三）单位构成。</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从预算单位构成看，本单位无纳入2022年度决算编制的下级预算单位。</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二、部门决算情况说明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（一）收入支出决算总体情况说明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1．总体情况。2022年度收入总计2032.10万元，支出总计2032.10万元，收支较上年决算数减少870.57万元、下降30%，主要原因是本年度落实“三保”政策，严格项目立项审批，削减非必要项目支出。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收入情况。2022年度收入合计1,933.31万元，较上年决算数减少969.36万元，下降33.4%，主要原因是本年度落实“三保”政策，严格项目立项审批，削减非必要项目支出。其中：财政拨款收入1933.31万元，占100%；其他收入0.00万元，占0%。此外，使用非财政拨款结余0.00万元，年初结转和结余98.79万元。</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3．支出情况。2022年度支出合计2032.10万元，较上年决算数减少870.57万元，下降30%，主要原因是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。其中：基本支出940.04万元，占46.3%；项目支出1092.06万元，占53.7%，经营支出0.00万元，占0%。此外，结余分配0.00万元。</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4．结转结余情况。2022年度年末结转和结余0.00万元，与上年决算数持平。 </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(二)财政拨款收入支出决算总体情况说明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2022年度财政拨款收、支总计2032.01万元。与2021年相比，财政拨款收、支总计各减少870.57万元，下降30%。主要原因是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（三）一般公共预算财政拨款收入支出决算情况说明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1．收入情况。2022年度一般公共预算财政拨款收入1902.42万元，较上年决算数减少568.71万元，下降23%。主要原因是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较年初预算数增加1016.23万元，增长114.7%。主要原因是本年度农林水、城乡社区、交通运输等项目支出变动。此外，年初财政拨款结转和结余98.79万元。</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2．支出情况。2022年度一般公共预算财政拨款支出2001.21万元，较上年决算数减少469.92万元，下降19%。主要原因是</w:t>
      </w:r>
      <w:r>
        <w:rPr>
          <w:rFonts w:hint="eastAsia" w:ascii="方正仿宋_GBK" w:hAnsi="方正仿宋_GBK" w:eastAsia="方正仿宋_GBK" w:cs="方正仿宋_GBK"/>
          <w:i w:val="0"/>
          <w:caps w:val="0"/>
          <w:color w:val="333333"/>
          <w:spacing w:val="0"/>
          <w:sz w:val="31"/>
          <w:szCs w:val="31"/>
        </w:rPr>
        <w:t>本年度落实“三保”政策，严格项目立项审批，削减非必要项目支出</w:t>
      </w:r>
      <w:r>
        <w:rPr>
          <w:rFonts w:hint="eastAsia" w:ascii="方正仿宋_GBK" w:hAnsi="方正仿宋_GBK" w:eastAsia="方正仿宋_GBK" w:cs="方正仿宋_GBK"/>
          <w:i w:val="0"/>
          <w:caps w:val="0"/>
          <w:color w:val="000000"/>
          <w:spacing w:val="0"/>
          <w:sz w:val="31"/>
          <w:szCs w:val="31"/>
        </w:rPr>
        <w:t>。较年初预算数增加1115.02万元，增长125.8%。主要原因是本年度农林水、城乡社区、交通运输等项目支出变动。</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3．结转结余情况。2022年度年末一般公共预算财政拨款结转和结余0.00万元，与上年决算数持平。</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4．比较情况。本部门2022年度一般公共预算财政拨款支出主要用于以下几个方面：</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（1）一般公共服务支出542.42万元，占27.1%，较年初预算数增加108.82万元，增长25.1%，主要原因是本年度行政运行经费增加。</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w:t>
      </w:r>
      <w:r>
        <w:rPr>
          <w:rFonts w:hint="eastAsia" w:ascii="方正仿宋_GBK" w:hAnsi="方正仿宋_GBK" w:eastAsia="方正仿宋_GBK" w:cs="方正仿宋_GBK"/>
          <w:i w:val="0"/>
          <w:caps w:val="0"/>
          <w:color w:val="333333"/>
          <w:spacing w:val="0"/>
          <w:sz w:val="31"/>
          <w:szCs w:val="31"/>
        </w:rPr>
        <w:t>文化旅游体育与传媒支出49.05万元，占2.5%，较年初预算数增加28.71万元，增长141.2%，主要原因是人员变动基本支出增加以及2022年“三管一站”免费开放补助项目支出。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（3）社会保障与就业支出240.05万元，占12%，较年初预算数增加100.65万元，增长72.2%，主要原因是</w:t>
      </w:r>
      <w:r>
        <w:rPr>
          <w:rFonts w:hint="eastAsia" w:ascii="方正仿宋_GBK" w:hAnsi="方正仿宋_GBK" w:eastAsia="方正仿宋_GBK" w:cs="方正仿宋_GBK"/>
          <w:i w:val="0"/>
          <w:caps w:val="0"/>
          <w:color w:val="333333"/>
          <w:spacing w:val="0"/>
          <w:sz w:val="31"/>
          <w:szCs w:val="31"/>
        </w:rPr>
        <w:t>人员调入社保缴费支出增加以及就业补助中的公益性岗位补贴项目支出增加</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（4）卫生健康支出47.19万元，占2.4%，较年初预算数增加15.79万元，增长50.3%，主要原因是人员调入医疗保险缴费等支出增加。 </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（5）城乡社区支出90.06万元，占4.43%，较年初预算数增加44.50万元，增长97.67%，主要原因是专项工作经费增加，如： “小城镇基础设施建设”、“场镇清扫保洁、垃圾清运”等。</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（6）农林水支出918.06万元，占45.9%，较年初预算数增加729.80万元，增长387.7%，主要原因是专项工作经费增加，如：“乡村治理示范建设项目”、“中药材产业配套”、“乡村旅游配套项目”等。</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（7）交通运输支出69.34万元，占3.5%，较年初预算数增加69.34万元，主要原因是专项工作经费增加，如：“农村公路安防工程项目”。</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（8）住房保障支出26.49万元，占1.3%，较年初预算数减少1.15万元，下降4.2%，主要原因是年中人员变动。 </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333333"/>
          <w:spacing w:val="0"/>
          <w:sz w:val="31"/>
          <w:szCs w:val="31"/>
          <w:shd w:val="clear" w:fill="FFFFFF"/>
        </w:rPr>
        <w:t>（9）其他支出17.00万元，占0.84%，较年初预算数增加17.00万元，增长100%，主要原因是用于社会福利的彩票公益金支出。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（四）一般公共预算财政拨款基本支出决算情况说明。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2022年度一般公共预算财政拨款基本支出940.04万元。其中：人员经费673.80万元，较上年决算数增加31.74万元，增长4.9%，主要原因是</w:t>
      </w:r>
      <w:r>
        <w:rPr>
          <w:rFonts w:hint="eastAsia" w:ascii="方正仿宋_GBK" w:hAnsi="方正仿宋_GBK" w:eastAsia="方正仿宋_GBK" w:cs="方正仿宋_GBK"/>
          <w:i w:val="0"/>
          <w:caps w:val="0"/>
          <w:color w:val="333333"/>
          <w:spacing w:val="0"/>
          <w:sz w:val="31"/>
          <w:szCs w:val="31"/>
        </w:rPr>
        <w:t>人员变动</w:t>
      </w:r>
      <w:r>
        <w:rPr>
          <w:rFonts w:hint="eastAsia" w:ascii="方正仿宋_GBK" w:hAnsi="方正仿宋_GBK" w:eastAsia="方正仿宋_GBK" w:cs="方正仿宋_GBK"/>
          <w:i w:val="0"/>
          <w:caps w:val="0"/>
          <w:color w:val="000000"/>
          <w:spacing w:val="0"/>
          <w:sz w:val="31"/>
          <w:szCs w:val="31"/>
        </w:rPr>
        <w:t>。人员经费用途主要包括基本工资、津贴补贴、社会保障缴费、其他工资福利待遇、对个人和家庭的补助等费用。公用经费266.24万元，较上年决算数增加21.11万元，增长8.6%，主要原因是</w:t>
      </w:r>
      <w:r>
        <w:rPr>
          <w:rFonts w:hint="eastAsia" w:ascii="方正仿宋_GBK" w:hAnsi="方正仿宋_GBK" w:eastAsia="方正仿宋_GBK" w:cs="方正仿宋_GBK"/>
          <w:i w:val="0"/>
          <w:caps w:val="0"/>
          <w:color w:val="333333"/>
          <w:spacing w:val="0"/>
          <w:sz w:val="31"/>
          <w:szCs w:val="31"/>
        </w:rPr>
        <w:t>人员变动</w:t>
      </w:r>
      <w:r>
        <w:rPr>
          <w:rFonts w:hint="eastAsia" w:ascii="方正仿宋_GBK" w:hAnsi="方正仿宋_GBK" w:eastAsia="方正仿宋_GBK" w:cs="方正仿宋_GBK"/>
          <w:i w:val="0"/>
          <w:caps w:val="0"/>
          <w:color w:val="000000"/>
          <w:spacing w:val="0"/>
          <w:sz w:val="31"/>
          <w:szCs w:val="31"/>
        </w:rPr>
        <w:t>。公用经费用途主要包括办公费、水费、电费、劳务费、委托业务费、邮电费、手续费、其他商品和服务等支出。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（五）政府性基金预算收支决算情况说明。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2022年度政府性基金预算财政拨款年初结转结余0.00万元，年末结转结余0.00万元。本年收入30.89万元，较上年决算数减少400.65万元，下降92.8%，主要原因是</w:t>
      </w:r>
      <w:r>
        <w:rPr>
          <w:rFonts w:hint="eastAsia" w:ascii="方正仿宋_GBK" w:hAnsi="方正仿宋_GBK" w:eastAsia="方正仿宋_GBK" w:cs="方正仿宋_GBK"/>
          <w:i w:val="0"/>
          <w:caps w:val="0"/>
          <w:color w:val="333333"/>
          <w:spacing w:val="0"/>
          <w:sz w:val="31"/>
          <w:szCs w:val="31"/>
        </w:rPr>
        <w:t>基金项目减少</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（六）国有资本经营预算财政拨款支出决算情况说明</w:t>
      </w:r>
    </w:p>
    <w:p>
      <w:pPr>
        <w:pStyle w:val="2"/>
        <w:keepNext w:val="0"/>
        <w:keepLines w:val="0"/>
        <w:widowControl/>
        <w:suppressLineNumbers w:val="0"/>
        <w:shd w:val="clear" w:fill="FFFFFF"/>
        <w:spacing w:before="0" w:beforeAutospacing="0" w:after="0" w:afterAutospacing="0" w:line="420" w:lineRule="atLeast"/>
        <w:ind w:left="0" w:right="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    本部门2022年度无国有资本经营预算财政拨款支出。</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三、“三公”经费情况说明</w:t>
      </w:r>
      <w:r>
        <w:rPr>
          <w:rFonts w:hint="eastAsia" w:ascii="方正黑体_GBK" w:hAnsi="方正黑体_GBK" w:eastAsia="方正黑体_GBK" w:cs="方正黑体_GBK"/>
          <w:b/>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（一）“三公”经费支出总体情况说明。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2022年度“三公”经费支出共计17.13万元，较年初预算数增加1.13万元，增长7.1%，主要原因是</w:t>
      </w:r>
      <w:r>
        <w:rPr>
          <w:rFonts w:hint="eastAsia" w:ascii="方正仿宋_GBK" w:hAnsi="方正仿宋_GBK" w:eastAsia="方正仿宋_GBK" w:cs="方正仿宋_GBK"/>
          <w:i w:val="0"/>
          <w:caps w:val="0"/>
          <w:color w:val="333333"/>
          <w:spacing w:val="0"/>
          <w:sz w:val="31"/>
          <w:szCs w:val="31"/>
        </w:rPr>
        <w:t>2022年乡村振兴工作需要及辖区疫情防控工作要求，导致公务接待费、公务用车运行维护费用增加</w:t>
      </w:r>
      <w:r>
        <w:rPr>
          <w:rFonts w:hint="eastAsia" w:ascii="方正仿宋_GBK" w:hAnsi="方正仿宋_GBK" w:eastAsia="方正仿宋_GBK" w:cs="方正仿宋_GBK"/>
          <w:i w:val="0"/>
          <w:caps w:val="0"/>
          <w:color w:val="000000"/>
          <w:spacing w:val="0"/>
          <w:sz w:val="31"/>
          <w:szCs w:val="31"/>
        </w:rPr>
        <w:t>。较上年支出数减少19.61万元，下降53.4%，主要原因是上年度添加购置公务用车。</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（二）“三公”经费分项支出情况。</w:t>
      </w:r>
    </w:p>
    <w:p>
      <w:pPr>
        <w:pStyle w:val="2"/>
        <w:keepNext w:val="0"/>
        <w:keepLines w:val="0"/>
        <w:widowControl/>
        <w:suppressLineNumbers w:val="0"/>
        <w:spacing w:before="0" w:beforeAutospacing="0" w:after="0" w:afterAutospacing="0" w:line="420" w:lineRule="atLeast"/>
        <w:ind w:left="638" w:right="0"/>
        <w:rPr>
          <w:sz w:val="31"/>
          <w:szCs w:val="31"/>
        </w:rPr>
      </w:pPr>
      <w:r>
        <w:rPr>
          <w:rFonts w:hint="eastAsia" w:ascii="方正仿宋_GBK" w:hAnsi="方正仿宋_GBK" w:eastAsia="方正仿宋_GBK" w:cs="方正仿宋_GBK"/>
          <w:i w:val="0"/>
          <w:caps w:val="0"/>
          <w:color w:val="000000"/>
          <w:spacing w:val="0"/>
          <w:sz w:val="31"/>
          <w:szCs w:val="31"/>
        </w:rPr>
        <w:t>2022年度本部门无公出国（境）费用支出，与上年持平。</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公务车购置费0.00万元。费用支出较年初预算数少0.00万元，下降0.00%，主要原因是本年初未预算公务车购置。较上年支出数减少16.10万元，下降100%，主要原因是上年度添加购置公务用车。</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公务车运行维护费8.61万元，主要用于</w:t>
      </w:r>
      <w:r>
        <w:rPr>
          <w:rFonts w:hint="eastAsia" w:ascii="方正仿宋_GBK" w:hAnsi="方正仿宋_GBK" w:eastAsia="方正仿宋_GBK" w:cs="方正仿宋_GBK"/>
          <w:i w:val="0"/>
          <w:caps w:val="0"/>
          <w:color w:val="333333"/>
          <w:spacing w:val="0"/>
          <w:sz w:val="31"/>
          <w:szCs w:val="31"/>
        </w:rPr>
        <w:t>县内因公出行、项目检查等工作所需车辆的燃料费、维修费、过桥过路费、保险费等</w:t>
      </w:r>
      <w:r>
        <w:rPr>
          <w:rFonts w:hint="eastAsia" w:ascii="方正仿宋_GBK" w:hAnsi="方正仿宋_GBK" w:eastAsia="方正仿宋_GBK" w:cs="方正仿宋_GBK"/>
          <w:i w:val="0"/>
          <w:caps w:val="0"/>
          <w:color w:val="000000"/>
          <w:spacing w:val="0"/>
          <w:sz w:val="31"/>
          <w:szCs w:val="31"/>
        </w:rPr>
        <w:t>。费用支出较年初预算减少7.39万元，下降46.2%，主要原因是</w:t>
      </w:r>
      <w:r>
        <w:rPr>
          <w:rFonts w:hint="eastAsia" w:ascii="方正仿宋_GBK" w:hAnsi="方正仿宋_GBK" w:eastAsia="方正仿宋_GBK" w:cs="方正仿宋_GBK"/>
          <w:i w:val="0"/>
          <w:caps w:val="0"/>
          <w:color w:val="333333"/>
          <w:spacing w:val="0"/>
          <w:sz w:val="31"/>
          <w:szCs w:val="31"/>
        </w:rPr>
        <w:t>落实三公经费只减不增要求</w:t>
      </w:r>
      <w:r>
        <w:rPr>
          <w:rFonts w:hint="eastAsia" w:ascii="方正仿宋_GBK" w:hAnsi="方正仿宋_GBK" w:eastAsia="方正仿宋_GBK" w:cs="方正仿宋_GBK"/>
          <w:i w:val="0"/>
          <w:caps w:val="0"/>
          <w:color w:val="000000"/>
          <w:spacing w:val="0"/>
          <w:sz w:val="31"/>
          <w:szCs w:val="31"/>
        </w:rPr>
        <w:t>。较上年支出数减少0.20万元，下降2.3%，主要原因是</w:t>
      </w:r>
      <w:r>
        <w:rPr>
          <w:rFonts w:hint="eastAsia" w:ascii="方正仿宋_GBK" w:hAnsi="方正仿宋_GBK" w:eastAsia="方正仿宋_GBK" w:cs="方正仿宋_GBK"/>
          <w:i w:val="0"/>
          <w:caps w:val="0"/>
          <w:color w:val="333333"/>
          <w:spacing w:val="0"/>
          <w:sz w:val="31"/>
          <w:szCs w:val="31"/>
        </w:rPr>
        <w:t>落实三公经费只减不增要求</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公务接待费8.52万元，主要用于接待</w:t>
      </w:r>
      <w:r>
        <w:rPr>
          <w:rFonts w:hint="eastAsia" w:ascii="方正仿宋_GBK" w:hAnsi="方正仿宋_GBK" w:eastAsia="方正仿宋_GBK" w:cs="方正仿宋_GBK"/>
          <w:i w:val="0"/>
          <w:caps w:val="0"/>
          <w:color w:val="333333"/>
          <w:spacing w:val="0"/>
          <w:sz w:val="31"/>
          <w:szCs w:val="31"/>
        </w:rPr>
        <w:t>招商引资工作、接受相关部门检查项目指导工作发生的接待支出</w:t>
      </w:r>
      <w:r>
        <w:rPr>
          <w:rFonts w:hint="eastAsia" w:ascii="方正仿宋_GBK" w:hAnsi="方正仿宋_GBK" w:eastAsia="方正仿宋_GBK" w:cs="方正仿宋_GBK"/>
          <w:i w:val="0"/>
          <w:caps w:val="0"/>
          <w:color w:val="000000"/>
          <w:spacing w:val="0"/>
          <w:sz w:val="31"/>
          <w:szCs w:val="31"/>
        </w:rPr>
        <w:t>。费用支出较年初预算增加8.52万元，增长100 %，主要原因是年初</w:t>
      </w:r>
      <w:r>
        <w:rPr>
          <w:rFonts w:hint="eastAsia" w:ascii="方正仿宋_GBK" w:hAnsi="方正仿宋_GBK" w:eastAsia="方正仿宋_GBK" w:cs="方正仿宋_GBK"/>
          <w:i w:val="0"/>
          <w:caps w:val="0"/>
          <w:color w:val="333333"/>
          <w:spacing w:val="0"/>
          <w:sz w:val="31"/>
          <w:szCs w:val="31"/>
        </w:rPr>
        <w:t>招商引资工作</w:t>
      </w:r>
      <w:r>
        <w:rPr>
          <w:rFonts w:hint="eastAsia" w:ascii="方正仿宋_GBK" w:hAnsi="方正仿宋_GBK" w:eastAsia="方正仿宋_GBK" w:cs="方正仿宋_GBK"/>
          <w:i w:val="0"/>
          <w:caps w:val="0"/>
          <w:color w:val="000000"/>
          <w:spacing w:val="0"/>
          <w:sz w:val="31"/>
          <w:szCs w:val="31"/>
        </w:rPr>
        <w:t>等项目接待有所增加变动。较上年支出数减少3.32万元，下降28%，主要原因是</w:t>
      </w:r>
      <w:r>
        <w:rPr>
          <w:rFonts w:hint="eastAsia" w:ascii="方正仿宋_GBK" w:hAnsi="方正仿宋_GBK" w:eastAsia="方正仿宋_GBK" w:cs="方正仿宋_GBK"/>
          <w:i w:val="0"/>
          <w:caps w:val="0"/>
          <w:color w:val="333333"/>
          <w:spacing w:val="0"/>
          <w:sz w:val="31"/>
          <w:szCs w:val="31"/>
        </w:rPr>
        <w:t>强化公务接待支出管理，严格遵守公务接待开支范围和开支标准，严格控制陪餐人数</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（三）“三公”经费实物量情况。</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因公出国（境）共计0个团组，0人；公务用车购置0辆，公务车保有量为4辆；国内公务接待285批次，1421人，其中：国内外事接待0批次，0人；国（境）外公务接待0批次，0人。2022年本部门人均接待费59.99元，车均购置费0万元，车均维护费2.15万元。</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黑体_GBK" w:hAnsi="方正黑体_GBK" w:eastAsia="方正黑体_GBK" w:cs="方正黑体_GBK"/>
          <w:i w:val="0"/>
          <w:caps w:val="0"/>
          <w:color w:val="000000"/>
          <w:spacing w:val="0"/>
          <w:sz w:val="31"/>
          <w:szCs w:val="31"/>
        </w:rPr>
        <w:t>四、其他需要说明的事项</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（一）财政拨款会议费和培训费情况说明</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本年度会议费支出1.40万元，较上年决算数减少0.54万元，下降27.8%，主要原因是</w:t>
      </w:r>
      <w:r>
        <w:rPr>
          <w:rFonts w:hint="eastAsia" w:ascii="方正仿宋_GBK" w:hAnsi="方正仿宋_GBK" w:eastAsia="方正仿宋_GBK" w:cs="方正仿宋_GBK"/>
          <w:i w:val="0"/>
          <w:caps w:val="0"/>
          <w:color w:val="333333"/>
          <w:spacing w:val="0"/>
          <w:sz w:val="31"/>
          <w:szCs w:val="31"/>
          <w:shd w:val="clear" w:fill="FFFFFF"/>
        </w:rPr>
        <w:t>认真贯彻落实中央八项规定精神和厉行节约要求。</w:t>
      </w:r>
      <w:r>
        <w:rPr>
          <w:rFonts w:hint="eastAsia" w:ascii="方正仿宋_GBK" w:hAnsi="方正仿宋_GBK" w:eastAsia="方正仿宋_GBK" w:cs="方正仿宋_GBK"/>
          <w:i w:val="0"/>
          <w:caps w:val="0"/>
          <w:color w:val="000000"/>
          <w:spacing w:val="0"/>
          <w:sz w:val="31"/>
          <w:szCs w:val="31"/>
          <w:shd w:val="clear" w:fill="FFFFFF"/>
        </w:rPr>
        <w:t>本年度培训费支出0.08万元，较上年决算数减少0.01元，下降11.1%，主要原因是</w:t>
      </w:r>
      <w:r>
        <w:rPr>
          <w:rFonts w:hint="eastAsia" w:ascii="方正仿宋_GBK" w:hAnsi="方正仿宋_GBK" w:eastAsia="方正仿宋_GBK" w:cs="方正仿宋_GBK"/>
          <w:i w:val="0"/>
          <w:caps w:val="0"/>
          <w:color w:val="333333"/>
          <w:spacing w:val="0"/>
          <w:sz w:val="31"/>
          <w:szCs w:val="31"/>
          <w:shd w:val="clear" w:fill="FFFFFF"/>
        </w:rPr>
        <w:t>认真贯彻落实中央八项规定精神和厉行节约要求</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（二）机关运行经费支出情况说明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2022年度本部门机关运行经费支出206.67万元，主要用于开支</w:t>
      </w:r>
      <w:r>
        <w:rPr>
          <w:rFonts w:hint="eastAsia" w:ascii="方正仿宋_GBK" w:hAnsi="方正仿宋_GBK" w:eastAsia="方正仿宋_GBK" w:cs="方正仿宋_GBK"/>
          <w:i w:val="0"/>
          <w:caps w:val="0"/>
          <w:color w:val="333333"/>
          <w:spacing w:val="0"/>
          <w:sz w:val="31"/>
          <w:szCs w:val="31"/>
        </w:rPr>
        <w:t>办公费、印刷费、手续费、日常维护费、水电费、物管费、邮电费、差旅费、租赁费、公务用车运行维护等</w:t>
      </w:r>
      <w:r>
        <w:rPr>
          <w:rFonts w:hint="eastAsia" w:ascii="方正仿宋_GBK" w:hAnsi="方正仿宋_GBK" w:eastAsia="方正仿宋_GBK" w:cs="方正仿宋_GBK"/>
          <w:i w:val="0"/>
          <w:caps w:val="0"/>
          <w:color w:val="000000"/>
          <w:spacing w:val="0"/>
          <w:sz w:val="31"/>
          <w:szCs w:val="31"/>
        </w:rPr>
        <w:t>。机关运行经费较上年决算数减少23.20万元，下降10.1%，主要原因是</w:t>
      </w:r>
      <w:r>
        <w:rPr>
          <w:rFonts w:hint="eastAsia" w:ascii="方正仿宋_GBK" w:hAnsi="方正仿宋_GBK" w:eastAsia="方正仿宋_GBK" w:cs="方正仿宋_GBK"/>
          <w:i w:val="0"/>
          <w:caps w:val="0"/>
          <w:color w:val="333333"/>
          <w:spacing w:val="0"/>
          <w:sz w:val="31"/>
          <w:szCs w:val="31"/>
        </w:rPr>
        <w:t>认真贯彻落实中央八项规定精神和厉行节约要求</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（三）国有资产占用情况说明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截至2022年12月31日，本部门共有车辆4辆，其中，副部（省）级及以上领导用车0辆、主要领导干部用车0辆、机要通信用车0辆、应急保障用车4辆、执法执勤用车0.辆，特种专业技术用车0辆，离退休干部用车0辆，其他用车0辆。单价100万元（含）以上设备（不含车辆）0台（套）。</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（四）政府采购支出情况说明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2022年度本部门政府采购支出总额1.43万元，其中：政府采购货物支出0万元、政府采购工程支出0万元、政府采购服务支出1.43万元。授予中小企业合同金额0万元，占政府采购支出总额的0%，其中：授予小微企业合同金额0万元，占政府采购支出总额的0%，主要用于采购政府法律咨询业务服务费。</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  </w:t>
      </w:r>
      <w:r>
        <w:rPr>
          <w:rFonts w:hint="eastAsia" w:ascii="方正黑体_GBK" w:hAnsi="方正黑体_GBK" w:eastAsia="方正黑体_GBK" w:cs="方正黑体_GBK"/>
          <w:i w:val="0"/>
          <w:caps w:val="0"/>
          <w:color w:val="000000"/>
          <w:spacing w:val="0"/>
          <w:sz w:val="31"/>
          <w:szCs w:val="31"/>
        </w:rPr>
        <w:t>五、预算绩效管理情况说明</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（一）预算绩效管理工作开展情况</w:t>
      </w:r>
    </w:p>
    <w:p>
      <w:pPr>
        <w:pStyle w:val="2"/>
        <w:keepNext w:val="0"/>
        <w:keepLines w:val="0"/>
        <w:widowControl/>
        <w:suppressLineNumbers w:val="0"/>
        <w:shd w:val="clear" w:fill="FFFFFF"/>
        <w:spacing w:before="0" w:beforeAutospacing="0" w:after="0" w:afterAutospacing="0" w:line="420" w:lineRule="atLeast"/>
        <w:ind w:left="0" w:right="0" w:firstLine="630"/>
        <w:jc w:val="left"/>
        <w:rPr>
          <w:sz w:val="31"/>
          <w:szCs w:val="31"/>
        </w:rPr>
      </w:pPr>
      <w:r>
        <w:rPr>
          <w:rFonts w:hint="eastAsia" w:ascii="方正仿宋_GBK" w:hAnsi="方正仿宋_GBK" w:eastAsia="方正仿宋_GBK" w:cs="方正仿宋_GBK"/>
          <w:i w:val="0"/>
          <w:caps w:val="0"/>
          <w:color w:val="000000"/>
          <w:spacing w:val="0"/>
          <w:sz w:val="31"/>
          <w:szCs w:val="31"/>
          <w:shd w:val="clear" w:fill="FFFFFF"/>
        </w:rPr>
        <w:t>根据预算绩效管理要求，本单位对部门整体和73个项目开展了绩效自评，其中，以填报自评表形式开展自评73项，涉及资金1092.06万元。从评价情况来看，项目立项较为规范，绩效目标明确，预算编制合理，管理科学规范，资金到位及时，总体完成情况较好，</w:t>
      </w:r>
      <w:r>
        <w:rPr>
          <w:rFonts w:hint="eastAsia" w:ascii="方正仿宋_GBK" w:hAnsi="方正仿宋_GBK" w:eastAsia="方正仿宋_GBK" w:cs="方正仿宋_GBK"/>
          <w:i w:val="0"/>
          <w:caps w:val="0"/>
          <w:color w:val="333333"/>
          <w:spacing w:val="0"/>
          <w:sz w:val="31"/>
          <w:szCs w:val="31"/>
          <w:shd w:val="clear" w:fill="FFFFFF"/>
        </w:rPr>
        <w:t>评价等级均为优等级，</w:t>
      </w:r>
      <w:r>
        <w:rPr>
          <w:rFonts w:hint="eastAsia" w:ascii="方正仿宋_GBK" w:hAnsi="方正仿宋_GBK" w:eastAsia="方正仿宋_GBK" w:cs="方正仿宋_GBK"/>
          <w:i w:val="0"/>
          <w:caps w:val="0"/>
          <w:color w:val="000000"/>
          <w:spacing w:val="0"/>
          <w:sz w:val="31"/>
          <w:szCs w:val="31"/>
          <w:shd w:val="clear" w:fill="FFFFFF"/>
        </w:rPr>
        <w:t>项目基本达到了预期绩效目标。</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楷体_GBK" w:hAnsi="方正楷体_GBK" w:eastAsia="方正楷体_GBK" w:cs="方正楷体_GBK"/>
          <w:i w:val="0"/>
          <w:caps w:val="0"/>
          <w:color w:val="000000"/>
          <w:spacing w:val="0"/>
          <w:sz w:val="31"/>
          <w:szCs w:val="31"/>
        </w:rPr>
        <w:t>（二）绩效自评结果</w:t>
      </w:r>
    </w:p>
    <w:p>
      <w:pPr>
        <w:pStyle w:val="2"/>
        <w:keepNext w:val="0"/>
        <w:keepLines w:val="0"/>
        <w:widowControl/>
        <w:suppressLineNumbers w:val="0"/>
        <w:spacing w:before="0" w:beforeAutospacing="0" w:after="0" w:afterAutospacing="0" w:line="420" w:lineRule="atLeast"/>
        <w:ind w:left="0" w:right="0" w:firstLine="630"/>
        <w:rPr>
          <w:sz w:val="31"/>
          <w:szCs w:val="31"/>
        </w:rPr>
      </w:pPr>
      <w:r>
        <w:rPr>
          <w:rFonts w:hint="eastAsia" w:ascii="方正仿宋_GBK" w:hAnsi="方正仿宋_GBK" w:eastAsia="方正仿宋_GBK" w:cs="方正仿宋_GBK"/>
          <w:i w:val="0"/>
          <w:caps w:val="0"/>
          <w:color w:val="000000"/>
          <w:spacing w:val="0"/>
          <w:sz w:val="31"/>
          <w:szCs w:val="31"/>
        </w:rPr>
        <w:t>1．绩效自评表  </w:t>
      </w:r>
    </w:p>
    <w:tbl>
      <w:tblPr>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50" w:type="dxa"/>
          <w:bottom w:w="75" w:type="dxa"/>
          <w:right w:w="150" w:type="dxa"/>
        </w:tblCellMar>
      </w:tblPr>
      <w:tblGrid>
        <w:gridCol w:w="1238"/>
        <w:gridCol w:w="602"/>
        <w:gridCol w:w="1137"/>
        <w:gridCol w:w="832"/>
        <w:gridCol w:w="720"/>
        <w:gridCol w:w="744"/>
        <w:gridCol w:w="1042"/>
        <w:gridCol w:w="708"/>
        <w:gridCol w:w="798"/>
        <w:gridCol w:w="768"/>
        <w:gridCol w:w="1122"/>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584"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32"/>
                <w:szCs w:val="32"/>
              </w:rPr>
            </w:pPr>
            <w:r>
              <w:rPr>
                <w:rFonts w:hint="eastAsia" w:ascii="方正仿宋_GBK" w:hAnsi="方正仿宋_GBK" w:eastAsia="方正仿宋_GBK" w:cs="方正仿宋_GBK"/>
                <w:b/>
                <w:sz w:val="21"/>
                <w:szCs w:val="21"/>
                <w:bdr w:val="none" w:color="auto" w:sz="0" w:space="0"/>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项目名称：</w:t>
            </w:r>
          </w:p>
        </w:tc>
        <w:tc>
          <w:tcPr>
            <w:tcW w:w="1526"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方正仿宋_GBK" w:hAnsi="方正仿宋_GBK" w:eastAsia="方正仿宋_GBK" w:cs="方正仿宋_GBK"/>
                <w:sz w:val="21"/>
                <w:szCs w:val="21"/>
                <w:bdr w:val="none" w:color="auto" w:sz="0" w:space="0"/>
              </w:rPr>
              <w:t>丰都县都督乡整体自评</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项目编码：</w:t>
            </w:r>
          </w:p>
        </w:tc>
        <w:tc>
          <w:tcPr>
            <w:tcW w:w="1214"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50023000022P000091</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自评总分：</w:t>
            </w:r>
          </w:p>
        </w:tc>
        <w:tc>
          <w:tcPr>
            <w:tcW w:w="1292"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97.60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31"/>
                <w:szCs w:val="31"/>
                <w:bdr w:val="none" w:color="auto" w:sz="0" w:space="0"/>
              </w:rPr>
              <w:t> </w:t>
            </w:r>
          </w:p>
        </w:tc>
        <w:tc>
          <w:tcPr>
            <w:tcW w:w="1623"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项目主管部门：</w:t>
            </w:r>
          </w:p>
        </w:tc>
        <w:tc>
          <w:tcPr>
            <w:tcW w:w="152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 924-丰都县都督乡</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财政归口处室：</w:t>
            </w:r>
          </w:p>
        </w:tc>
        <w:tc>
          <w:tcPr>
            <w:tcW w:w="121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 007-基财科</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483"/>
              <w:jc w:val="center"/>
            </w:pPr>
            <w:r>
              <w:rPr>
                <w:rFonts w:hint="eastAsia" w:ascii="方正仿宋_GBK" w:hAnsi="方正仿宋_GBK" w:eastAsia="方正仿宋_GBK" w:cs="方正仿宋_GBK"/>
                <w:b/>
                <w:sz w:val="21"/>
                <w:szCs w:val="21"/>
                <w:bdr w:val="none" w:color="auto" w:sz="0" w:space="0"/>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pPr>
            <w:r>
              <w:rPr>
                <w:rFonts w:hint="eastAsia" w:ascii="方正仿宋_GBK" w:hAnsi="方正仿宋_GBK" w:eastAsia="方正仿宋_GBK" w:cs="方正仿宋_GBK"/>
                <w:b/>
                <w:sz w:val="21"/>
                <w:szCs w:val="21"/>
                <w:bdr w:val="none" w:color="auto" w:sz="0" w:space="0"/>
              </w:rPr>
              <w:t>联系人：</w:t>
            </w:r>
          </w:p>
        </w:tc>
        <w:tc>
          <w:tcPr>
            <w:tcW w:w="129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黄桂圆</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bdr w:val="none" w:color="auto" w:sz="0" w:space="0"/>
              </w:rPr>
              <w:t>电话</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 17823345769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69"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8"/>
                <w:szCs w:val="18"/>
              </w:rPr>
            </w:pPr>
            <w:r>
              <w:rPr>
                <w:rFonts w:hint="eastAsia" w:ascii="方正仿宋_GBK" w:hAnsi="方正仿宋_GBK" w:eastAsia="方正仿宋_GBK" w:cs="方正仿宋_GBK"/>
                <w:b/>
                <w:color w:val="808080"/>
                <w:sz w:val="21"/>
                <w:szCs w:val="21"/>
                <w:bdr w:val="none" w:color="auto" w:sz="0" w:space="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45"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c>
          <w:tcPr>
            <w:tcW w:w="175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724"/>
              <w:jc w:val="center"/>
              <w:rPr>
                <w:sz w:val="16"/>
                <w:szCs w:val="16"/>
              </w:rPr>
            </w:pPr>
            <w:r>
              <w:rPr>
                <w:rFonts w:hint="eastAsia" w:ascii="方正仿宋_GBK" w:hAnsi="方正仿宋_GBK" w:eastAsia="方正仿宋_GBK" w:cs="方正仿宋_GBK"/>
                <w:b/>
                <w:sz w:val="21"/>
                <w:szCs w:val="21"/>
                <w:bdr w:val="none" w:color="auto" w:sz="0" w:space="0"/>
              </w:rPr>
              <w:t>年初预算数</w:t>
            </w:r>
          </w:p>
        </w:tc>
        <w:tc>
          <w:tcPr>
            <w:tcW w:w="121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预算数</w:t>
            </w:r>
          </w:p>
        </w:tc>
        <w:tc>
          <w:tcPr>
            <w:tcW w:w="153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rPr>
                <w:sz w:val="16"/>
                <w:szCs w:val="16"/>
              </w:rPr>
            </w:pPr>
            <w:r>
              <w:rPr>
                <w:rFonts w:hint="eastAsia" w:ascii="方正仿宋_GBK" w:hAnsi="方正仿宋_GBK" w:eastAsia="方正仿宋_GBK" w:cs="方正仿宋_GBK"/>
                <w:b/>
                <w:sz w:val="21"/>
                <w:szCs w:val="21"/>
                <w:bdr w:val="none" w:color="auto" w:sz="0" w:space="0"/>
              </w:rPr>
              <w:t>全年执行数</w:t>
            </w:r>
          </w:p>
        </w:tc>
        <w:tc>
          <w:tcPr>
            <w:tcW w:w="135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22"/>
              <w:jc w:val="center"/>
              <w:rPr>
                <w:sz w:val="16"/>
                <w:szCs w:val="16"/>
              </w:rPr>
            </w:pPr>
            <w:r>
              <w:rPr>
                <w:rFonts w:hint="eastAsia" w:ascii="方正仿宋_GBK" w:hAnsi="方正仿宋_GBK" w:eastAsia="方正仿宋_GBK" w:cs="方正仿宋_GBK"/>
                <w:b/>
                <w:sz w:val="21"/>
                <w:szCs w:val="21"/>
                <w:bdr w:val="none" w:color="auto" w:sz="0" w:space="0"/>
              </w:rPr>
              <w:t>执行率</w:t>
            </w:r>
          </w:p>
        </w:tc>
        <w:tc>
          <w:tcPr>
            <w:tcW w:w="909"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权重</w:t>
            </w:r>
          </w:p>
        </w:tc>
        <w:tc>
          <w:tcPr>
            <w:tcW w:w="498"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年度总金额</w:t>
            </w:r>
          </w:p>
        </w:tc>
        <w:tc>
          <w:tcPr>
            <w:tcW w:w="175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8861927.26</w:t>
            </w:r>
          </w:p>
        </w:tc>
        <w:tc>
          <w:tcPr>
            <w:tcW w:w="121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26708531.97</w:t>
            </w:r>
          </w:p>
        </w:tc>
        <w:tc>
          <w:tcPr>
            <w:tcW w:w="153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20321014.74</w:t>
            </w:r>
          </w:p>
        </w:tc>
        <w:tc>
          <w:tcPr>
            <w:tcW w:w="135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c>
          <w:tcPr>
            <w:tcW w:w="909"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c>
          <w:tcPr>
            <w:tcW w:w="498"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15" w:hRule="atLeast"/>
          <w:jc w:val="center"/>
        </w:trPr>
        <w:tc>
          <w:tcPr>
            <w:tcW w:w="1628"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其中：财政拨款</w:t>
            </w:r>
          </w:p>
        </w:tc>
        <w:tc>
          <w:tcPr>
            <w:tcW w:w="175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8861927.26</w:t>
            </w:r>
          </w:p>
        </w:tc>
        <w:tc>
          <w:tcPr>
            <w:tcW w:w="121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26708531.97</w:t>
            </w:r>
          </w:p>
        </w:tc>
        <w:tc>
          <w:tcPr>
            <w:tcW w:w="1536"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20321014.74</w:t>
            </w:r>
          </w:p>
        </w:tc>
        <w:tc>
          <w:tcPr>
            <w:tcW w:w="135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jc w:val="center"/>
              <w:rPr>
                <w:sz w:val="16"/>
                <w:szCs w:val="16"/>
              </w:rPr>
            </w:pPr>
            <w:r>
              <w:rPr>
                <w:rFonts w:hint="eastAsia" w:ascii="方正仿宋_GBK" w:hAnsi="方正仿宋_GBK" w:eastAsia="方正仿宋_GBK" w:cs="方正仿宋_GBK"/>
                <w:sz w:val="21"/>
                <w:szCs w:val="21"/>
                <w:bdr w:val="none" w:color="auto" w:sz="0" w:space="0"/>
              </w:rPr>
              <w:t>76</w:t>
            </w:r>
          </w:p>
        </w:tc>
        <w:tc>
          <w:tcPr>
            <w:tcW w:w="909"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10.00</w:t>
            </w:r>
          </w:p>
        </w:tc>
        <w:tc>
          <w:tcPr>
            <w:tcW w:w="498"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600"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bdr w:val="none" w:color="auto" w:sz="0" w:space="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3600" w:type="dxa"/>
            <w:gridSpan w:val="4"/>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年初绩效目标</w:t>
            </w:r>
          </w:p>
        </w:tc>
        <w:tc>
          <w:tcPr>
            <w:tcW w:w="2966" w:type="dxa"/>
            <w:gridSpan w:val="4"/>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全年（调整）绩效目标</w:t>
            </w:r>
          </w:p>
        </w:tc>
        <w:tc>
          <w:tcPr>
            <w:tcW w:w="3191" w:type="dxa"/>
            <w:gridSpan w:val="4"/>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1602" w:hRule="atLeast"/>
          <w:jc w:val="center"/>
        </w:trPr>
        <w:tc>
          <w:tcPr>
            <w:tcW w:w="3600" w:type="dxa"/>
            <w:gridSpan w:val="4"/>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人大办公室：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c>
          <w:tcPr>
            <w:tcW w:w="2966" w:type="dxa"/>
            <w:gridSpan w:val="4"/>
            <w:tcBorders>
              <w:top w:val="single" w:color="auto" w:sz="6" w:space="0"/>
              <w:bottom w:val="single" w:color="auto" w:sz="6" w:space="0"/>
              <w:right w:val="single" w:color="auto" w:sz="6" w:space="0"/>
            </w:tcBorders>
            <w:shd w:val="clear"/>
            <w:tcMar>
              <w:top w:w="75" w:type="dxa"/>
              <w:left w:w="108"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人大办公室：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c>
          <w:tcPr>
            <w:tcW w:w="3191" w:type="dxa"/>
            <w:gridSpan w:val="4"/>
            <w:tcBorders>
              <w:top w:val="single" w:color="auto" w:sz="6" w:space="0"/>
              <w:bottom w:val="single" w:color="auto" w:sz="6" w:space="0"/>
              <w:right w:val="single" w:color="auto" w:sz="6" w:space="0"/>
            </w:tcBorders>
            <w:shd w:val="clear"/>
            <w:tcMar>
              <w:top w:w="75" w:type="dxa"/>
              <w:left w:w="108"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　党政：主要负责纪检、宣传、统战、法制、武装、编制、人事、文秘等职责。经济发展办：主要负责经济规划、农村经营管理、社会统计、扶贫开发、乡村振兴等职责。民政和社会事务办公室（挂卫生健康办公室牌子）：主要负责民政、教育、文化、体育、社会救助、残疾人事业、老龄事业发展等职责。平安建设办公室（挂应急管理办公室牌子）：统筹负责信访、社会治安综合治理、安全生产综合监管、应急管理、消防管理等职责。 规划建设管理环保办公室：主要负责村镇规划、村镇建设、环境保护等职责。财政办公室：主要负责财政收支、预决算、总会计、惠农资金兑付、财政资金监督检查、绩效评价、村级财务管理等职责。人大办公室：主要负责人大主席团日常工作。农业服务中心：主要承担农技、农机、林业、水利水保、水产、畜牧兽医等方面的技术推广、信息、灾害防治等服务工作。文化服务中心：主要承担文化、宣传、乡村旅游、科技培训等方面服务工作。劳动就业和社会保障服务所：主要负责养老保险、失业保险、城乡居民医疗保险等社会保险管理服务工作；做好农村五保供养对象服务以及劳动就业和社会保障其他方面的服务工作。退役军人服务站：负责辖区内退役军人保障服务工作，做好关系转接、信息采集、情况反映、慰问帮扶等工作。综合行政执法大队：根据授权或委托，承担辖区范围内集中行使农林水利、规划建设、市政管理、环境保护、卫生计生、文化旅游、民政管理等领域的行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600" w:hRule="atLeast"/>
          <w:jc w:val="center"/>
        </w:trPr>
        <w:tc>
          <w:tcPr>
            <w:tcW w:w="10189"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bdr w:val="none" w:color="auto" w:sz="0" w:space="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名称</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计量单位</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性质</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指标值</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全年完成值</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偏离度（%）</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得分系数（%）</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权重</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是否核心指标</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安全生产、平安建设、信访稳定、武装、退役军人文化阵地建设等工作　</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bdr w:val="none" w:color="auto" w:sz="0" w:space="0"/>
              </w:rPr>
              <w:t>　</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定性</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好</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1</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0</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经济社会发展类及乡村振兴建设</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定性</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好</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社会事业、民生保障、社会保障、人居环境工作</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定性</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好</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基层组织建设</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定性</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好</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群众满意度</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21"/>
                <w:szCs w:val="21"/>
                <w:bdr w:val="none" w:color="auto" w:sz="0" w:space="0"/>
              </w:rPr>
              <w:t>%</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98</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98</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20</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25"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38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92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61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0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82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49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5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23"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0" w:hRule="atLeast"/>
          <w:jc w:val="center"/>
        </w:trPr>
        <w:tc>
          <w:tcPr>
            <w:tcW w:w="1241" w:type="dxa"/>
            <w:shd w:val="clear"/>
            <w:tcMar>
              <w:top w:w="75" w:type="dxa"/>
            </w:tcMar>
            <w:vAlign w:val="center"/>
          </w:tcPr>
          <w:p>
            <w:pPr>
              <w:keepNext w:val="0"/>
              <w:keepLines w:val="0"/>
              <w:widowControl/>
              <w:suppressLineNumbers w:val="0"/>
              <w:wordWrap w:val="0"/>
              <w:jc w:val="left"/>
            </w:pPr>
          </w:p>
        </w:tc>
        <w:tc>
          <w:tcPr>
            <w:tcW w:w="603" w:type="dxa"/>
            <w:shd w:val="clear"/>
            <w:tcMar>
              <w:top w:w="75" w:type="dxa"/>
            </w:tcMar>
            <w:vAlign w:val="center"/>
          </w:tcPr>
          <w:p>
            <w:pPr>
              <w:keepNext w:val="0"/>
              <w:keepLines w:val="0"/>
              <w:widowControl/>
              <w:suppressLineNumbers w:val="0"/>
              <w:wordWrap w:val="0"/>
              <w:jc w:val="left"/>
            </w:pPr>
          </w:p>
        </w:tc>
        <w:tc>
          <w:tcPr>
            <w:tcW w:w="1139" w:type="dxa"/>
            <w:shd w:val="clear"/>
            <w:tcMar>
              <w:top w:w="75" w:type="dxa"/>
            </w:tcMar>
            <w:vAlign w:val="center"/>
          </w:tcPr>
          <w:p>
            <w:pPr>
              <w:keepNext w:val="0"/>
              <w:keepLines w:val="0"/>
              <w:widowControl/>
              <w:suppressLineNumbers w:val="0"/>
              <w:wordWrap w:val="0"/>
              <w:jc w:val="left"/>
            </w:pPr>
          </w:p>
        </w:tc>
        <w:tc>
          <w:tcPr>
            <w:tcW w:w="833" w:type="dxa"/>
            <w:shd w:val="clear"/>
            <w:tcMar>
              <w:top w:w="75" w:type="dxa"/>
            </w:tcMar>
            <w:vAlign w:val="center"/>
          </w:tcPr>
          <w:p>
            <w:pPr>
              <w:keepNext w:val="0"/>
              <w:keepLines w:val="0"/>
              <w:widowControl/>
              <w:suppressLineNumbers w:val="0"/>
              <w:wordWrap w:val="0"/>
              <w:jc w:val="left"/>
            </w:pPr>
          </w:p>
        </w:tc>
        <w:tc>
          <w:tcPr>
            <w:tcW w:w="721" w:type="dxa"/>
            <w:shd w:val="clear"/>
            <w:tcMar>
              <w:top w:w="75" w:type="dxa"/>
            </w:tcMar>
            <w:vAlign w:val="center"/>
          </w:tcPr>
          <w:p>
            <w:pPr>
              <w:keepNext w:val="0"/>
              <w:keepLines w:val="0"/>
              <w:widowControl/>
              <w:suppressLineNumbers w:val="0"/>
              <w:wordWrap w:val="0"/>
              <w:jc w:val="left"/>
            </w:pPr>
          </w:p>
        </w:tc>
        <w:tc>
          <w:tcPr>
            <w:tcW w:w="709" w:type="dxa"/>
            <w:shd w:val="clear"/>
            <w:tcMar>
              <w:top w:w="75" w:type="dxa"/>
            </w:tcMar>
            <w:vAlign w:val="center"/>
          </w:tcPr>
          <w:p>
            <w:pPr>
              <w:keepNext w:val="0"/>
              <w:keepLines w:val="0"/>
              <w:widowControl/>
              <w:suppressLineNumbers w:val="0"/>
              <w:wordWrap w:val="0"/>
              <w:jc w:val="left"/>
            </w:pPr>
          </w:p>
        </w:tc>
        <w:tc>
          <w:tcPr>
            <w:tcW w:w="1043" w:type="dxa"/>
            <w:shd w:val="clear"/>
            <w:tcMar>
              <w:top w:w="75" w:type="dxa"/>
            </w:tcMar>
            <w:vAlign w:val="center"/>
          </w:tcPr>
          <w:p>
            <w:pPr>
              <w:keepNext w:val="0"/>
              <w:keepLines w:val="0"/>
              <w:widowControl/>
              <w:suppressLineNumbers w:val="0"/>
              <w:wordWrap w:val="0"/>
              <w:jc w:val="left"/>
            </w:pPr>
          </w:p>
        </w:tc>
        <w:tc>
          <w:tcPr>
            <w:tcW w:w="709" w:type="dxa"/>
            <w:shd w:val="clear"/>
            <w:tcMar>
              <w:top w:w="75" w:type="dxa"/>
            </w:tcMar>
            <w:vAlign w:val="center"/>
          </w:tcPr>
          <w:p>
            <w:pPr>
              <w:keepNext w:val="0"/>
              <w:keepLines w:val="0"/>
              <w:widowControl/>
              <w:suppressLineNumbers w:val="0"/>
              <w:wordWrap w:val="0"/>
              <w:jc w:val="left"/>
            </w:pPr>
          </w:p>
        </w:tc>
        <w:tc>
          <w:tcPr>
            <w:tcW w:w="799" w:type="dxa"/>
            <w:shd w:val="clear"/>
            <w:tcMar>
              <w:top w:w="75" w:type="dxa"/>
            </w:tcMar>
            <w:vAlign w:val="center"/>
          </w:tcPr>
          <w:p>
            <w:pPr>
              <w:keepNext w:val="0"/>
              <w:keepLines w:val="0"/>
              <w:widowControl/>
              <w:suppressLineNumbers w:val="0"/>
              <w:wordWrap w:val="0"/>
              <w:jc w:val="left"/>
            </w:pPr>
          </w:p>
        </w:tc>
        <w:tc>
          <w:tcPr>
            <w:tcW w:w="769" w:type="dxa"/>
            <w:shd w:val="clear"/>
            <w:tcMar>
              <w:top w:w="75" w:type="dxa"/>
            </w:tcMar>
            <w:vAlign w:val="center"/>
          </w:tcPr>
          <w:p>
            <w:pPr>
              <w:keepNext w:val="0"/>
              <w:keepLines w:val="0"/>
              <w:widowControl/>
              <w:suppressLineNumbers w:val="0"/>
              <w:wordWrap w:val="0"/>
              <w:jc w:val="left"/>
            </w:pPr>
          </w:p>
        </w:tc>
        <w:tc>
          <w:tcPr>
            <w:tcW w:w="1125" w:type="dxa"/>
            <w:shd w:val="clear"/>
            <w:tcMar>
              <w:top w:w="75" w:type="dxa"/>
            </w:tcMar>
            <w:vAlign w:val="center"/>
          </w:tcPr>
          <w:p>
            <w:pPr>
              <w:keepNext w:val="0"/>
              <w:keepLines w:val="0"/>
              <w:widowControl/>
              <w:suppressLineNumbers w:val="0"/>
              <w:wordWrap w:val="0"/>
              <w:jc w:val="left"/>
            </w:pPr>
          </w:p>
        </w:tc>
        <w:tc>
          <w:tcPr>
            <w:tcW w:w="714" w:type="dxa"/>
            <w:shd w:val="clear"/>
            <w:tcMar>
              <w:top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tbl>
      <w:tblPr>
        <w:tblW w:w="11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50" w:type="dxa"/>
          <w:bottom w:w="75" w:type="dxa"/>
          <w:right w:w="150" w:type="dxa"/>
        </w:tblCellMar>
      </w:tblPr>
      <w:tblGrid>
        <w:gridCol w:w="1273"/>
        <w:gridCol w:w="579"/>
        <w:gridCol w:w="848"/>
        <w:gridCol w:w="990"/>
        <w:gridCol w:w="1032"/>
        <w:gridCol w:w="928"/>
        <w:gridCol w:w="974"/>
        <w:gridCol w:w="708"/>
        <w:gridCol w:w="798"/>
        <w:gridCol w:w="990"/>
        <w:gridCol w:w="90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584"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32"/>
                <w:szCs w:val="32"/>
              </w:rPr>
            </w:pPr>
            <w:r>
              <w:rPr>
                <w:rFonts w:hint="eastAsia" w:ascii="方正仿宋_GBK" w:hAnsi="方正仿宋_GBK" w:eastAsia="方正仿宋_GBK" w:cs="方正仿宋_GBK"/>
                <w:b/>
                <w:sz w:val="21"/>
                <w:szCs w:val="21"/>
                <w:bdr w:val="none" w:color="auto" w:sz="0" w:space="0"/>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项目名称：</w:t>
            </w:r>
          </w:p>
        </w:tc>
        <w:tc>
          <w:tcPr>
            <w:tcW w:w="1198"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都督乡2022年“三管一站”免费开放补助项目</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项目编码：</w:t>
            </w:r>
          </w:p>
        </w:tc>
        <w:tc>
          <w:tcPr>
            <w:tcW w:w="1742"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50023022T000002448571</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自评总分：</w:t>
            </w:r>
          </w:p>
        </w:tc>
        <w:tc>
          <w:tcPr>
            <w:tcW w:w="1288"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95.00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31"/>
                <w:szCs w:val="31"/>
                <w:bdr w:val="none" w:color="auto" w:sz="0" w:space="0"/>
              </w:rPr>
              <w:t> </w:t>
            </w:r>
          </w:p>
        </w:tc>
        <w:tc>
          <w:tcPr>
            <w:tcW w:w="1672" w:type="dxa"/>
            <w:gridSpan w:val="2"/>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项目主管部门：</w:t>
            </w:r>
          </w:p>
        </w:tc>
        <w:tc>
          <w:tcPr>
            <w:tcW w:w="1198"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 924-丰都县都督乡</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
                <w:sz w:val="21"/>
                <w:szCs w:val="21"/>
                <w:bdr w:val="none" w:color="auto" w:sz="0" w:space="0"/>
              </w:rPr>
              <w:t>财政归口处室：</w:t>
            </w:r>
          </w:p>
        </w:tc>
        <w:tc>
          <w:tcPr>
            <w:tcW w:w="174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007-基财科</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483"/>
              <w:jc w:val="center"/>
            </w:pPr>
            <w:r>
              <w:rPr>
                <w:rFonts w:hint="eastAsia" w:ascii="方正仿宋_GBK" w:hAnsi="方正仿宋_GBK" w:eastAsia="方正仿宋_GBK" w:cs="方正仿宋_GBK"/>
                <w:b/>
                <w:sz w:val="21"/>
                <w:szCs w:val="21"/>
                <w:bdr w:val="none" w:color="auto" w:sz="0" w:space="0"/>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pPr>
            <w:r>
              <w:rPr>
                <w:rFonts w:hint="eastAsia" w:ascii="方正仿宋_GBK" w:hAnsi="方正仿宋_GBK" w:eastAsia="方正仿宋_GBK" w:cs="方正仿宋_GBK"/>
                <w:b/>
                <w:sz w:val="21"/>
                <w:szCs w:val="21"/>
                <w:bdr w:val="none" w:color="auto" w:sz="0" w:space="0"/>
              </w:rPr>
              <w:t>联系人：</w:t>
            </w:r>
          </w:p>
        </w:tc>
        <w:tc>
          <w:tcPr>
            <w:tcW w:w="1288"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 叶艳红</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81"/>
              <w:jc w:val="center"/>
            </w:pPr>
            <w:r>
              <w:rPr>
                <w:rFonts w:hint="eastAsia" w:ascii="方正仿宋_GBK" w:hAnsi="方正仿宋_GBK" w:eastAsia="方正仿宋_GBK" w:cs="方正仿宋_GBK"/>
                <w:b/>
                <w:sz w:val="21"/>
                <w:szCs w:val="21"/>
                <w:bdr w:val="none" w:color="auto" w:sz="0" w:space="0"/>
              </w:rPr>
              <w:t>电话</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pPr>
            <w:r>
              <w:rPr>
                <w:rFonts w:hint="eastAsia" w:ascii="方正仿宋_GBK" w:hAnsi="方正仿宋_GBK" w:eastAsia="方正仿宋_GBK" w:cs="方正仿宋_GBK"/>
                <w:sz w:val="21"/>
                <w:szCs w:val="21"/>
                <w:bdr w:val="none" w:color="auto" w:sz="0" w:space="0"/>
              </w:rPr>
              <w:t>　 15823188377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69"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8"/>
                <w:szCs w:val="18"/>
              </w:rPr>
            </w:pPr>
            <w:r>
              <w:rPr>
                <w:rFonts w:hint="eastAsia" w:ascii="方正仿宋_GBK" w:hAnsi="方正仿宋_GBK" w:eastAsia="方正仿宋_GBK" w:cs="方正仿宋_GBK"/>
                <w:b/>
                <w:color w:val="808080"/>
                <w:sz w:val="21"/>
                <w:szCs w:val="21"/>
                <w:bdr w:val="none" w:color="auto" w:sz="0" w:space="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45"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c>
          <w:tcPr>
            <w:tcW w:w="1621"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724"/>
              <w:jc w:val="center"/>
              <w:rPr>
                <w:sz w:val="16"/>
                <w:szCs w:val="16"/>
              </w:rPr>
            </w:pPr>
            <w:r>
              <w:rPr>
                <w:rFonts w:hint="eastAsia" w:ascii="方正仿宋_GBK" w:hAnsi="方正仿宋_GBK" w:eastAsia="方正仿宋_GBK" w:cs="方正仿宋_GBK"/>
                <w:b/>
                <w:sz w:val="21"/>
                <w:szCs w:val="21"/>
                <w:bdr w:val="none" w:color="auto" w:sz="0" w:space="0"/>
              </w:rPr>
              <w:t>年初预算数</w:t>
            </w:r>
          </w:p>
        </w:tc>
        <w:tc>
          <w:tcPr>
            <w:tcW w:w="174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预算数</w:t>
            </w:r>
          </w:p>
        </w:tc>
        <w:tc>
          <w:tcPr>
            <w:tcW w:w="146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161"/>
              <w:jc w:val="center"/>
              <w:rPr>
                <w:sz w:val="16"/>
                <w:szCs w:val="16"/>
              </w:rPr>
            </w:pPr>
            <w:r>
              <w:rPr>
                <w:rFonts w:hint="eastAsia" w:ascii="方正仿宋_GBK" w:hAnsi="方正仿宋_GBK" w:eastAsia="方正仿宋_GBK" w:cs="方正仿宋_GBK"/>
                <w:b/>
                <w:sz w:val="21"/>
                <w:szCs w:val="21"/>
                <w:bdr w:val="none" w:color="auto" w:sz="0" w:space="0"/>
              </w:rPr>
              <w:t>全年执行数</w:t>
            </w:r>
          </w:p>
        </w:tc>
        <w:tc>
          <w:tcPr>
            <w:tcW w:w="1570"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22"/>
              <w:jc w:val="center"/>
              <w:rPr>
                <w:sz w:val="16"/>
                <w:szCs w:val="16"/>
              </w:rPr>
            </w:pPr>
            <w:r>
              <w:rPr>
                <w:rFonts w:hint="eastAsia" w:ascii="方正仿宋_GBK" w:hAnsi="方正仿宋_GBK" w:eastAsia="方正仿宋_GBK" w:cs="方正仿宋_GBK"/>
                <w:b/>
                <w:sz w:val="21"/>
                <w:szCs w:val="21"/>
                <w:bdr w:val="none" w:color="auto" w:sz="0" w:space="0"/>
              </w:rPr>
              <w:t>执行率</w:t>
            </w:r>
          </w:p>
        </w:tc>
        <w:tc>
          <w:tcPr>
            <w:tcW w:w="6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权重</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年度总金额</w:t>
            </w:r>
          </w:p>
        </w:tc>
        <w:tc>
          <w:tcPr>
            <w:tcW w:w="1621"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0</w:t>
            </w:r>
          </w:p>
        </w:tc>
        <w:tc>
          <w:tcPr>
            <w:tcW w:w="174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100000</w:t>
            </w:r>
          </w:p>
        </w:tc>
        <w:tc>
          <w:tcPr>
            <w:tcW w:w="146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50000</w:t>
            </w:r>
          </w:p>
        </w:tc>
        <w:tc>
          <w:tcPr>
            <w:tcW w:w="1570"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c>
          <w:tcPr>
            <w:tcW w:w="6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15" w:hRule="atLeast"/>
          <w:jc w:val="center"/>
        </w:trPr>
        <w:tc>
          <w:tcPr>
            <w:tcW w:w="1623" w:type="dxa"/>
            <w:gridSpan w:val="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其中：财政拨款</w:t>
            </w:r>
          </w:p>
        </w:tc>
        <w:tc>
          <w:tcPr>
            <w:tcW w:w="1621"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0</w:t>
            </w:r>
          </w:p>
        </w:tc>
        <w:tc>
          <w:tcPr>
            <w:tcW w:w="174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100000</w:t>
            </w:r>
          </w:p>
        </w:tc>
        <w:tc>
          <w:tcPr>
            <w:tcW w:w="1464"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50000</w:t>
            </w:r>
          </w:p>
        </w:tc>
        <w:tc>
          <w:tcPr>
            <w:tcW w:w="1570"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50</w:t>
            </w:r>
          </w:p>
        </w:tc>
        <w:tc>
          <w:tcPr>
            <w:tcW w:w="68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600"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bdr w:val="none" w:color="auto" w:sz="0" w:space="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3460" w:type="dxa"/>
            <w:gridSpan w:val="4"/>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年初绩效目标</w:t>
            </w:r>
          </w:p>
        </w:tc>
        <w:tc>
          <w:tcPr>
            <w:tcW w:w="3422" w:type="dxa"/>
            <w:gridSpan w:val="4"/>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全年（调整）绩效目标</w:t>
            </w:r>
          </w:p>
        </w:tc>
        <w:tc>
          <w:tcPr>
            <w:tcW w:w="3458" w:type="dxa"/>
            <w:gridSpan w:val="4"/>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1602" w:hRule="atLeast"/>
          <w:jc w:val="center"/>
        </w:trPr>
        <w:tc>
          <w:tcPr>
            <w:tcW w:w="3460" w:type="dxa"/>
            <w:gridSpan w:val="4"/>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31"/>
                <w:szCs w:val="31"/>
                <w:bdr w:val="none" w:color="auto" w:sz="0" w:space="0"/>
              </w:rPr>
              <w:t>　</w:t>
            </w:r>
          </w:p>
        </w:tc>
        <w:tc>
          <w:tcPr>
            <w:tcW w:w="3422" w:type="dxa"/>
            <w:gridSpan w:val="4"/>
            <w:tcBorders>
              <w:top w:val="single" w:color="auto" w:sz="6" w:space="0"/>
              <w:bottom w:val="single" w:color="auto" w:sz="6" w:space="0"/>
              <w:right w:val="single" w:color="auto" w:sz="6" w:space="0"/>
            </w:tcBorders>
            <w:shd w:val="clear"/>
            <w:tcMar>
              <w:top w:w="75" w:type="dxa"/>
              <w:left w:w="108"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都督乡已完成2022年“三管一站”免费开放补助项目</w:t>
            </w:r>
          </w:p>
        </w:tc>
        <w:tc>
          <w:tcPr>
            <w:tcW w:w="3458" w:type="dxa"/>
            <w:gridSpan w:val="4"/>
            <w:tcBorders>
              <w:top w:val="single" w:color="auto" w:sz="6" w:space="0"/>
              <w:bottom w:val="single" w:color="auto" w:sz="6" w:space="0"/>
              <w:right w:val="single" w:color="auto" w:sz="6" w:space="0"/>
            </w:tcBorders>
            <w:shd w:val="clear"/>
            <w:tcMar>
              <w:top w:w="75" w:type="dxa"/>
              <w:left w:w="108"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21"/>
                <w:szCs w:val="21"/>
              </w:rPr>
            </w:pPr>
            <w:r>
              <w:rPr>
                <w:rFonts w:hint="eastAsia" w:ascii="方正仿宋_GBK" w:hAnsi="方正仿宋_GBK" w:eastAsia="方正仿宋_GBK" w:cs="方正仿宋_GBK"/>
                <w:sz w:val="21"/>
                <w:szCs w:val="21"/>
                <w:bdr w:val="none" w:color="auto" w:sz="0" w:space="0"/>
              </w:rPr>
              <w:t>完成2022年“三管一站”免费开放补助项目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600" w:hRule="atLeast"/>
          <w:jc w:val="center"/>
        </w:trPr>
        <w:tc>
          <w:tcPr>
            <w:tcW w:w="10772" w:type="dxa"/>
            <w:gridSpan w:val="12"/>
            <w:tcBorders>
              <w:top w:val="single" w:color="auto" w:sz="6" w:space="0"/>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b/>
                <w:color w:val="808080"/>
                <w:sz w:val="21"/>
                <w:szCs w:val="21"/>
                <w:bdr w:val="none" w:color="auto" w:sz="0" w:space="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名称</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计量单位</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性质</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指标值</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全年完成值</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偏离度（%）</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得分系数（%）</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权重</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得分</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是否核心指标</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sz w:val="16"/>
                <w:szCs w:val="16"/>
              </w:rPr>
            </w:pPr>
            <w:r>
              <w:rPr>
                <w:rFonts w:hint="eastAsia" w:ascii="方正仿宋_GBK" w:hAnsi="方正仿宋_GBK" w:eastAsia="方正仿宋_GBK" w:cs="方正仿宋_GBK"/>
                <w:sz w:val="21"/>
                <w:szCs w:val="21"/>
                <w:bdr w:val="none" w:color="auto" w:sz="0" w:space="0"/>
              </w:rPr>
              <w:t>免费开放补助数量</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个</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1</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1</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20</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21"/>
                <w:szCs w:val="21"/>
                <w:bdr w:val="none" w:color="auto" w:sz="0" w:space="0"/>
              </w:rPr>
              <w:t>20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b/>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免费开放组织文化活动参与人数</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21"/>
                <w:szCs w:val="21"/>
                <w:bdr w:val="none" w:color="auto" w:sz="0" w:space="0"/>
              </w:rPr>
              <w:t>人/次</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10000</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10000</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补助资金到位率</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免费开放正常运转</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100</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群众参与人次年增长</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3</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3</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15</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15</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免费开放持续时间</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月</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12</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12</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15</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15</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sz w:val="16"/>
                <w:szCs w:val="16"/>
              </w:rPr>
            </w:pPr>
            <w:r>
              <w:rPr>
                <w:rFonts w:hint="eastAsia" w:ascii="方正仿宋_GBK" w:hAnsi="方正仿宋_GBK" w:eastAsia="方正仿宋_GBK" w:cs="方正仿宋_GBK"/>
                <w:sz w:val="21"/>
                <w:szCs w:val="21"/>
                <w:bdr w:val="none" w:color="auto" w:sz="0" w:space="0"/>
              </w:rPr>
              <w:t>受益群众满意度</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91</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91</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210"/>
              <w:jc w:val="center"/>
              <w:rPr>
                <w:sz w:val="21"/>
                <w:szCs w:val="21"/>
              </w:rPr>
            </w:pPr>
            <w:r>
              <w:rPr>
                <w:rFonts w:hint="eastAsia" w:ascii="方正仿宋_GBK" w:hAnsi="方正仿宋_GBK" w:eastAsia="方正仿宋_GBK" w:cs="方正仿宋_GBK"/>
                <w:sz w:val="21"/>
                <w:szCs w:val="21"/>
                <w:bdr w:val="none" w:color="auto" w:sz="0" w:space="0"/>
              </w:rPr>
              <w:t>0</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100</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center"/>
              <w:rPr>
                <w:sz w:val="16"/>
                <w:szCs w:val="16"/>
              </w:rPr>
            </w:pPr>
            <w:r>
              <w:rPr>
                <w:rFonts w:hint="eastAsia" w:ascii="方正仿宋_GBK" w:hAnsi="方正仿宋_GBK" w:eastAsia="方正仿宋_GBK" w:cs="方正仿宋_GBK"/>
                <w:sz w:val="21"/>
                <w:szCs w:val="21"/>
                <w:bdr w:val="none" w:color="auto" w:sz="0" w:space="0"/>
              </w:rPr>
              <w:t>10</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499" w:hRule="atLeast"/>
          <w:jc w:val="center"/>
        </w:trPr>
        <w:tc>
          <w:tcPr>
            <w:tcW w:w="1057" w:type="dxa"/>
            <w:tcBorders>
              <w:left w:val="single" w:color="auto" w:sz="6" w:space="0"/>
              <w:bottom w:val="single" w:color="auto" w:sz="6" w:space="0"/>
              <w:right w:val="single" w:color="auto" w:sz="6" w:space="0"/>
            </w:tcBorders>
            <w:shd w:val="clear"/>
            <w:tcMar>
              <w:top w:w="75" w:type="dxa"/>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350"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632"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815"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1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57"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49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581"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jc w:val="right"/>
              <w:rPr>
                <w:sz w:val="16"/>
                <w:szCs w:val="16"/>
              </w:rPr>
            </w:pPr>
            <w:r>
              <w:rPr>
                <w:rFonts w:hint="eastAsia" w:ascii="方正仿宋_GBK" w:hAnsi="方正仿宋_GBK" w:eastAsia="方正仿宋_GBK" w:cs="方正仿宋_GBK"/>
                <w:sz w:val="31"/>
                <w:szCs w:val="31"/>
                <w:bdr w:val="none" w:color="auto" w:sz="0" w:space="0"/>
              </w:rPr>
              <w:t>　</w:t>
            </w:r>
          </w:p>
        </w:tc>
        <w:tc>
          <w:tcPr>
            <w:tcW w:w="773" w:type="dxa"/>
            <w:tcBorders>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160"/>
              <w:rPr>
                <w:sz w:val="16"/>
                <w:szCs w:val="16"/>
              </w:rPr>
            </w:pPr>
            <w:r>
              <w:rPr>
                <w:rFonts w:hint="eastAsia" w:ascii="方正仿宋_GBK" w:hAnsi="方正仿宋_GBK" w:eastAsia="方正仿宋_GBK" w:cs="方正仿宋_GBK"/>
                <w:sz w:val="31"/>
                <w:szCs w:val="31"/>
                <w:bdr w:val="none" w:color="auto" w:sz="0" w:space="0"/>
              </w:rPr>
              <w:t>　</w:t>
            </w:r>
          </w:p>
        </w:tc>
        <w:tc>
          <w:tcPr>
            <w:tcW w:w="1672" w:type="dxa"/>
            <w:gridSpan w:val="2"/>
            <w:tcBorders>
              <w:top w:val="single" w:color="auto" w:sz="6" w:space="0"/>
              <w:bottom w:val="single" w:color="auto" w:sz="6" w:space="0"/>
              <w:right w:val="single" w:color="auto" w:sz="6" w:space="0"/>
            </w:tcBorders>
            <w:shd w:val="clear"/>
            <w:tcMar>
              <w:top w:w="75" w:type="dxa"/>
              <w:left w:w="108"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sz w:val="16"/>
                <w:szCs w:val="16"/>
              </w:rPr>
            </w:pPr>
            <w:r>
              <w:rPr>
                <w:rFonts w:hint="eastAsia" w:ascii="方正仿宋_GBK" w:hAnsi="方正仿宋_GBK" w:eastAsia="方正仿宋_GBK" w:cs="方正仿宋_GBK"/>
                <w:sz w:val="31"/>
                <w:szCs w:val="3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50" w:type="dxa"/>
            <w:bottom w:w="75" w:type="dxa"/>
            <w:right w:w="150" w:type="dxa"/>
          </w:tblCellMar>
        </w:tblPrEx>
        <w:trPr>
          <w:trHeight w:val="0" w:hRule="atLeast"/>
          <w:jc w:val="center"/>
        </w:trPr>
        <w:tc>
          <w:tcPr>
            <w:tcW w:w="1273" w:type="dxa"/>
            <w:shd w:val="clear"/>
            <w:tcMar>
              <w:top w:w="75" w:type="dxa"/>
            </w:tcMar>
            <w:vAlign w:val="center"/>
          </w:tcPr>
          <w:p>
            <w:pPr>
              <w:keepNext w:val="0"/>
              <w:keepLines w:val="0"/>
              <w:widowControl/>
              <w:suppressLineNumbers w:val="0"/>
              <w:wordWrap w:val="0"/>
              <w:jc w:val="left"/>
            </w:pPr>
          </w:p>
        </w:tc>
        <w:tc>
          <w:tcPr>
            <w:tcW w:w="566" w:type="dxa"/>
            <w:shd w:val="clear"/>
            <w:tcMar>
              <w:top w:w="75" w:type="dxa"/>
            </w:tcMar>
            <w:vAlign w:val="center"/>
          </w:tcPr>
          <w:p>
            <w:pPr>
              <w:keepNext w:val="0"/>
              <w:keepLines w:val="0"/>
              <w:widowControl/>
              <w:suppressLineNumbers w:val="0"/>
              <w:wordWrap w:val="0"/>
              <w:jc w:val="left"/>
            </w:pPr>
          </w:p>
        </w:tc>
        <w:tc>
          <w:tcPr>
            <w:tcW w:w="848" w:type="dxa"/>
            <w:shd w:val="clear"/>
            <w:tcMar>
              <w:top w:w="75" w:type="dxa"/>
            </w:tcMar>
            <w:vAlign w:val="center"/>
          </w:tcPr>
          <w:p>
            <w:pPr>
              <w:keepNext w:val="0"/>
              <w:keepLines w:val="0"/>
              <w:widowControl/>
              <w:suppressLineNumbers w:val="0"/>
              <w:wordWrap w:val="0"/>
              <w:jc w:val="left"/>
            </w:pPr>
          </w:p>
        </w:tc>
        <w:tc>
          <w:tcPr>
            <w:tcW w:w="989" w:type="dxa"/>
            <w:shd w:val="clear"/>
            <w:tcMar>
              <w:top w:w="75" w:type="dxa"/>
            </w:tcMar>
            <w:vAlign w:val="center"/>
          </w:tcPr>
          <w:p>
            <w:pPr>
              <w:keepNext w:val="0"/>
              <w:keepLines w:val="0"/>
              <w:widowControl/>
              <w:suppressLineNumbers w:val="0"/>
              <w:wordWrap w:val="0"/>
              <w:jc w:val="left"/>
            </w:pPr>
          </w:p>
        </w:tc>
        <w:tc>
          <w:tcPr>
            <w:tcW w:w="1031" w:type="dxa"/>
            <w:shd w:val="clear"/>
            <w:tcMar>
              <w:top w:w="75" w:type="dxa"/>
            </w:tcMar>
            <w:vAlign w:val="center"/>
          </w:tcPr>
          <w:p>
            <w:pPr>
              <w:keepNext w:val="0"/>
              <w:keepLines w:val="0"/>
              <w:widowControl/>
              <w:suppressLineNumbers w:val="0"/>
              <w:wordWrap w:val="0"/>
              <w:jc w:val="left"/>
            </w:pPr>
          </w:p>
        </w:tc>
        <w:tc>
          <w:tcPr>
            <w:tcW w:w="927" w:type="dxa"/>
            <w:shd w:val="clear"/>
            <w:tcMar>
              <w:top w:w="75" w:type="dxa"/>
            </w:tcMar>
            <w:vAlign w:val="center"/>
          </w:tcPr>
          <w:p>
            <w:pPr>
              <w:keepNext w:val="0"/>
              <w:keepLines w:val="0"/>
              <w:widowControl/>
              <w:suppressLineNumbers w:val="0"/>
              <w:wordWrap w:val="0"/>
              <w:jc w:val="left"/>
            </w:pPr>
          </w:p>
        </w:tc>
        <w:tc>
          <w:tcPr>
            <w:tcW w:w="973" w:type="dxa"/>
            <w:shd w:val="clear"/>
            <w:tcMar>
              <w:top w:w="75" w:type="dxa"/>
            </w:tcMar>
            <w:vAlign w:val="center"/>
          </w:tcPr>
          <w:p>
            <w:pPr>
              <w:keepNext w:val="0"/>
              <w:keepLines w:val="0"/>
              <w:widowControl/>
              <w:suppressLineNumbers w:val="0"/>
              <w:wordWrap w:val="0"/>
              <w:jc w:val="left"/>
            </w:pPr>
          </w:p>
        </w:tc>
        <w:tc>
          <w:tcPr>
            <w:tcW w:w="707" w:type="dxa"/>
            <w:shd w:val="clear"/>
            <w:tcMar>
              <w:top w:w="75" w:type="dxa"/>
            </w:tcMar>
            <w:vAlign w:val="center"/>
          </w:tcPr>
          <w:p>
            <w:pPr>
              <w:keepNext w:val="0"/>
              <w:keepLines w:val="0"/>
              <w:widowControl/>
              <w:suppressLineNumbers w:val="0"/>
              <w:wordWrap w:val="0"/>
              <w:jc w:val="left"/>
            </w:pPr>
          </w:p>
        </w:tc>
        <w:tc>
          <w:tcPr>
            <w:tcW w:w="797" w:type="dxa"/>
            <w:shd w:val="clear"/>
            <w:tcMar>
              <w:top w:w="75" w:type="dxa"/>
            </w:tcMar>
            <w:vAlign w:val="center"/>
          </w:tcPr>
          <w:p>
            <w:pPr>
              <w:keepNext w:val="0"/>
              <w:keepLines w:val="0"/>
              <w:widowControl/>
              <w:suppressLineNumbers w:val="0"/>
              <w:wordWrap w:val="0"/>
              <w:jc w:val="left"/>
            </w:pPr>
          </w:p>
        </w:tc>
        <w:tc>
          <w:tcPr>
            <w:tcW w:w="989" w:type="dxa"/>
            <w:shd w:val="clear"/>
            <w:tcMar>
              <w:top w:w="75" w:type="dxa"/>
            </w:tcMar>
            <w:vAlign w:val="center"/>
          </w:tcPr>
          <w:p>
            <w:pPr>
              <w:keepNext w:val="0"/>
              <w:keepLines w:val="0"/>
              <w:widowControl/>
              <w:suppressLineNumbers w:val="0"/>
              <w:wordWrap w:val="0"/>
              <w:jc w:val="left"/>
            </w:pPr>
          </w:p>
        </w:tc>
        <w:tc>
          <w:tcPr>
            <w:tcW w:w="899" w:type="dxa"/>
            <w:shd w:val="clear"/>
            <w:tcMar>
              <w:top w:w="75" w:type="dxa"/>
            </w:tcMar>
            <w:vAlign w:val="center"/>
          </w:tcPr>
          <w:p>
            <w:pPr>
              <w:keepNext w:val="0"/>
              <w:keepLines w:val="0"/>
              <w:widowControl/>
              <w:suppressLineNumbers w:val="0"/>
              <w:wordWrap w:val="0"/>
              <w:jc w:val="left"/>
            </w:pPr>
          </w:p>
        </w:tc>
        <w:tc>
          <w:tcPr>
            <w:tcW w:w="989" w:type="dxa"/>
            <w:shd w:val="clear"/>
            <w:tcMar>
              <w:top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420" w:lineRule="atLeast"/>
        <w:ind w:left="0" w:right="0"/>
      </w:pPr>
      <w:r>
        <w:rPr>
          <w:rFonts w:hint="eastAsia" w:ascii="方正仿宋_GBK" w:hAnsi="方正仿宋_GBK" w:eastAsia="方正仿宋_GBK" w:cs="方正仿宋_GBK"/>
          <w:i w:val="0"/>
          <w:caps w:val="0"/>
          <w:color w:val="000000"/>
          <w:spacing w:val="0"/>
          <w:sz w:val="31"/>
          <w:szCs w:val="31"/>
        </w:rPr>
        <w:t> 2．绩效自评报告或案例</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我单位未委托第三方开展绩效自评。</w:t>
      </w:r>
    </w:p>
    <w:p>
      <w:pPr>
        <w:pStyle w:val="2"/>
        <w:keepNext w:val="0"/>
        <w:keepLines w:val="0"/>
        <w:widowControl/>
        <w:suppressLineNumbers w:val="0"/>
        <w:spacing w:before="0" w:beforeAutospacing="0" w:after="0" w:afterAutospacing="0" w:line="420" w:lineRule="atLeast"/>
        <w:ind w:left="0" w:right="0"/>
      </w:pPr>
      <w:r>
        <w:rPr>
          <w:rFonts w:hint="eastAsia" w:ascii="方正仿宋_GBK" w:hAnsi="方正仿宋_GBK" w:eastAsia="方正仿宋_GBK" w:cs="方正仿宋_GBK"/>
          <w:i w:val="0"/>
          <w:caps w:val="0"/>
          <w:color w:val="000000"/>
          <w:spacing w:val="0"/>
          <w:sz w:val="31"/>
          <w:szCs w:val="31"/>
        </w:rPr>
        <w:t> 3．关于绩效自评结果的说明</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我单位绩效自评均已完成年度绩效目标。</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（三）重点绩效评价结果</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我单位未委托第三方开展重点绩效评价。</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六、专有名词解释</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（一）财政拨款收入</w:t>
      </w:r>
      <w:r>
        <w:rPr>
          <w:rFonts w:hint="eastAsia" w:ascii="方正仿宋_GBK" w:hAnsi="方正仿宋_GBK" w:eastAsia="方正仿宋_GBK" w:cs="方正仿宋_GBK"/>
          <w:i w:val="0"/>
          <w:caps w:val="0"/>
          <w:color w:val="333333"/>
          <w:spacing w:val="0"/>
          <w:sz w:val="31"/>
          <w:szCs w:val="31"/>
          <w:shd w:val="clear" w:fill="FFFFFF"/>
        </w:rPr>
        <w:t>：指本年度从本级财政部门取得的财政拨款，包括一般公共预算财政拨款和政府性基金预算财政拨款。</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（二）事业收入</w:t>
      </w:r>
      <w:r>
        <w:rPr>
          <w:rFonts w:hint="eastAsia" w:ascii="方正仿宋_GBK" w:hAnsi="方正仿宋_GBK" w:eastAsia="方正仿宋_GBK" w:cs="方正仿宋_GBK"/>
          <w:i w:val="0"/>
          <w:caps w:val="0"/>
          <w:color w:val="333333"/>
          <w:spacing w:val="0"/>
          <w:sz w:val="31"/>
          <w:szCs w:val="31"/>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（三）经营收入</w:t>
      </w:r>
      <w:r>
        <w:rPr>
          <w:rFonts w:hint="eastAsia" w:ascii="方正仿宋_GBK" w:hAnsi="方正仿宋_GBK" w:eastAsia="方正仿宋_GBK" w:cs="方正仿宋_GBK"/>
          <w:i w:val="0"/>
          <w:caps w:val="0"/>
          <w:color w:val="333333"/>
          <w:spacing w:val="0"/>
          <w:sz w:val="31"/>
          <w:szCs w:val="31"/>
          <w:shd w:val="clear" w:fill="FFFFFF"/>
        </w:rPr>
        <w:t>：指事业单位在专业业务活动及其辅助活动之外开展非独立核算经营活动取得的现金流入。</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（四）其他收入</w:t>
      </w:r>
      <w:r>
        <w:rPr>
          <w:rFonts w:hint="eastAsia" w:ascii="方正仿宋_GBK" w:hAnsi="方正仿宋_GBK" w:eastAsia="方正仿宋_GBK" w:cs="方正仿宋_GBK"/>
          <w:i w:val="0"/>
          <w:caps w:val="0"/>
          <w:color w:val="333333"/>
          <w:spacing w:val="0"/>
          <w:sz w:val="31"/>
          <w:szCs w:val="31"/>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（五）使用非财政拨款结余</w:t>
      </w:r>
      <w:r>
        <w:rPr>
          <w:rFonts w:hint="eastAsia" w:ascii="方正仿宋_GBK" w:hAnsi="方正仿宋_GBK" w:eastAsia="方正仿宋_GBK" w:cs="方正仿宋_GBK"/>
          <w:i w:val="0"/>
          <w:caps w:val="0"/>
          <w:color w:val="333333"/>
          <w:spacing w:val="0"/>
          <w:sz w:val="31"/>
          <w:szCs w:val="31"/>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（六）年初结转和结余</w:t>
      </w:r>
      <w:r>
        <w:rPr>
          <w:rFonts w:hint="eastAsia" w:ascii="方正仿宋_GBK" w:hAnsi="方正仿宋_GBK" w:eastAsia="方正仿宋_GBK" w:cs="方正仿宋_GBK"/>
          <w:i w:val="0"/>
          <w:caps w:val="0"/>
          <w:color w:val="333333"/>
          <w:spacing w:val="0"/>
          <w:sz w:val="31"/>
          <w:szCs w:val="31"/>
          <w:shd w:val="clear" w:fill="FFFFFF"/>
        </w:rPr>
        <w:t>：指单位上年结转本年使用的基本支出结转、项目支出结转和结余、经营结余。</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（七）结余分配</w:t>
      </w:r>
      <w:r>
        <w:rPr>
          <w:rFonts w:hint="eastAsia" w:ascii="方正仿宋_GBK" w:hAnsi="方正仿宋_GBK" w:eastAsia="方正仿宋_GBK" w:cs="方正仿宋_GBK"/>
          <w:i w:val="0"/>
          <w:caps w:val="0"/>
          <w:color w:val="333333"/>
          <w:spacing w:val="0"/>
          <w:sz w:val="31"/>
          <w:szCs w:val="31"/>
          <w:shd w:val="clear" w:fill="FFFFFF"/>
        </w:rPr>
        <w:t>：指单位按照国家有关规定，缴纳所得税、提取专用基金、转入非财政拨款结余等当年结余的分配情况。</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（八）年末结转和结余</w:t>
      </w:r>
      <w:r>
        <w:rPr>
          <w:rFonts w:hint="eastAsia" w:ascii="方正仿宋_GBK" w:hAnsi="方正仿宋_GBK" w:eastAsia="方正仿宋_GBK" w:cs="方正仿宋_GBK"/>
          <w:i w:val="0"/>
          <w:caps w:val="0"/>
          <w:color w:val="333333"/>
          <w:spacing w:val="0"/>
          <w:sz w:val="31"/>
          <w:szCs w:val="31"/>
          <w:shd w:val="clear" w:fill="FFFFFF"/>
        </w:rPr>
        <w:t>：指单位结转下年的基本支出结转、项目支出结转和结余、经营结余。</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（九）基本支出</w:t>
      </w:r>
      <w:r>
        <w:rPr>
          <w:rFonts w:hint="eastAsia" w:ascii="方正仿宋_GBK" w:hAnsi="方正仿宋_GBK" w:eastAsia="方正仿宋_GBK" w:cs="方正仿宋_GBK"/>
          <w:i w:val="0"/>
          <w:caps w:val="0"/>
          <w:color w:val="333333"/>
          <w:spacing w:val="0"/>
          <w:sz w:val="31"/>
          <w:szCs w:val="31"/>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（十）项目支出</w:t>
      </w:r>
      <w:r>
        <w:rPr>
          <w:rFonts w:hint="eastAsia" w:ascii="方正仿宋_GBK" w:hAnsi="方正仿宋_GBK" w:eastAsia="方正仿宋_GBK" w:cs="方正仿宋_GBK"/>
          <w:i w:val="0"/>
          <w:caps w:val="0"/>
          <w:color w:val="333333"/>
          <w:spacing w:val="0"/>
          <w:sz w:val="31"/>
          <w:szCs w:val="31"/>
          <w:shd w:val="clear" w:fill="FFFFFF"/>
        </w:rPr>
        <w:t>：指在基本支出之外为完成特定行政任务和事业发展目标所发生的支出。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（十一）经营支出</w:t>
      </w:r>
      <w:r>
        <w:rPr>
          <w:rFonts w:hint="eastAsia" w:ascii="方正仿宋_GBK" w:hAnsi="方正仿宋_GBK" w:eastAsia="方正仿宋_GBK" w:cs="方正仿宋_GBK"/>
          <w:i w:val="0"/>
          <w:caps w:val="0"/>
          <w:color w:val="333333"/>
          <w:spacing w:val="0"/>
          <w:sz w:val="31"/>
          <w:szCs w:val="31"/>
          <w:shd w:val="clear" w:fill="FFFFFF"/>
        </w:rPr>
        <w:t>：指事业单位在专业业务活动及其辅助活动之外开展非独立核算经营活动发生的支出。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（十二）“三公”经费</w:t>
      </w:r>
      <w:r>
        <w:rPr>
          <w:rFonts w:hint="eastAsia" w:ascii="方正仿宋_GBK" w:hAnsi="方正仿宋_GBK" w:eastAsia="方正仿宋_GBK" w:cs="方正仿宋_GBK"/>
          <w:i w:val="0"/>
          <w:caps w:val="0"/>
          <w:color w:val="333333"/>
          <w:spacing w:val="0"/>
          <w:sz w:val="31"/>
          <w:szCs w:val="31"/>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（十三）机关运行经费</w:t>
      </w:r>
      <w:r>
        <w:rPr>
          <w:rFonts w:hint="eastAsia" w:ascii="方正仿宋_GBK" w:hAnsi="方正仿宋_GBK" w:eastAsia="方正仿宋_GBK" w:cs="方正仿宋_GBK"/>
          <w:i w:val="0"/>
          <w:caps w:val="0"/>
          <w:color w:val="333333"/>
          <w:spacing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（十四）工资福利支出（支出经济分类科目类级）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：反映单位开支的在职职工和编制外长期聘用人员的各类劳动报酬，以及为上述人员缴纳的各项社会保险费等。</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（十五）商品和服务支出（支出经济分类科目类级）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：反映单位购买商品和服务的支出（不包括用于购置固定资产的支出、战略性和应急储备支出）。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（十六）对个人和家庭的补助（支出经济分类科目类级）</w:t>
      </w:r>
      <w:r>
        <w:rPr>
          <w:rFonts w:hint="eastAsia" w:ascii="方正仿宋_GBK" w:hAnsi="方正仿宋_GBK" w:eastAsia="方正仿宋_GBK" w:cs="方正仿宋_GBK"/>
          <w:i w:val="0"/>
          <w:caps w:val="0"/>
          <w:color w:val="333333"/>
          <w:spacing w:val="0"/>
          <w:sz w:val="31"/>
          <w:szCs w:val="31"/>
          <w:shd w:val="clear" w:fill="FFFFFF"/>
        </w:rPr>
        <w:t>：反映用于对个人和家庭的补助支出。</w:t>
      </w:r>
    </w:p>
    <w:p>
      <w:pPr>
        <w:pStyle w:val="2"/>
        <w:keepNext w:val="0"/>
        <w:keepLines w:val="0"/>
        <w:widowControl/>
        <w:suppressLineNumbers w:val="0"/>
        <w:shd w:val="clear" w:fill="FFFFFF"/>
        <w:spacing w:before="0" w:beforeAutospacing="0" w:after="0" w:afterAutospacing="0" w:line="420" w:lineRule="atLeast"/>
        <w:ind w:left="0" w:right="0" w:firstLine="645"/>
        <w:jc w:val="left"/>
      </w:pPr>
      <w:r>
        <w:rPr>
          <w:rFonts w:hint="eastAsia" w:ascii="方正仿宋_GBK" w:hAnsi="方正仿宋_GBK" w:eastAsia="方正仿宋_GBK" w:cs="方正仿宋_GBK"/>
          <w:b/>
          <w:i w:val="0"/>
          <w:caps w:val="0"/>
          <w:color w:val="333333"/>
          <w:spacing w:val="0"/>
          <w:sz w:val="31"/>
          <w:szCs w:val="31"/>
          <w:shd w:val="clear" w:fill="FFFFFF"/>
        </w:rPr>
        <w:t>（十七）其他资本性支出（支出经济分类科目类级）</w:t>
      </w:r>
      <w:r>
        <w:rPr>
          <w:rFonts w:hint="eastAsia" w:ascii="方正仿宋_GBK" w:hAnsi="方正仿宋_GBK" w:eastAsia="方正仿宋_GBK" w:cs="方正仿宋_GBK"/>
          <w:i w:val="0"/>
          <w:caps w:val="0"/>
          <w:color w:val="333333"/>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420" w:lineRule="atLeast"/>
        <w:ind w:left="0" w:right="0" w:firstLine="640"/>
      </w:pPr>
      <w:r>
        <w:rPr>
          <w:rFonts w:hint="eastAsia" w:ascii="方正黑体_GBK" w:hAnsi="方正黑体_GBK" w:eastAsia="方正黑体_GBK" w:cs="方正黑体_GBK"/>
          <w:i w:val="0"/>
          <w:caps w:val="0"/>
          <w:color w:val="000000"/>
          <w:spacing w:val="0"/>
          <w:sz w:val="31"/>
          <w:szCs w:val="31"/>
        </w:rPr>
        <w:t>​七、决算公开联系方式及信息反馈渠道</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本单位决算公开信息反馈和联系方式：</w:t>
      </w:r>
    </w:p>
    <w:p>
      <w:pPr>
        <w:pStyle w:val="2"/>
        <w:keepNext w:val="0"/>
        <w:keepLines w:val="0"/>
        <w:widowControl/>
        <w:suppressLineNumbers w:val="0"/>
        <w:spacing w:before="0" w:beforeAutospacing="0" w:after="0" w:afterAutospacing="0" w:line="420" w:lineRule="atLeast"/>
        <w:ind w:left="0" w:right="0" w:firstLine="640"/>
      </w:pPr>
      <w:r>
        <w:rPr>
          <w:rFonts w:hint="eastAsia" w:ascii="方正仿宋_GBK" w:hAnsi="方正仿宋_GBK" w:eastAsia="方正仿宋_GBK" w:cs="方正仿宋_GBK"/>
          <w:i w:val="0"/>
          <w:caps w:val="0"/>
          <w:color w:val="000000"/>
          <w:spacing w:val="0"/>
          <w:sz w:val="31"/>
          <w:szCs w:val="31"/>
        </w:rPr>
        <w:t>黄桂圆      023-70663001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textAlignment w:val="auto"/>
        <w:rPr>
          <w:sz w:val="31"/>
          <w:szCs w:val="31"/>
        </w:rPr>
      </w:pPr>
    </w:p>
    <w:p>
      <w:pPr>
        <w:keepNext w:val="0"/>
        <w:keepLines w:val="0"/>
        <w:pageBreakBefore w:val="0"/>
        <w:kinsoku/>
        <w:overflowPunct/>
        <w:topLinePunct w:val="0"/>
        <w:autoSpaceDE/>
        <w:autoSpaceDN/>
        <w:bidi w:val="0"/>
        <w:adjustRightInd/>
        <w:snapToGrid/>
        <w:ind w:left="0"/>
        <w:jc w:val="both"/>
        <w:textAlignment w:val="auto"/>
        <w:rPr>
          <w:rFonts w:hint="eastAsia" w:ascii="方正小标宋_GBK" w:hAnsi="方正小标宋_GBK" w:eastAsia="方正小标宋_GBK" w:cs="方正小标宋_GBK"/>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ZlN2ZjM2Q0NzU3NTgyM2Q0NzY5YjkxMGRiNzgifQ=="/>
  </w:docVars>
  <w:rsids>
    <w:rsidRoot w:val="11171C1D"/>
    <w:rsid w:val="11171C1D"/>
    <w:rsid w:val="6FF5A2E8"/>
    <w:rsid w:val="72DEC010"/>
    <w:rsid w:val="7FBEE7BF"/>
    <w:rsid w:val="8BFCAB06"/>
    <w:rsid w:val="8FFD08D2"/>
    <w:rsid w:val="B3F7AE9B"/>
    <w:rsid w:val="CEBDB026"/>
    <w:rsid w:val="E7DFEDB0"/>
    <w:rsid w:val="FFD2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2023-12-14T21:20:00Z</dcterms:created>
  <dc:creator>Administrator</dc:creator>
  <cp:lastModifiedBy>fengdu</cp:lastModifiedBy>
  <dcterms:modified xsi:type="dcterms:W3CDTF">2023-12-15T09:22:24Z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768D105482C642F2888C5FC97F570B81_11</vt:lpwstr>
  </property>
</Properties>
</file>