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D3DF8">
      <w:pPr>
        <w:pStyle w:val="9"/>
        <w:keepNext w:val="0"/>
        <w:keepLines w:val="0"/>
        <w:pageBreakBefore w:val="0"/>
        <w:widowControl/>
        <w:kinsoku/>
        <w:overflowPunct/>
        <w:topLinePunct w:val="0"/>
        <w:autoSpaceDN/>
        <w:bidi w:val="0"/>
        <w:adjustRightInd/>
        <w:spacing w:before="0" w:beforeAutospacing="0" w:after="0" w:afterAutospacing="0" w:line="579" w:lineRule="exact"/>
        <w:ind w:left="0" w:leftChars="0" w:right="0"/>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丰都县保合镇人民政府</w:t>
      </w:r>
    </w:p>
    <w:p w14:paraId="2433D974">
      <w:pPr>
        <w:pStyle w:val="9"/>
        <w:keepNext w:val="0"/>
        <w:keepLines w:val="0"/>
        <w:pageBreakBefore w:val="0"/>
        <w:widowControl/>
        <w:kinsoku/>
        <w:overflowPunct/>
        <w:topLinePunct w:val="0"/>
        <w:autoSpaceDN/>
        <w:bidi w:val="0"/>
        <w:adjustRightInd/>
        <w:spacing w:before="0" w:beforeAutospacing="0" w:after="0" w:afterAutospacing="0" w:line="579" w:lineRule="exact"/>
        <w:ind w:left="0" w:leftChars="0" w:right="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14:paraId="7346F455">
      <w:pPr>
        <w:pStyle w:val="9"/>
        <w:keepNext w:val="0"/>
        <w:keepLines w:val="0"/>
        <w:pageBreakBefore w:val="0"/>
        <w:widowControl/>
        <w:kinsoku/>
        <w:overflowPunct/>
        <w:topLinePunct w:val="0"/>
        <w:autoSpaceDN/>
        <w:bidi w:val="0"/>
        <w:adjustRightInd/>
        <w:spacing w:before="0" w:beforeAutospacing="0" w:after="0" w:afterAutospacing="0" w:line="579" w:lineRule="exact"/>
        <w:ind w:left="0" w:leftChars="0" w:right="0"/>
        <w:jc w:val="center"/>
        <w:rPr>
          <w:rFonts w:hint="default" w:ascii="Times New Roman" w:hAnsi="Times New Roman" w:eastAsia="方正小标宋_GBK" w:cs="Times New Roman"/>
          <w:sz w:val="44"/>
          <w:szCs w:val="44"/>
          <w:shd w:val="clear" w:color="auto" w:fill="FFFFFF"/>
        </w:rPr>
      </w:pPr>
    </w:p>
    <w:p w14:paraId="4B2844DF">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outlineLvl w:val="0"/>
        <w:rPr>
          <w:rFonts w:hint="default" w:ascii="Times New Roman" w:hAnsi="Times New Roman" w:eastAsia="方正黑体_GBK" w:cs="Times New Roman"/>
          <w:b w:val="0"/>
          <w:bCs/>
          <w:sz w:val="32"/>
          <w:szCs w:val="32"/>
        </w:rPr>
      </w:pPr>
      <w:r>
        <w:rPr>
          <w:rStyle w:val="14"/>
          <w:rFonts w:hint="default" w:ascii="Times New Roman" w:hAnsi="Times New Roman" w:eastAsia="方正黑体_GBK" w:cs="Times New Roman"/>
          <w:b w:val="0"/>
          <w:bCs/>
          <w:sz w:val="32"/>
          <w:szCs w:val="32"/>
          <w:shd w:val="clear" w:color="auto" w:fill="FFFFFF"/>
        </w:rPr>
        <w:t>一、部门基本情况</w:t>
      </w:r>
    </w:p>
    <w:p w14:paraId="09F0D333">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Fonts w:hint="default" w:ascii="Times New Roman" w:hAnsi="Times New Roman" w:eastAsia="方正楷体_GBK" w:cs="Times New Roman"/>
          <w:b w:val="0"/>
          <w:bCs/>
          <w:sz w:val="32"/>
          <w:szCs w:val="32"/>
        </w:rPr>
      </w:pPr>
      <w:r>
        <w:rPr>
          <w:rStyle w:val="14"/>
          <w:rFonts w:hint="default" w:ascii="Times New Roman" w:hAnsi="Times New Roman" w:eastAsia="方正楷体_GBK" w:cs="Times New Roman"/>
          <w:b w:val="0"/>
          <w:bCs/>
          <w:sz w:val="32"/>
          <w:szCs w:val="32"/>
          <w:shd w:val="clear" w:color="auto" w:fill="FFFFFF"/>
        </w:rPr>
        <w:t>（一）职能职责</w:t>
      </w:r>
    </w:p>
    <w:p w14:paraId="2362671D">
      <w:pPr>
        <w:keepNext w:val="0"/>
        <w:keepLines w:val="0"/>
        <w:pageBreakBefore w:val="0"/>
        <w:widowControl/>
        <w:kinsoku/>
        <w:overflowPunct/>
        <w:topLinePunct w:val="0"/>
        <w:autoSpaceDN/>
        <w:bidi w:val="0"/>
        <w:adjustRightInd/>
        <w:snapToGrid w:val="0"/>
        <w:spacing w:beforeAutospacing="0" w:afterAutospacing="0" w:line="579" w:lineRule="exact"/>
        <w:ind w:left="0" w:leftChars="0" w:right="0"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bidi="ar"/>
        </w:rPr>
        <w:t>镇党委、政府围绕贯彻落实党和政府各项方针政策，其主要职责是：贯彻执行党的方针政策和国家的法律法规、促进经济社会发展、加强社会管理和公共服务、维护社会和谐稳定，进一步强化村（居）管理和服务工作。</w:t>
      </w:r>
    </w:p>
    <w:p w14:paraId="0FC6C16C">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（二）机构设置</w:t>
      </w:r>
    </w:p>
    <w:p w14:paraId="7C8F8A07">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rPr>
          <w:rStyle w:val="15"/>
          <w:rFonts w:hint="default" w:ascii="Times New Roman" w:hAnsi="Times New Roman" w:cs="Times New Roman"/>
        </w:rPr>
      </w:pPr>
      <w:r>
        <w:rPr>
          <w:rFonts w:hint="default" w:ascii="Times New Roman" w:hAnsi="Times New Roman" w:eastAsia="方正仿宋_GBK" w:cs="Times New Roman"/>
          <w:kern w:val="0"/>
          <w:sz w:val="32"/>
          <w:szCs w:val="32"/>
          <w:shd w:val="clear" w:color="auto" w:fill="FFFFFF"/>
          <w:lang w:bidi="ar"/>
        </w:rPr>
        <w:t>丰都县保合镇人民政府下设综合办事机构8个：党政办公室、党群工作办公室、经济发展办公室（挂统计办公室、农村经营管理办公室牌子）、民政和社会事务办公室（挂卫生健康办公室牌子）、平安建设办公室、规划建设管理环保办公室、财政办公室、应急管理办公室；事业单位5个：农业服务中心、文化服务中心、劳动就业和社会保障服务所、综合行政执法大队、退役军人服务站。</w:t>
      </w:r>
    </w:p>
    <w:p w14:paraId="0449B4DF">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outlineLvl w:val="0"/>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二、部门决算情况说明</w:t>
      </w:r>
    </w:p>
    <w:p w14:paraId="5BDCD113">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（一）收入支出决算总体情况说明</w:t>
      </w:r>
    </w:p>
    <w:p w14:paraId="3D7D2F6C">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3" w:firstLineChars="200"/>
        <w:rPr>
          <w:rFonts w:hint="default" w:ascii="Times New Roman" w:hAnsi="Times New Roman" w:eastAsia="方正仿宋_GBK" w:cs="Times New Roman"/>
          <w:color w:val="333333"/>
          <w:sz w:val="32"/>
          <w:szCs w:val="32"/>
          <w:shd w:val="clear" w:color="auto" w:fill="FFFFFF"/>
        </w:rPr>
      </w:pPr>
      <w:r>
        <w:rPr>
          <w:rStyle w:val="14"/>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2023年度收入总计2818.98万元，支出总计</w:t>
      </w:r>
      <w:r>
        <w:rPr>
          <w:rFonts w:hint="default" w:ascii="Times New Roman" w:hAnsi="Times New Roman" w:eastAsia="方正仿宋_GBK" w:cs="Times New Roman"/>
          <w:sz w:val="32"/>
          <w:szCs w:val="32"/>
        </w:rPr>
        <w:t>2818.98</w:t>
      </w:r>
      <w:r>
        <w:rPr>
          <w:rFonts w:hint="default" w:ascii="Times New Roman" w:hAnsi="Times New Roman" w:eastAsia="方正仿宋_GBK" w:cs="Times New Roman"/>
          <w:sz w:val="32"/>
          <w:szCs w:val="32"/>
          <w:shd w:val="clear" w:color="auto" w:fill="FFFFFF"/>
        </w:rPr>
        <w:t>万元。收支较上年决算数减少411.28万元，下降12.73%，</w:t>
      </w:r>
      <w:r>
        <w:rPr>
          <w:rFonts w:hint="default" w:ascii="Times New Roman" w:hAnsi="Times New Roman" w:eastAsia="方正仿宋_GBK" w:cs="Times New Roman"/>
          <w:color w:val="333333"/>
          <w:sz w:val="32"/>
          <w:szCs w:val="32"/>
          <w:shd w:val="clear" w:color="auto" w:fill="FFFFFF"/>
        </w:rPr>
        <w:t>主要原因是由脱贫攻坚工作转入乡村振兴工作后，本年度严格项目立项审批，削减非必要项目支出，政府收入主要依靠财政拨款，财政拨款收入减少，财政拨款支出相应减少，全年财政拨款收支有所下降。</w:t>
      </w:r>
    </w:p>
    <w:p w14:paraId="0B88134B">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3" w:firstLineChars="200"/>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2023年度收入合计2717.06万元，较上年决算数减少311.73万元，下降10.29%，</w:t>
      </w:r>
      <w:r>
        <w:rPr>
          <w:rFonts w:hint="default" w:ascii="Times New Roman" w:hAnsi="Times New Roman" w:eastAsia="方正仿宋_GBK" w:cs="Times New Roman"/>
          <w:sz w:val="32"/>
          <w:szCs w:val="32"/>
          <w:shd w:val="clear" w:color="auto" w:fill="FFFFFF"/>
          <w:lang w:bidi="ar"/>
        </w:rPr>
        <w:t>主要原因是严格项目预算管理，项目实施减少。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2717.06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101.92</w:t>
      </w:r>
      <w:r>
        <w:rPr>
          <w:rFonts w:hint="default" w:ascii="Times New Roman" w:hAnsi="Times New Roman" w:eastAsia="方正仿宋_GBK" w:cs="Times New Roman"/>
          <w:sz w:val="32"/>
          <w:szCs w:val="32"/>
          <w:shd w:val="clear" w:color="auto" w:fill="FFFFFF"/>
        </w:rPr>
        <w:t>万元。</w:t>
      </w:r>
    </w:p>
    <w:p w14:paraId="0E2328C0">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3" w:firstLineChars="200"/>
        <w:jc w:val="both"/>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2809.48</w:t>
      </w:r>
      <w:r>
        <w:rPr>
          <w:rFonts w:hint="default" w:ascii="Times New Roman" w:hAnsi="Times New Roman" w:eastAsia="方正仿宋_GBK" w:cs="Times New Roman"/>
          <w:sz w:val="32"/>
          <w:szCs w:val="32"/>
          <w:shd w:val="clear" w:color="auto" w:fill="FFFFFF"/>
        </w:rPr>
        <w:t>万元，较上年决算数减少411.27万元，下降12.77%，</w:t>
      </w:r>
      <w:r>
        <w:rPr>
          <w:rFonts w:hint="default" w:ascii="Times New Roman" w:hAnsi="Times New Roman" w:eastAsia="方正仿宋_GBK" w:cs="Times New Roman"/>
          <w:sz w:val="32"/>
          <w:szCs w:val="32"/>
          <w:shd w:val="clear" w:color="auto" w:fill="FFFFFF"/>
          <w:lang w:bidi="ar"/>
        </w:rPr>
        <w:t>主要原因是严格预算管理，厉行节俭。</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1552.08</w:t>
      </w:r>
      <w:r>
        <w:rPr>
          <w:rFonts w:hint="default" w:ascii="Times New Roman" w:hAnsi="Times New Roman" w:eastAsia="方正仿宋_GBK" w:cs="Times New Roman"/>
          <w:sz w:val="32"/>
          <w:szCs w:val="32"/>
          <w:shd w:val="clear" w:color="auto" w:fill="FFFFFF"/>
        </w:rPr>
        <w:t>万元，占55.24%；项目支出</w:t>
      </w:r>
      <w:r>
        <w:rPr>
          <w:rFonts w:hint="default" w:ascii="Times New Roman" w:hAnsi="Times New Roman" w:eastAsia="方正仿宋_GBK" w:cs="Times New Roman"/>
          <w:sz w:val="32"/>
          <w:szCs w:val="32"/>
        </w:rPr>
        <w:t>1257.39</w:t>
      </w:r>
      <w:r>
        <w:rPr>
          <w:rFonts w:hint="default" w:ascii="Times New Roman" w:hAnsi="Times New Roman" w:eastAsia="方正仿宋_GBK" w:cs="Times New Roman"/>
          <w:sz w:val="32"/>
          <w:szCs w:val="32"/>
          <w:shd w:val="clear" w:color="auto" w:fill="FFFFFF"/>
        </w:rPr>
        <w:t>万元，占44.76%；经营支出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B832C4C">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3" w:firstLineChars="200"/>
        <w:jc w:val="both"/>
        <w:rPr>
          <w:rFonts w:hint="default" w:ascii="Times New Roman" w:hAnsi="Times New Roman" w:eastAsia="方正仿宋_GBK" w:cs="Times New Roman"/>
          <w:sz w:val="32"/>
          <w:szCs w:val="32"/>
          <w:lang w:eastAsia="zh-CN"/>
        </w:rPr>
      </w:pPr>
      <w:r>
        <w:rPr>
          <w:rStyle w:val="14"/>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9.51</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14:paraId="4A42A651">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（二）财政拨款收入支出决算总体情况说明</w:t>
      </w:r>
    </w:p>
    <w:p w14:paraId="03B6A7AD">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rPr>
        <w:t>2023年度财政拨款收、支总计2818.98万元。与2022年相比，财政拨款收、支总计各减少411.28万元，下降12.73%。主要原因是</w:t>
      </w:r>
      <w:r>
        <w:rPr>
          <w:rFonts w:hint="default" w:ascii="Times New Roman" w:hAnsi="Times New Roman" w:eastAsia="方正仿宋_GBK" w:cs="Times New Roman"/>
          <w:sz w:val="32"/>
          <w:szCs w:val="32"/>
          <w:shd w:val="clear" w:color="auto" w:fill="FFFFFF"/>
          <w:lang w:bidi="ar"/>
        </w:rPr>
        <w:t>严格预算管理，厉行节俭。且</w:t>
      </w:r>
      <w:r>
        <w:rPr>
          <w:rFonts w:hint="default" w:ascii="Times New Roman" w:hAnsi="Times New Roman" w:eastAsia="方正仿宋_GBK" w:cs="Times New Roman"/>
          <w:color w:val="333333"/>
          <w:sz w:val="32"/>
          <w:szCs w:val="32"/>
          <w:shd w:val="clear" w:color="auto" w:fill="FFFFFF"/>
        </w:rPr>
        <w:t>本年度严格项目立项审批，削减非必要项目支出，政府收入主要依靠财政拨款，财政拨款收入减少，财政拨款支出相应减少，全年财政拨款收支有所下降。</w:t>
      </w:r>
    </w:p>
    <w:p w14:paraId="55D6AA0D">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（三）一般公共预算财政拨款收入支出决算情况说明</w:t>
      </w:r>
    </w:p>
    <w:p w14:paraId="7EACAB2B">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3"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2668.21</w:t>
      </w:r>
      <w:r>
        <w:rPr>
          <w:rFonts w:hint="default" w:ascii="Times New Roman" w:hAnsi="Times New Roman" w:eastAsia="方正仿宋_GBK" w:cs="Times New Roman"/>
          <w:sz w:val="32"/>
          <w:szCs w:val="32"/>
          <w:shd w:val="clear" w:color="auto" w:fill="FFFFFF"/>
        </w:rPr>
        <w:t>万元，较上年决算数减少297.98万元，下降10.05%。</w:t>
      </w:r>
      <w:r>
        <w:rPr>
          <w:rFonts w:hint="default" w:ascii="Times New Roman" w:hAnsi="Times New Roman" w:eastAsia="方正仿宋_GBK" w:cs="Times New Roman"/>
          <w:color w:val="333333"/>
          <w:sz w:val="32"/>
          <w:szCs w:val="32"/>
          <w:shd w:val="clear" w:color="auto" w:fill="FFFFFF"/>
        </w:rPr>
        <w:t>主要原因是本年度落实“三保”政策，严格立项审批，削减非必要项目支出</w:t>
      </w:r>
      <w:r>
        <w:rPr>
          <w:rFonts w:hint="default" w:ascii="Times New Roman" w:hAnsi="Times New Roman" w:eastAsia="方正仿宋_GBK" w:cs="Times New Roman"/>
          <w:sz w:val="32"/>
          <w:szCs w:val="32"/>
          <w:shd w:val="clear" w:color="auto" w:fill="FFFFFF"/>
          <w:lang w:bidi="ar"/>
        </w:rPr>
        <w:t>。</w:t>
      </w:r>
      <w:r>
        <w:rPr>
          <w:rFonts w:hint="default" w:ascii="Times New Roman" w:hAnsi="Times New Roman" w:eastAsia="方正仿宋_GBK" w:cs="Times New Roman"/>
          <w:sz w:val="32"/>
          <w:szCs w:val="32"/>
          <w:shd w:val="clear" w:color="auto" w:fill="FFFFFF"/>
        </w:rPr>
        <w:t>较年初预算数增加1419.22万元，增长113.63%。</w:t>
      </w:r>
      <w:r>
        <w:rPr>
          <w:rFonts w:hint="default" w:ascii="Times New Roman" w:hAnsi="Times New Roman" w:eastAsia="方正仿宋_GBK" w:cs="Times New Roman"/>
          <w:sz w:val="32"/>
          <w:szCs w:val="32"/>
          <w:shd w:val="clear" w:color="auto" w:fill="FFFFFF"/>
          <w:lang w:bidi="ar"/>
        </w:rPr>
        <w:t>主要原因是年中人员变动、专项工作经费及项目数量增加。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97.81</w:t>
      </w:r>
      <w:r>
        <w:rPr>
          <w:rFonts w:hint="default" w:ascii="Times New Roman" w:hAnsi="Times New Roman" w:eastAsia="方正仿宋_GBK" w:cs="Times New Roman"/>
          <w:sz w:val="32"/>
          <w:szCs w:val="32"/>
          <w:shd w:val="clear" w:color="auto" w:fill="FFFFFF"/>
        </w:rPr>
        <w:t>万元。</w:t>
      </w:r>
    </w:p>
    <w:p w14:paraId="507D259E">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3" w:firstLineChars="200"/>
        <w:rPr>
          <w:rFonts w:hint="default" w:ascii="Times New Roman" w:hAnsi="Times New Roman" w:eastAsia="方正仿宋_GBK" w:cs="Times New Roman"/>
          <w:sz w:val="32"/>
          <w:szCs w:val="32"/>
          <w:shd w:val="clear" w:color="auto" w:fill="FFFFFF"/>
          <w:lang w:bidi="ar"/>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2760.62</w:t>
      </w:r>
      <w:r>
        <w:rPr>
          <w:rFonts w:hint="default" w:ascii="Times New Roman" w:hAnsi="Times New Roman" w:eastAsia="方正仿宋_GBK" w:cs="Times New Roman"/>
          <w:sz w:val="32"/>
          <w:szCs w:val="32"/>
          <w:shd w:val="clear" w:color="auto" w:fill="FFFFFF"/>
        </w:rPr>
        <w:t>万元，较上年决算数减少397.53万元，下降12.59%。主要原因是</w:t>
      </w:r>
      <w:r>
        <w:rPr>
          <w:rFonts w:hint="default" w:ascii="Times New Roman" w:hAnsi="Times New Roman" w:eastAsia="方正仿宋_GBK" w:cs="Times New Roman"/>
          <w:sz w:val="32"/>
          <w:szCs w:val="32"/>
          <w:shd w:val="clear" w:color="auto" w:fill="FFFFFF"/>
          <w:lang w:bidi="ar"/>
        </w:rPr>
        <w:t>严格预算管理，厉行节俭。且</w:t>
      </w:r>
      <w:r>
        <w:rPr>
          <w:rFonts w:hint="default" w:ascii="Times New Roman" w:hAnsi="Times New Roman" w:eastAsia="方正仿宋_GBK" w:cs="Times New Roman"/>
          <w:color w:val="333333"/>
          <w:sz w:val="32"/>
          <w:szCs w:val="32"/>
          <w:shd w:val="clear" w:color="auto" w:fill="FFFFFF"/>
        </w:rPr>
        <w:t>本年度严格项目立项审批，削减非必要项目支出，政府收入主要依靠财政拨款，财政拨款收入减少，财政拨款支出相应减少，全年财政拨款收支有所下降。</w:t>
      </w:r>
      <w:r>
        <w:rPr>
          <w:rFonts w:hint="default" w:ascii="Times New Roman" w:hAnsi="Times New Roman" w:eastAsia="方正仿宋_GBK" w:cs="Times New Roman"/>
          <w:sz w:val="32"/>
          <w:szCs w:val="32"/>
          <w:shd w:val="clear" w:color="auto" w:fill="FFFFFF"/>
        </w:rPr>
        <w:t>较年初预算数增加1345.63万元，增长95.10%。</w:t>
      </w:r>
      <w:r>
        <w:rPr>
          <w:rFonts w:hint="default" w:ascii="Times New Roman" w:hAnsi="Times New Roman" w:eastAsia="方正仿宋_GBK" w:cs="Times New Roman"/>
          <w:sz w:val="32"/>
          <w:szCs w:val="32"/>
          <w:shd w:val="clear" w:color="auto" w:fill="FFFFFF"/>
          <w:lang w:bidi="ar"/>
        </w:rPr>
        <w:t>主要原因是年中人员变动、专项工作经费及项目数量增加。</w:t>
      </w:r>
      <w:r>
        <w:rPr>
          <w:rFonts w:hint="default" w:ascii="Times New Roman" w:hAnsi="Times New Roman" w:eastAsia="方正仿宋_GBK" w:cs="Times New Roman"/>
          <w:sz w:val="32"/>
          <w:szCs w:val="32"/>
          <w:shd w:val="clear" w:color="auto" w:fill="FFFFFF"/>
          <w:lang w:bidi="ar"/>
        </w:rPr>
        <w:tab/>
      </w:r>
    </w:p>
    <w:p w14:paraId="07BAA924">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3"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5.40</w:t>
      </w:r>
      <w:r>
        <w:rPr>
          <w:rFonts w:hint="default" w:ascii="Times New Roman" w:hAnsi="Times New Roman" w:eastAsia="方正仿宋_GBK" w:cs="Times New Roman"/>
          <w:sz w:val="32"/>
          <w:szCs w:val="32"/>
          <w:shd w:val="clear" w:color="auto" w:fill="FFFFFF"/>
        </w:rPr>
        <w:t>万元，较上年决算数无增减。</w:t>
      </w:r>
    </w:p>
    <w:p w14:paraId="76AE2331">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4"/>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14:paraId="4C6C8C54">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763.72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27.66</w:t>
      </w:r>
      <w:r>
        <w:rPr>
          <w:rFonts w:hint="default" w:ascii="Times New Roman" w:hAnsi="Times New Roman" w:eastAsia="方正仿宋_GBK" w:cs="Times New Roman"/>
          <w:sz w:val="32"/>
          <w:szCs w:val="32"/>
          <w:shd w:val="clear" w:color="auto" w:fill="FFFFFF"/>
        </w:rPr>
        <w:t>%，较年初预算数增加40.79万元，增长5.64%，</w:t>
      </w:r>
      <w:r>
        <w:rPr>
          <w:rFonts w:hint="default" w:ascii="Times New Roman" w:hAnsi="Times New Roman" w:eastAsia="方正仿宋_GBK" w:cs="Times New Roman"/>
          <w:color w:val="333333"/>
          <w:sz w:val="32"/>
          <w:szCs w:val="32"/>
          <w:shd w:val="clear" w:color="auto" w:fill="FFFFFF"/>
        </w:rPr>
        <w:t>主要原因是部分卫生健康、应急救灾等项目，决算时未准确分类项目，造成一般公共服务类支出数据增长。</w:t>
      </w:r>
    </w:p>
    <w:p w14:paraId="29909C0B">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（2）国防支出</w:t>
      </w:r>
      <w:r>
        <w:rPr>
          <w:rFonts w:hint="default" w:ascii="Times New Roman" w:hAnsi="Times New Roman" w:eastAsia="方正仿宋_GBK" w:cs="Times New Roman"/>
          <w:sz w:val="32"/>
          <w:szCs w:val="32"/>
        </w:rPr>
        <w:t>7.40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0.27</w:t>
      </w:r>
      <w:r>
        <w:rPr>
          <w:rFonts w:hint="default" w:ascii="Times New Roman" w:hAnsi="Times New Roman" w:eastAsia="方正仿宋_GBK" w:cs="Times New Roman"/>
          <w:sz w:val="32"/>
          <w:szCs w:val="32"/>
          <w:shd w:val="clear" w:color="auto" w:fill="FFFFFF"/>
        </w:rPr>
        <w:t>%，较年初预算数增加5.40万元，增长270.00%，主要原因是征兵工作支出增加。</w:t>
      </w:r>
    </w:p>
    <w:p w14:paraId="7F6031DB">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（3）文化旅游体育与传媒支出</w:t>
      </w:r>
      <w:r>
        <w:rPr>
          <w:rFonts w:hint="default" w:ascii="Times New Roman" w:hAnsi="Times New Roman" w:eastAsia="方正仿宋_GBK" w:cs="Times New Roman"/>
          <w:sz w:val="32"/>
          <w:szCs w:val="32"/>
        </w:rPr>
        <w:t>126.70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4.59</w:t>
      </w:r>
      <w:r>
        <w:rPr>
          <w:rFonts w:hint="default" w:ascii="Times New Roman" w:hAnsi="Times New Roman" w:eastAsia="方正仿宋_GBK" w:cs="Times New Roman"/>
          <w:sz w:val="32"/>
          <w:szCs w:val="32"/>
          <w:shd w:val="clear" w:color="auto" w:fill="FFFFFF"/>
        </w:rPr>
        <w:t>%，较年初预算数增加106.67万元，增长532.55%，</w:t>
      </w:r>
      <w:r>
        <w:rPr>
          <w:rFonts w:hint="default" w:ascii="Times New Roman" w:hAnsi="Times New Roman" w:eastAsia="方正仿宋_GBK" w:cs="Times New Roman"/>
          <w:sz w:val="32"/>
          <w:szCs w:val="32"/>
          <w:shd w:val="clear" w:color="auto" w:fill="FFFFFF"/>
          <w:lang w:bidi="ar"/>
        </w:rPr>
        <w:t>主要原因是专项工作经费增加，如桃花节文化活动经费。</w:t>
      </w:r>
    </w:p>
    <w:p w14:paraId="177F7C46">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（4）社会保障与就业支出</w:t>
      </w:r>
      <w:r>
        <w:rPr>
          <w:rFonts w:hint="default" w:ascii="Times New Roman" w:hAnsi="Times New Roman" w:eastAsia="方正仿宋_GBK" w:cs="Times New Roman"/>
          <w:sz w:val="32"/>
          <w:szCs w:val="32"/>
        </w:rPr>
        <w:t>338.13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12.25</w:t>
      </w:r>
      <w:r>
        <w:rPr>
          <w:rFonts w:hint="default" w:ascii="Times New Roman" w:hAnsi="Times New Roman" w:eastAsia="方正仿宋_GBK" w:cs="Times New Roman"/>
          <w:sz w:val="32"/>
          <w:szCs w:val="32"/>
          <w:shd w:val="clear" w:color="auto" w:fill="FFFFFF"/>
        </w:rPr>
        <w:t>%，较年初预算数增加253.32万元，增长298.69%，</w:t>
      </w:r>
      <w:r>
        <w:rPr>
          <w:rFonts w:hint="default" w:ascii="Times New Roman" w:hAnsi="Times New Roman" w:eastAsia="方正仿宋_GBK" w:cs="Times New Roman"/>
          <w:color w:val="333333"/>
          <w:sz w:val="32"/>
          <w:szCs w:val="32"/>
          <w:shd w:val="clear" w:color="auto" w:fill="FFFFFF"/>
        </w:rPr>
        <w:t>主要原因是由脱贫攻坚工作转入乡村振兴工作后，涉农公益性岗位开发的增加。</w:t>
      </w:r>
    </w:p>
    <w:p w14:paraId="19454DB2">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（5）卫生健康支出</w:t>
      </w:r>
      <w:r>
        <w:rPr>
          <w:rFonts w:hint="default" w:ascii="Times New Roman" w:hAnsi="Times New Roman" w:eastAsia="方正仿宋_GBK" w:cs="Times New Roman"/>
          <w:sz w:val="32"/>
          <w:szCs w:val="32"/>
        </w:rPr>
        <w:t>47.59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1.72</w:t>
      </w:r>
      <w:r>
        <w:rPr>
          <w:rFonts w:hint="default" w:ascii="Times New Roman" w:hAnsi="Times New Roman" w:eastAsia="方正仿宋_GBK" w:cs="Times New Roman"/>
          <w:sz w:val="32"/>
          <w:szCs w:val="32"/>
          <w:shd w:val="clear" w:color="auto" w:fill="FFFFFF"/>
        </w:rPr>
        <w:t>%，较年初预算数增加24.56万元，增长106.64%，</w:t>
      </w:r>
      <w:r>
        <w:rPr>
          <w:rFonts w:hint="default" w:ascii="Times New Roman" w:hAnsi="Times New Roman" w:eastAsia="方正仿宋_GBK" w:cs="Times New Roman"/>
          <w:sz w:val="32"/>
          <w:szCs w:val="32"/>
          <w:shd w:val="clear" w:color="auto" w:fill="FFFFFF"/>
          <w:lang w:bidi="ar"/>
        </w:rPr>
        <w:t>主要原因是专项工作等经费增加。</w:t>
      </w:r>
    </w:p>
    <w:p w14:paraId="4A11D6C7">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（6）城乡社区支出</w:t>
      </w:r>
      <w:r>
        <w:rPr>
          <w:rFonts w:hint="default" w:ascii="Times New Roman" w:hAnsi="Times New Roman" w:eastAsia="方正仿宋_GBK" w:cs="Times New Roman"/>
          <w:sz w:val="32"/>
          <w:szCs w:val="32"/>
        </w:rPr>
        <w:t>52.52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1.90</w:t>
      </w:r>
      <w:r>
        <w:rPr>
          <w:rFonts w:hint="default" w:ascii="Times New Roman" w:hAnsi="Times New Roman" w:eastAsia="方正仿宋_GBK" w:cs="Times New Roman"/>
          <w:sz w:val="32"/>
          <w:szCs w:val="32"/>
          <w:shd w:val="clear" w:color="auto" w:fill="FFFFFF"/>
        </w:rPr>
        <w:t>%，较年初预算数增加24.67万元，增长88.58%，</w:t>
      </w:r>
      <w:r>
        <w:rPr>
          <w:rFonts w:hint="default" w:ascii="Times New Roman" w:hAnsi="Times New Roman" w:eastAsia="方正仿宋_GBK" w:cs="Times New Roman"/>
          <w:sz w:val="32"/>
          <w:szCs w:val="32"/>
          <w:shd w:val="clear" w:color="auto" w:fill="FFFFFF"/>
          <w:lang w:bidi="ar"/>
        </w:rPr>
        <w:t>主要原因是专项工作经费增加，如“场镇卫生清洁费”等。</w:t>
      </w:r>
    </w:p>
    <w:p w14:paraId="4E766191">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（7）农林水支出</w:t>
      </w:r>
      <w:r>
        <w:rPr>
          <w:rFonts w:hint="default" w:ascii="Times New Roman" w:hAnsi="Times New Roman" w:eastAsia="方正仿宋_GBK" w:cs="Times New Roman"/>
          <w:sz w:val="32"/>
          <w:szCs w:val="32"/>
        </w:rPr>
        <w:t>1101.17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39.89</w:t>
      </w:r>
      <w:r>
        <w:rPr>
          <w:rFonts w:hint="default" w:ascii="Times New Roman" w:hAnsi="Times New Roman" w:eastAsia="方正仿宋_GBK" w:cs="Times New Roman"/>
          <w:sz w:val="32"/>
          <w:szCs w:val="32"/>
          <w:shd w:val="clear" w:color="auto" w:fill="FFFFFF"/>
        </w:rPr>
        <w:t>%，较年初预算数增加633.01万元，增长135.21%，</w:t>
      </w:r>
      <w:r>
        <w:rPr>
          <w:rFonts w:hint="default" w:ascii="Times New Roman" w:hAnsi="Times New Roman" w:eastAsia="方正仿宋_GBK" w:cs="Times New Roman"/>
          <w:sz w:val="32"/>
          <w:szCs w:val="32"/>
          <w:shd w:val="clear" w:color="auto" w:fill="FFFFFF"/>
          <w:lang w:bidi="ar"/>
        </w:rPr>
        <w:t>主要原因是专项工作经费增加，如“金盘村花椒精品示范园建设项目”等。</w:t>
      </w:r>
    </w:p>
    <w:p w14:paraId="2D401FCE">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（8）交通运输支出</w:t>
      </w:r>
      <w:r>
        <w:rPr>
          <w:rFonts w:hint="default" w:ascii="Times New Roman" w:hAnsi="Times New Roman" w:eastAsia="方正仿宋_GBK" w:cs="Times New Roman"/>
          <w:sz w:val="32"/>
          <w:szCs w:val="32"/>
        </w:rPr>
        <w:t>238.72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8.65</w:t>
      </w:r>
      <w:r>
        <w:rPr>
          <w:rFonts w:hint="default" w:ascii="Times New Roman" w:hAnsi="Times New Roman" w:eastAsia="方正仿宋_GBK" w:cs="Times New Roman"/>
          <w:sz w:val="32"/>
          <w:szCs w:val="32"/>
          <w:shd w:val="clear" w:color="auto" w:fill="FFFFFF"/>
        </w:rPr>
        <w:t>%，较年初预算数增加238.32万元，增长59580.00%，</w:t>
      </w:r>
      <w:r>
        <w:rPr>
          <w:rFonts w:hint="default" w:ascii="Times New Roman" w:hAnsi="Times New Roman" w:eastAsia="方正仿宋_GBK" w:cs="Times New Roman"/>
          <w:sz w:val="32"/>
          <w:szCs w:val="32"/>
          <w:shd w:val="clear" w:color="auto" w:fill="FFFFFF"/>
          <w:lang w:bidi="ar"/>
        </w:rPr>
        <w:t>主要原因是专项工作经费增加，如“四好农村公路工程款”等。</w:t>
      </w:r>
    </w:p>
    <w:p w14:paraId="55E8DD9C">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住房保障支出54.51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1.97</w:t>
      </w:r>
      <w:r>
        <w:rPr>
          <w:rFonts w:hint="default" w:ascii="Times New Roman" w:hAnsi="Times New Roman" w:eastAsia="方正仿宋_GBK" w:cs="Times New Roman"/>
          <w:sz w:val="32"/>
          <w:szCs w:val="32"/>
          <w:shd w:val="clear" w:color="auto" w:fill="FFFFFF"/>
        </w:rPr>
        <w:t>%，较年初预算数增加17.86万元，增长48.73%，</w:t>
      </w:r>
      <w:r>
        <w:rPr>
          <w:rFonts w:hint="default" w:ascii="Times New Roman" w:hAnsi="Times New Roman" w:eastAsia="方正仿宋_GBK" w:cs="Times New Roman"/>
          <w:sz w:val="32"/>
          <w:szCs w:val="32"/>
          <w:shd w:val="clear" w:color="auto" w:fill="FFFFFF"/>
          <w:lang w:bidi="ar"/>
        </w:rPr>
        <w:t>主要原因是专项工作经费增加，如“农村旧房整治提升”等。</w:t>
      </w:r>
    </w:p>
    <w:p w14:paraId="00C2E918">
      <w:pPr>
        <w:keepNext w:val="0"/>
        <w:keepLines w:val="0"/>
        <w:pageBreakBefore w:val="0"/>
        <w:widowControl/>
        <w:kinsoku/>
        <w:overflowPunct/>
        <w:topLinePunct w:val="0"/>
        <w:autoSpaceDN/>
        <w:bidi w:val="0"/>
        <w:adjustRightInd/>
        <w:spacing w:beforeAutospacing="0" w:afterAutospacing="0" w:line="579" w:lineRule="exact"/>
        <w:ind w:left="0" w:leftChars="0" w:right="0"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（10）</w:t>
      </w:r>
      <w:r>
        <w:rPr>
          <w:rFonts w:hint="default" w:ascii="Times New Roman" w:hAnsi="Times New Roman" w:eastAsia="方正仿宋_GBK" w:cs="Times New Roman"/>
          <w:sz w:val="32"/>
          <w:szCs w:val="32"/>
        </w:rPr>
        <w:t>灾害防治及应急管理支出30.17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1.09</w:t>
      </w:r>
      <w:r>
        <w:rPr>
          <w:rFonts w:hint="default" w:ascii="Times New Roman" w:hAnsi="Times New Roman" w:eastAsia="方正仿宋_GBK" w:cs="Times New Roman"/>
          <w:sz w:val="32"/>
          <w:szCs w:val="32"/>
          <w:shd w:val="clear" w:color="auto" w:fill="FFFFFF"/>
        </w:rPr>
        <w:t>%，较年初预算数增加22.17万元，增长277.13%，</w:t>
      </w:r>
      <w:r>
        <w:rPr>
          <w:rFonts w:hint="default" w:ascii="Times New Roman" w:hAnsi="Times New Roman" w:eastAsia="方正仿宋_GBK" w:cs="Times New Roman"/>
          <w:sz w:val="32"/>
          <w:szCs w:val="32"/>
          <w:shd w:val="clear" w:color="auto" w:fill="FFFFFF"/>
          <w:lang w:bidi="ar"/>
        </w:rPr>
        <w:t>主要原因是专项工作经费增加，如“冬春救助资金”、“抗旱救灾专项经费”。</w:t>
      </w:r>
    </w:p>
    <w:p w14:paraId="286D3D52">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（四）一般公共预算财政拨款基本支出决算情况说明</w:t>
      </w:r>
    </w:p>
    <w:p w14:paraId="034B982A">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1552.08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1218.36</w:t>
      </w:r>
      <w:r>
        <w:rPr>
          <w:rFonts w:hint="default" w:ascii="Times New Roman" w:hAnsi="Times New Roman" w:eastAsia="方正仿宋_GBK" w:cs="Times New Roman"/>
          <w:sz w:val="32"/>
          <w:szCs w:val="32"/>
          <w:shd w:val="clear" w:color="auto" w:fill="FFFFFF"/>
        </w:rPr>
        <w:t>万元，较上年决算数减少151.18万元，下降11.04%，</w:t>
      </w:r>
      <w:r>
        <w:rPr>
          <w:rFonts w:hint="default" w:ascii="Times New Roman" w:hAnsi="Times New Roman" w:eastAsia="方正仿宋_GBK" w:cs="Times New Roman"/>
          <w:sz w:val="32"/>
          <w:szCs w:val="32"/>
          <w:shd w:val="clear" w:color="auto" w:fill="FFFFFF"/>
          <w:lang w:bidi="ar"/>
        </w:rPr>
        <w:t>主要原因是人员变动。人员经费用途主要包括基本工资、津贴补贴、奖金、社会保障缴费、其他工资福利待遇、对个人和家庭的补助费等费用。</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333.72</w:t>
      </w:r>
      <w:r>
        <w:rPr>
          <w:rFonts w:hint="default" w:ascii="Times New Roman" w:hAnsi="Times New Roman" w:eastAsia="方正仿宋_GBK" w:cs="Times New Roman"/>
          <w:sz w:val="32"/>
          <w:szCs w:val="32"/>
          <w:shd w:val="clear" w:color="auto" w:fill="FFFFFF"/>
        </w:rPr>
        <w:t>万元，较上年决算数减少245.50万元，下降42.38%，</w:t>
      </w:r>
      <w:r>
        <w:rPr>
          <w:rFonts w:hint="default" w:ascii="Times New Roman" w:hAnsi="Times New Roman" w:eastAsia="方正仿宋_GBK" w:cs="Times New Roman"/>
          <w:sz w:val="32"/>
          <w:szCs w:val="32"/>
          <w:shd w:val="clear" w:color="auto" w:fill="FFFFFF"/>
          <w:lang w:bidi="ar"/>
        </w:rPr>
        <w:t>主要原因是管理规范要求增加，办公设备、软件、网络等也需要额外费用。公用经费用途主要包括办公费、差旅费、公务费、培训费、业务费、设备购置费、其他商品和服务支出费用等。</w:t>
      </w:r>
    </w:p>
    <w:p w14:paraId="15537D2D">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（五）政府性基金预算收支决算情况说明</w:t>
      </w:r>
    </w:p>
    <w:p w14:paraId="61C1FA7F">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4.11</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4.11</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48.85</w:t>
      </w:r>
      <w:r>
        <w:rPr>
          <w:rFonts w:hint="default" w:ascii="Times New Roman" w:hAnsi="Times New Roman" w:eastAsia="方正仿宋_GBK" w:cs="Times New Roman"/>
          <w:sz w:val="32"/>
          <w:szCs w:val="32"/>
          <w:shd w:val="clear" w:color="auto" w:fill="FFFFFF"/>
        </w:rPr>
        <w:t>万元，较上年决算数减少13.75万元，下降21.96%，</w:t>
      </w:r>
      <w:r>
        <w:rPr>
          <w:rFonts w:hint="default" w:ascii="Times New Roman" w:hAnsi="Times New Roman" w:eastAsia="方正仿宋_GBK" w:cs="Times New Roman"/>
          <w:sz w:val="32"/>
          <w:szCs w:val="32"/>
          <w:shd w:val="clear" w:color="auto" w:fill="FFFFFF"/>
          <w:lang w:bidi="ar"/>
        </w:rPr>
        <w:t>主要原因是农村公路建设专项工作经费减少。</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48.85</w:t>
      </w:r>
      <w:r>
        <w:rPr>
          <w:rFonts w:hint="default" w:ascii="Times New Roman" w:hAnsi="Times New Roman" w:eastAsia="方正仿宋_GBK" w:cs="Times New Roman"/>
          <w:sz w:val="32"/>
          <w:szCs w:val="32"/>
          <w:shd w:val="clear" w:color="auto" w:fill="FFFFFF"/>
        </w:rPr>
        <w:t>万元，较上年决算数减少13.75万元，下降21.96%，</w:t>
      </w:r>
      <w:r>
        <w:rPr>
          <w:rFonts w:hint="default" w:ascii="Times New Roman" w:hAnsi="Times New Roman" w:eastAsia="方正仿宋_GBK" w:cs="Times New Roman"/>
          <w:sz w:val="32"/>
          <w:szCs w:val="32"/>
          <w:shd w:val="clear" w:color="auto" w:fill="FFFFFF"/>
          <w:lang w:bidi="ar"/>
        </w:rPr>
        <w:t>主要原因是农村公路建设专项工作经费减少。</w:t>
      </w:r>
    </w:p>
    <w:p w14:paraId="76580583">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420"/>
        <w:outlineLvl w:val="1"/>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（六）国有资本经营预算财政拨款支出决算情况说明</w:t>
      </w:r>
    </w:p>
    <w:p w14:paraId="4B8CBAA2">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bidi="ar"/>
        </w:rPr>
        <w:t>本部门2023年度无国有资本经营预算财政拨款支出。</w:t>
      </w:r>
    </w:p>
    <w:p w14:paraId="0C7AA524">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outlineLvl w:val="0"/>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三、“三公”经费情况说明</w:t>
      </w:r>
    </w:p>
    <w:p w14:paraId="20B89D46">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Fonts w:hint="default" w:ascii="Times New Roman" w:hAnsi="Times New Roman" w:eastAsia="楷体" w:cs="Times New Roman"/>
          <w:b/>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lang w:val="en-US" w:eastAsia="zh-CN" w:bidi="ar-SA"/>
        </w:rPr>
        <w:t>（一）“三公”经费支出总体情况说明</w:t>
      </w:r>
    </w:p>
    <w:p w14:paraId="237E9707">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20.66</w:t>
      </w:r>
      <w:r>
        <w:rPr>
          <w:rFonts w:hint="default" w:ascii="Times New Roman" w:hAnsi="Times New Roman" w:eastAsia="方正仿宋_GBK" w:cs="Times New Roman"/>
          <w:sz w:val="32"/>
          <w:szCs w:val="32"/>
          <w:shd w:val="clear" w:color="auto" w:fill="FFFFFF"/>
        </w:rPr>
        <w:t>万元，较年初预算数减少10.54万元，下降33.78%，</w:t>
      </w:r>
      <w:r>
        <w:rPr>
          <w:rFonts w:hint="default" w:ascii="Times New Roman" w:hAnsi="Times New Roman" w:eastAsia="方正仿宋_GBK" w:cs="Times New Roman"/>
          <w:sz w:val="32"/>
          <w:szCs w:val="32"/>
          <w:shd w:val="clear" w:color="auto" w:fill="FFFFFF"/>
          <w:lang w:bidi="ar"/>
        </w:rPr>
        <w:t>主要原因是严格控制三公经费。</w:t>
      </w:r>
      <w:r>
        <w:rPr>
          <w:rFonts w:hint="default" w:ascii="Times New Roman" w:hAnsi="Times New Roman" w:eastAsia="方正仿宋_GBK" w:cs="Times New Roman"/>
          <w:sz w:val="32"/>
          <w:szCs w:val="32"/>
          <w:shd w:val="clear" w:color="auto" w:fill="FFFFFF"/>
        </w:rPr>
        <w:t>较上年支出数减少0.96万元，下降4.44%，</w:t>
      </w:r>
      <w:r>
        <w:rPr>
          <w:rFonts w:hint="default" w:ascii="Times New Roman" w:hAnsi="Times New Roman" w:eastAsia="方正仿宋_GBK" w:cs="Times New Roman"/>
          <w:sz w:val="32"/>
          <w:szCs w:val="32"/>
          <w:shd w:val="clear" w:color="auto" w:fill="FFFFFF"/>
          <w:lang w:bidi="ar"/>
        </w:rPr>
        <w:t>主要原因是严格控制三公经费。</w:t>
      </w:r>
    </w:p>
    <w:p w14:paraId="5A763EFF">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（二）“三公”经费分项支出情况</w:t>
      </w:r>
    </w:p>
    <w:p w14:paraId="2966DD32">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万元，无因公出国（境），</w:t>
      </w:r>
      <w:r>
        <w:rPr>
          <w:rFonts w:hint="default" w:ascii="Times New Roman" w:hAnsi="Times New Roman" w:eastAsia="方正仿宋_GBK" w:cs="Times New Roman"/>
          <w:sz w:val="32"/>
          <w:szCs w:val="32"/>
          <w:shd w:val="clear" w:color="auto" w:fill="FFFFFF"/>
          <w:lang w:bidi="ar"/>
        </w:rPr>
        <w:t>与年初预算和上年支出数持平。</w:t>
      </w:r>
    </w:p>
    <w:p w14:paraId="3005EE3C">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万元，主要原因是本年度无购车计划</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bidi="ar"/>
        </w:rPr>
        <w:t>与年初预算和上年支出数持平。</w:t>
      </w:r>
    </w:p>
    <w:p w14:paraId="4B77660A">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12.68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bidi="ar"/>
        </w:rPr>
        <w:t>主要用于因公出行、项目检查等工作所需公务车的燃料费、维修费、保险费等。</w:t>
      </w:r>
      <w:r>
        <w:rPr>
          <w:rFonts w:hint="default" w:ascii="Times New Roman" w:hAnsi="Times New Roman" w:eastAsia="方正仿宋_GBK" w:cs="Times New Roman"/>
          <w:sz w:val="32"/>
          <w:szCs w:val="32"/>
          <w:shd w:val="clear" w:color="auto" w:fill="FFFFFF"/>
        </w:rPr>
        <w:t>费用支出较年初预算数减少9.82万元，</w:t>
      </w:r>
      <w:r>
        <w:rPr>
          <w:rFonts w:hint="default" w:ascii="Times New Roman" w:hAnsi="Times New Roman" w:eastAsia="方正仿宋_GBK" w:cs="Times New Roman"/>
          <w:sz w:val="32"/>
          <w:szCs w:val="32"/>
          <w:shd w:val="clear" w:color="auto" w:fill="FFFFFF"/>
          <w:lang w:bidi="ar"/>
        </w:rPr>
        <w:t>主要原因是</w:t>
      </w:r>
      <w:r>
        <w:rPr>
          <w:rFonts w:hint="default" w:ascii="Times New Roman" w:hAnsi="Times New Roman" w:eastAsia="方正仿宋_GBK" w:cs="Times New Roman"/>
          <w:sz w:val="32"/>
          <w:szCs w:val="32"/>
          <w:highlight w:val="none"/>
          <w:shd w:val="clear" w:color="auto" w:fill="FFFFFF"/>
          <w:lang w:bidi="ar"/>
        </w:rPr>
        <w:t>公务车、垃圾车维修</w:t>
      </w:r>
      <w:r>
        <w:rPr>
          <w:rFonts w:hint="default" w:ascii="Times New Roman" w:hAnsi="Times New Roman" w:eastAsia="方正仿宋_GBK" w:cs="Times New Roman"/>
          <w:sz w:val="32"/>
          <w:szCs w:val="32"/>
          <w:shd w:val="clear" w:color="auto" w:fill="FFFFFF"/>
          <w:lang w:bidi="ar"/>
        </w:rPr>
        <w:t>费还未报销。</w:t>
      </w:r>
      <w:r>
        <w:rPr>
          <w:rFonts w:hint="default" w:ascii="Times New Roman" w:hAnsi="Times New Roman" w:eastAsia="方正仿宋_GBK" w:cs="Times New Roman"/>
          <w:sz w:val="32"/>
          <w:szCs w:val="32"/>
          <w:shd w:val="clear" w:color="auto" w:fill="FFFFFF"/>
        </w:rPr>
        <w:t>较上年支出数减少1.56万元，下降10.96%，</w:t>
      </w:r>
      <w:r>
        <w:rPr>
          <w:rFonts w:hint="default" w:ascii="Times New Roman" w:hAnsi="Times New Roman" w:eastAsia="方正仿宋_GBK" w:cs="Times New Roman"/>
          <w:sz w:val="32"/>
          <w:szCs w:val="32"/>
          <w:shd w:val="clear" w:color="auto" w:fill="FFFFFF"/>
          <w:lang w:bidi="ar"/>
        </w:rPr>
        <w:t>主要原因是公务车、垃圾车维修费还未报销。</w:t>
      </w:r>
    </w:p>
    <w:p w14:paraId="164C1561">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7.98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bidi="ar"/>
        </w:rPr>
        <w:t>主要用于接待招商引资工作、接受相关部门检查项目指导工作发生的接待支出。</w:t>
      </w:r>
      <w:r>
        <w:rPr>
          <w:rFonts w:hint="default" w:ascii="Times New Roman" w:hAnsi="Times New Roman" w:eastAsia="方正仿宋_GBK" w:cs="Times New Roman"/>
          <w:sz w:val="32"/>
          <w:szCs w:val="32"/>
          <w:shd w:val="clear" w:color="auto" w:fill="FFFFFF"/>
        </w:rPr>
        <w:t>费用支出较年初预算数减少0.72万元，下降8.28%，</w:t>
      </w:r>
      <w:r>
        <w:rPr>
          <w:rFonts w:hint="default" w:ascii="Times New Roman" w:hAnsi="Times New Roman" w:eastAsia="方正仿宋_GBK" w:cs="Times New Roman"/>
          <w:sz w:val="32"/>
          <w:szCs w:val="32"/>
          <w:shd w:val="clear" w:color="auto" w:fill="FFFFFF"/>
          <w:lang w:bidi="ar"/>
        </w:rPr>
        <w:t>主要原因是强化公务接待支出管理，严格遵守公务接待开支范围和开支标准，严格控制配餐人数。</w:t>
      </w:r>
      <w:r>
        <w:rPr>
          <w:rFonts w:hint="default" w:ascii="Times New Roman" w:hAnsi="Times New Roman" w:eastAsia="方正仿宋_GBK" w:cs="Times New Roman"/>
          <w:sz w:val="32"/>
          <w:szCs w:val="32"/>
          <w:shd w:val="clear" w:color="auto" w:fill="FFFFFF"/>
        </w:rPr>
        <w:t>较上年支出数增加0.60万元，增长8.13%，主要原因是有迎接检查的接待增加。</w:t>
      </w:r>
    </w:p>
    <w:p w14:paraId="6FAF3C32">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（三）“三公”经费实物量情况</w:t>
      </w:r>
    </w:p>
    <w:p w14:paraId="2B757206">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辆</w:t>
      </w:r>
      <w:r>
        <w:rPr>
          <w:rFonts w:hint="default" w:ascii="Times New Roman" w:hAnsi="Times New Roman" w:eastAsia="方正仿宋_GBK" w:cs="Times New Roman"/>
          <w:sz w:val="32"/>
          <w:szCs w:val="32"/>
          <w:shd w:val="clear" w:color="auto" w:fill="FFFFFF"/>
        </w:rPr>
        <w:t>；国内公务接待</w:t>
      </w:r>
      <w:r>
        <w:rPr>
          <w:rFonts w:hint="default" w:ascii="Times New Roman" w:hAnsi="Times New Roman" w:eastAsia="方正仿宋_GBK" w:cs="Times New Roman"/>
          <w:sz w:val="32"/>
          <w:szCs w:val="32"/>
        </w:rPr>
        <w:t>265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1320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60.47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3.17</w:t>
      </w:r>
      <w:r>
        <w:rPr>
          <w:rFonts w:hint="default" w:ascii="Times New Roman" w:hAnsi="Times New Roman" w:eastAsia="方正仿宋_GBK" w:cs="Times New Roman"/>
          <w:sz w:val="32"/>
          <w:szCs w:val="32"/>
          <w:shd w:val="clear" w:color="auto" w:fill="FFFFFF"/>
        </w:rPr>
        <w:t>万元。</w:t>
      </w:r>
    </w:p>
    <w:p w14:paraId="02CBD406">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outlineLvl w:val="0"/>
        <w:rPr>
          <w:rStyle w:val="14"/>
          <w:rFonts w:hint="default" w:ascii="Times New Roman" w:hAnsi="Times New Roman" w:eastAsia="方正黑体_GBK" w:cs="Times New Roman"/>
          <w:b w:val="0"/>
          <w:bCs/>
          <w:sz w:val="32"/>
          <w:szCs w:val="32"/>
          <w:shd w:val="clear" w:color="auto" w:fill="FFFFFF"/>
        </w:rPr>
      </w:pPr>
      <w:bookmarkStart w:id="0" w:name="OLE_LINK1"/>
      <w:r>
        <w:rPr>
          <w:rStyle w:val="14"/>
          <w:rFonts w:hint="default" w:ascii="Times New Roman" w:hAnsi="Times New Roman" w:eastAsia="方正黑体_GBK" w:cs="Times New Roman"/>
          <w:b w:val="0"/>
          <w:bCs/>
          <w:sz w:val="32"/>
          <w:szCs w:val="32"/>
          <w:shd w:val="clear" w:color="auto" w:fill="FFFFFF"/>
        </w:rPr>
        <w:t>四、其他需要说明的事项</w:t>
      </w:r>
    </w:p>
    <w:bookmarkEnd w:id="0"/>
    <w:p w14:paraId="58BA5902">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Fonts w:hint="default" w:ascii="Times New Roman" w:hAnsi="Times New Roman" w:eastAsia="楷体" w:cs="Times New Roman"/>
          <w:b/>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6231977F">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color="auto" w:fill="FFFFFF"/>
        </w:rPr>
        <w:t>万元，较上年决算数增加0.06万元，增长100.00%，主要原因是会议增加。本年度培训费支出</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万元，较上年决算数减少0.04万元，下降66.67%，</w:t>
      </w:r>
      <w:r>
        <w:rPr>
          <w:rFonts w:hint="default" w:ascii="Times New Roman" w:hAnsi="Times New Roman" w:eastAsia="方正仿宋_GBK" w:cs="Times New Roman"/>
          <w:sz w:val="32"/>
          <w:szCs w:val="32"/>
          <w:shd w:val="clear" w:color="auto" w:fill="FFFFFF"/>
          <w:lang w:bidi="ar"/>
        </w:rPr>
        <w:t>主要原因是培训会次数减少，开支减少。</w:t>
      </w:r>
    </w:p>
    <w:p w14:paraId="4D62A39D">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4CD14AF9">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84.84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bidi="ar"/>
        </w:rPr>
        <w:t>主要用于开支办公费、印刷费、手续费、水电费等。</w:t>
      </w:r>
      <w:r>
        <w:rPr>
          <w:rFonts w:hint="default" w:ascii="Times New Roman" w:hAnsi="Times New Roman" w:eastAsia="方正仿宋_GBK" w:cs="Times New Roman"/>
          <w:sz w:val="32"/>
          <w:szCs w:val="32"/>
          <w:highlight w:val="none"/>
          <w:shd w:val="clear" w:color="auto" w:fill="FFFFFF"/>
        </w:rPr>
        <w:t>机关运行经费较上年支出数减少399.22万元，</w:t>
      </w:r>
      <w:r>
        <w:rPr>
          <w:rFonts w:hint="default" w:ascii="Times New Roman" w:hAnsi="Times New Roman" w:eastAsia="方正仿宋_GBK" w:cs="Times New Roman"/>
          <w:sz w:val="32"/>
          <w:szCs w:val="32"/>
          <w:shd w:val="clear" w:color="auto" w:fill="FFFFFF"/>
        </w:rPr>
        <w:t>下降82.47%，</w:t>
      </w:r>
      <w:r>
        <w:rPr>
          <w:rFonts w:hint="default" w:ascii="Times New Roman" w:hAnsi="Times New Roman" w:eastAsia="方正仿宋_GBK" w:cs="Times New Roman"/>
          <w:sz w:val="32"/>
          <w:szCs w:val="32"/>
          <w:shd w:val="clear" w:color="auto" w:fill="FFFFFF"/>
          <w:lang w:bidi="ar"/>
        </w:rPr>
        <w:t>主要原因是增加了政府机关的管理职能，为提高工作效率，更换设备等。</w:t>
      </w:r>
    </w:p>
    <w:p w14:paraId="339D8BA2">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703FF177">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截至2023年12月31日，本部门共有车辆</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w:t>
      </w:r>
      <w:r>
        <w:rPr>
          <w:rFonts w:hint="default" w:ascii="Times New Roman" w:hAnsi="Times New Roman" w:eastAsia="方正仿宋_GBK" w:cs="Times New Roman"/>
          <w:sz w:val="32"/>
          <w:szCs w:val="32"/>
          <w:shd w:val="clear" w:color="auto" w:fill="FFFFFF"/>
          <w:lang w:val="en-US" w:eastAsia="zh-CN"/>
        </w:rPr>
        <w:t>领导干部</w:t>
      </w:r>
      <w:r>
        <w:rPr>
          <w:rFonts w:hint="default" w:ascii="Times New Roman" w:hAnsi="Times New Roman" w:eastAsia="方正仿宋_GBK" w:cs="Times New Roman"/>
          <w:sz w:val="32"/>
          <w:szCs w:val="32"/>
          <w:shd w:val="clear" w:color="auto" w:fill="FFFFFF"/>
        </w:rPr>
        <w:t>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w:t>
      </w:r>
      <w:r>
        <w:rPr>
          <w:rFonts w:hint="default" w:ascii="Times New Roman" w:hAnsi="Times New Roman" w:eastAsia="方正仿宋_GBK" w:cs="Times New Roman"/>
          <w:sz w:val="32"/>
          <w:szCs w:val="32"/>
          <w:highlight w:val="none"/>
          <w:shd w:val="clear" w:color="auto" w:fill="FFFFFF"/>
        </w:rPr>
        <w:t>应急保障用车</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辆、</w:t>
      </w:r>
      <w:r>
        <w:rPr>
          <w:rFonts w:hint="default" w:ascii="Times New Roman" w:hAnsi="Times New Roman" w:eastAsia="方正仿宋_GBK" w:cs="Times New Roman"/>
          <w:sz w:val="32"/>
          <w:szCs w:val="32"/>
          <w:shd w:val="clear" w:color="auto" w:fill="FFFFFF"/>
        </w:rPr>
        <w:t>执法执勤用车辆，特种专业技术用车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w:t>
      </w:r>
      <w:r>
        <w:rPr>
          <w:rFonts w:hint="default" w:ascii="Times New Roman" w:hAnsi="Times New Roman" w:eastAsia="方正仿宋_GBK" w:cs="Times New Roman"/>
          <w:sz w:val="32"/>
          <w:szCs w:val="32"/>
          <w:shd w:val="clear" w:color="auto" w:fill="FFFFFF"/>
          <w:lang w:val="en-US" w:eastAsia="zh-CN"/>
        </w:rPr>
        <w:t>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7E3BF56">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5F096396">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rPr>
          <w:rFonts w:hint="default" w:ascii="Times New Roman" w:hAnsi="Times New Roman" w:eastAsia="方正仿宋_GBK" w:cs="Times New Roman"/>
          <w:color w:val="FF0000"/>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bidi="ar"/>
        </w:rPr>
        <w:t>023年度我</w:t>
      </w:r>
      <w:r>
        <w:rPr>
          <w:rFonts w:hint="default" w:ascii="Times New Roman" w:hAnsi="Times New Roman" w:eastAsia="方正仿宋_GBK" w:cs="Times New Roman"/>
          <w:sz w:val="32"/>
          <w:szCs w:val="32"/>
          <w:shd w:val="clear" w:color="auto" w:fill="FFFFFF"/>
          <w:lang w:val="en-US" w:eastAsia="zh-CN" w:bidi="ar"/>
        </w:rPr>
        <w:t>部门</w:t>
      </w:r>
      <w:r>
        <w:rPr>
          <w:rFonts w:hint="default" w:ascii="Times New Roman" w:hAnsi="Times New Roman" w:eastAsia="方正仿宋_GBK" w:cs="Times New Roman"/>
          <w:sz w:val="32"/>
          <w:szCs w:val="32"/>
          <w:highlight w:val="none"/>
          <w:shd w:val="clear" w:color="auto" w:fill="FFFFFF"/>
          <w:lang w:bidi="ar"/>
        </w:rPr>
        <w:t>未发生</w:t>
      </w:r>
      <w:r>
        <w:rPr>
          <w:rFonts w:hint="default" w:ascii="Times New Roman" w:hAnsi="Times New Roman" w:eastAsia="方正仿宋_GBK" w:cs="Times New Roman"/>
          <w:sz w:val="32"/>
          <w:szCs w:val="32"/>
          <w:shd w:val="clear" w:color="auto" w:fill="FFFFFF"/>
          <w:lang w:bidi="ar"/>
        </w:rPr>
        <w:t>政府采购事项，无相关经费支出。</w:t>
      </w:r>
    </w:p>
    <w:p w14:paraId="0F80730F">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outlineLvl w:val="0"/>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lang w:val="en-US" w:eastAsia="zh-CN"/>
        </w:rPr>
        <w:t>五、</w:t>
      </w:r>
      <w:r>
        <w:rPr>
          <w:rStyle w:val="14"/>
          <w:rFonts w:hint="default" w:ascii="Times New Roman" w:hAnsi="Times New Roman" w:eastAsia="方正黑体_GBK" w:cs="Times New Roman"/>
          <w:b w:val="0"/>
          <w:bCs/>
          <w:sz w:val="32"/>
          <w:szCs w:val="32"/>
          <w:shd w:val="clear" w:color="auto" w:fill="FFFFFF"/>
        </w:rPr>
        <w:t>预算绩效管理情况说明</w:t>
      </w:r>
    </w:p>
    <w:p w14:paraId="1DFABE1E">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（一）部门自评情况</w:t>
      </w:r>
    </w:p>
    <w:p w14:paraId="329E6E11">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left="0" w:leftChars="0" w:right="0"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bidi="ar"/>
        </w:rPr>
        <w:t>根据预算绩效管理要求，我部门</w:t>
      </w:r>
      <w:r>
        <w:rPr>
          <w:rFonts w:hint="default" w:ascii="Times New Roman" w:hAnsi="Times New Roman" w:eastAsia="方正仿宋_GBK" w:cs="Times New Roman"/>
          <w:color w:val="000000"/>
          <w:sz w:val="32"/>
          <w:szCs w:val="32"/>
          <w:shd w:val="clear" w:color="auto" w:fill="FFFFFF"/>
          <w:lang w:bidi="ar"/>
        </w:rPr>
        <w:t>对部门整体和92个项目开展了绩效自评，</w:t>
      </w:r>
      <w:r>
        <w:rPr>
          <w:rFonts w:hint="default" w:ascii="Times New Roman" w:hAnsi="Times New Roman" w:eastAsia="方正仿宋_GBK" w:cs="Times New Roman"/>
          <w:sz w:val="32"/>
          <w:szCs w:val="32"/>
          <w:shd w:val="clear" w:color="auto" w:fill="FFFFFF"/>
        </w:rPr>
        <w:t>涉及财政拨款项目支出资金</w:t>
      </w:r>
      <w:r>
        <w:rPr>
          <w:rFonts w:hint="default" w:ascii="Times New Roman" w:hAnsi="Times New Roman" w:eastAsia="方正仿宋_GBK" w:cs="Times New Roman"/>
          <w:sz w:val="32"/>
          <w:szCs w:val="32"/>
          <w:shd w:val="clear" w:color="auto" w:fill="FFFFFF"/>
          <w:lang w:bidi="ar"/>
        </w:rPr>
        <w:t>2809.47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048CAA4A">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left="0" w:leftChars="0" w:right="0" w:firstLine="640" w:firstLineChars="200"/>
        <w:textAlignment w:val="auto"/>
        <w:rPr>
          <w:rFonts w:hint="default" w:ascii="Times New Roman" w:hAnsi="Times New Roman" w:eastAsia="方正仿宋_GBK" w:cs="Times New Roman"/>
          <w:sz w:val="32"/>
          <w:szCs w:val="32"/>
          <w:shd w:val="clear" w:color="auto" w:fill="FFFFFF"/>
          <w:lang w:eastAsia="zh-CN"/>
        </w:rPr>
      </w:pPr>
    </w:p>
    <w:p w14:paraId="7EB83DCC">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left="0" w:leftChars="0" w:right="0" w:firstLine="640" w:firstLineChars="200"/>
        <w:textAlignment w:val="auto"/>
        <w:rPr>
          <w:rFonts w:hint="default" w:ascii="Times New Roman" w:hAnsi="Times New Roman" w:eastAsia="方正仿宋_GBK" w:cs="Times New Roman"/>
          <w:sz w:val="32"/>
          <w:szCs w:val="32"/>
          <w:shd w:val="clear" w:color="auto" w:fill="FFFFFF"/>
          <w:lang w:eastAsia="zh-CN"/>
        </w:rPr>
        <w:sectPr>
          <w:footerReference r:id="rId3" w:type="default"/>
          <w:pgSz w:w="11915" w:h="16840"/>
          <w:pgMar w:top="2098" w:right="1531" w:bottom="1984" w:left="1531" w:header="850" w:footer="1474" w:gutter="0"/>
          <w:pgNumType w:fmt="numberInDash"/>
          <w:cols w:space="0" w:num="1"/>
          <w:rtlGutter w:val="0"/>
          <w:docGrid w:type="lines" w:linePitch="534" w:charSpace="0"/>
        </w:sectPr>
      </w:pPr>
    </w:p>
    <w:p w14:paraId="34EFA5A3">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right="0"/>
        <w:textAlignment w:val="auto"/>
        <w:rPr>
          <w:rFonts w:hint="default" w:ascii="Times New Roman" w:hAnsi="Times New Roman" w:eastAsia="方正仿宋_GBK" w:cs="Times New Roman"/>
          <w:sz w:val="32"/>
          <w:szCs w:val="32"/>
          <w:shd w:val="clear" w:color="auto" w:fill="FFFFFF"/>
          <w:lang w:eastAsia="zh-CN"/>
        </w:rPr>
      </w:pPr>
      <w:bookmarkStart w:id="2" w:name="_GoBack"/>
      <w:bookmarkEnd w:id="2"/>
    </w:p>
    <w:tbl>
      <w:tblPr>
        <w:tblStyle w:val="11"/>
        <w:tblpPr w:leftFromText="180" w:rightFromText="180" w:vertAnchor="text" w:horzAnchor="page" w:tblpXSpec="center" w:tblpY="922"/>
        <w:tblOverlap w:val="never"/>
        <w:tblW w:w="13595" w:type="dxa"/>
        <w:jc w:val="center"/>
        <w:tblLayout w:type="fixed"/>
        <w:tblCellMar>
          <w:top w:w="0" w:type="dxa"/>
          <w:left w:w="108" w:type="dxa"/>
          <w:bottom w:w="0" w:type="dxa"/>
          <w:right w:w="108" w:type="dxa"/>
        </w:tblCellMar>
      </w:tblPr>
      <w:tblGrid>
        <w:gridCol w:w="2646"/>
        <w:gridCol w:w="586"/>
        <w:gridCol w:w="850"/>
        <w:gridCol w:w="794"/>
        <w:gridCol w:w="827"/>
        <w:gridCol w:w="931"/>
        <w:gridCol w:w="1043"/>
        <w:gridCol w:w="709"/>
        <w:gridCol w:w="495"/>
        <w:gridCol w:w="960"/>
        <w:gridCol w:w="1050"/>
        <w:gridCol w:w="2704"/>
      </w:tblGrid>
      <w:tr w14:paraId="4E228F57">
        <w:tblPrEx>
          <w:tblCellMar>
            <w:top w:w="0" w:type="dxa"/>
            <w:left w:w="108" w:type="dxa"/>
            <w:bottom w:w="0" w:type="dxa"/>
            <w:right w:w="108" w:type="dxa"/>
          </w:tblCellMar>
        </w:tblPrEx>
        <w:trPr>
          <w:trHeight w:val="698" w:hRule="atLeast"/>
          <w:jc w:val="center"/>
        </w:trPr>
        <w:tc>
          <w:tcPr>
            <w:tcW w:w="13595" w:type="dxa"/>
            <w:gridSpan w:val="12"/>
            <w:tcBorders>
              <w:top w:val="single" w:color="auto" w:sz="4" w:space="0"/>
              <w:left w:val="single" w:color="auto" w:sz="4" w:space="0"/>
              <w:bottom w:val="single" w:color="auto" w:sz="4" w:space="0"/>
              <w:right w:val="single" w:color="auto" w:sz="4" w:space="0"/>
            </w:tcBorders>
            <w:noWrap/>
            <w:vAlign w:val="center"/>
          </w:tcPr>
          <w:p w14:paraId="66B47496">
            <w:pPr>
              <w:jc w:val="center"/>
              <w:rPr>
                <w:rFonts w:hint="default" w:eastAsia="微软雅黑"/>
                <w:b/>
                <w:bCs/>
                <w:color w:val="000000"/>
                <w:sz w:val="36"/>
                <w:szCs w:val="36"/>
              </w:rPr>
            </w:pPr>
            <w:r>
              <w:rPr>
                <w:rFonts w:eastAsia="微软雅黑"/>
                <w:b/>
                <w:bCs/>
                <w:color w:val="000000"/>
                <w:sz w:val="32"/>
                <w:szCs w:val="32"/>
                <w:lang w:bidi="ar"/>
              </w:rPr>
              <w:t>2023年度部门整体绩效自评表</w:t>
            </w:r>
          </w:p>
        </w:tc>
      </w:tr>
      <w:tr w14:paraId="1FC51161">
        <w:tblPrEx>
          <w:tblCellMar>
            <w:top w:w="0" w:type="dxa"/>
            <w:left w:w="108" w:type="dxa"/>
            <w:bottom w:w="0" w:type="dxa"/>
            <w:right w:w="108" w:type="dxa"/>
          </w:tblCellMar>
        </w:tblPrEx>
        <w:trPr>
          <w:trHeight w:val="499" w:hRule="atLeast"/>
          <w:jc w:val="center"/>
        </w:trPr>
        <w:tc>
          <w:tcPr>
            <w:tcW w:w="2646" w:type="dxa"/>
            <w:tcBorders>
              <w:top w:val="nil"/>
              <w:left w:val="single" w:color="auto" w:sz="4" w:space="0"/>
              <w:bottom w:val="single" w:color="auto" w:sz="4" w:space="0"/>
              <w:right w:val="single" w:color="auto" w:sz="4" w:space="0"/>
            </w:tcBorders>
            <w:noWrap/>
            <w:vAlign w:val="center"/>
          </w:tcPr>
          <w:p w14:paraId="799E93EA">
            <w:pPr>
              <w:spacing w:line="240" w:lineRule="atLeast"/>
              <w:jc w:val="center"/>
              <w:rPr>
                <w:rFonts w:hint="default"/>
                <w:b/>
                <w:bCs/>
                <w:color w:val="000000"/>
                <w:sz w:val="16"/>
                <w:szCs w:val="16"/>
              </w:rPr>
            </w:pPr>
            <w:r>
              <w:rPr>
                <w:b/>
                <w:bCs/>
                <w:color w:val="000000"/>
                <w:sz w:val="16"/>
                <w:szCs w:val="16"/>
                <w:lang w:bidi="ar"/>
              </w:rPr>
              <w:t>项目名称：</w:t>
            </w:r>
          </w:p>
        </w:tc>
        <w:tc>
          <w:tcPr>
            <w:tcW w:w="1436" w:type="dxa"/>
            <w:gridSpan w:val="2"/>
            <w:tcBorders>
              <w:top w:val="nil"/>
              <w:left w:val="nil"/>
              <w:bottom w:val="single" w:color="auto" w:sz="4" w:space="0"/>
              <w:right w:val="single" w:color="auto" w:sz="4" w:space="0"/>
            </w:tcBorders>
            <w:noWrap/>
            <w:vAlign w:val="center"/>
          </w:tcPr>
          <w:p w14:paraId="7D05A6E6">
            <w:pPr>
              <w:spacing w:line="240" w:lineRule="atLeast"/>
              <w:ind w:firstLine="160" w:firstLineChars="100"/>
              <w:rPr>
                <w:rFonts w:hint="default"/>
                <w:color w:val="000000"/>
                <w:sz w:val="16"/>
                <w:szCs w:val="16"/>
              </w:rPr>
            </w:pPr>
            <w:r>
              <w:rPr>
                <w:color w:val="000000"/>
                <w:sz w:val="16"/>
                <w:szCs w:val="16"/>
                <w:lang w:bidi="ar"/>
              </w:rPr>
              <w:t>丰都县保合镇整体监控</w:t>
            </w:r>
          </w:p>
        </w:tc>
        <w:tc>
          <w:tcPr>
            <w:tcW w:w="794" w:type="dxa"/>
            <w:tcBorders>
              <w:top w:val="nil"/>
              <w:left w:val="nil"/>
              <w:bottom w:val="single" w:color="auto" w:sz="4" w:space="0"/>
              <w:right w:val="single" w:color="auto" w:sz="4" w:space="0"/>
            </w:tcBorders>
            <w:noWrap/>
            <w:vAlign w:val="center"/>
          </w:tcPr>
          <w:p w14:paraId="7BCAF65E">
            <w:pPr>
              <w:spacing w:line="240" w:lineRule="atLeast"/>
              <w:jc w:val="center"/>
              <w:rPr>
                <w:rFonts w:hint="default"/>
                <w:b/>
                <w:bCs/>
                <w:color w:val="000000"/>
                <w:sz w:val="16"/>
                <w:szCs w:val="16"/>
              </w:rPr>
            </w:pPr>
            <w:r>
              <w:rPr>
                <w:b/>
                <w:bCs/>
                <w:color w:val="000000"/>
                <w:sz w:val="16"/>
                <w:szCs w:val="16"/>
                <w:lang w:bidi="ar"/>
              </w:rPr>
              <w:t>项目编码：</w:t>
            </w:r>
          </w:p>
        </w:tc>
        <w:tc>
          <w:tcPr>
            <w:tcW w:w="1758" w:type="dxa"/>
            <w:gridSpan w:val="2"/>
            <w:tcBorders>
              <w:top w:val="nil"/>
              <w:left w:val="nil"/>
              <w:bottom w:val="single" w:color="auto" w:sz="4" w:space="0"/>
              <w:right w:val="single" w:color="auto" w:sz="4" w:space="0"/>
            </w:tcBorders>
            <w:noWrap/>
            <w:vAlign w:val="center"/>
          </w:tcPr>
          <w:p w14:paraId="54949372">
            <w:pPr>
              <w:spacing w:line="240" w:lineRule="atLeast"/>
              <w:ind w:firstLine="160" w:firstLineChars="100"/>
              <w:rPr>
                <w:rFonts w:hint="default"/>
                <w:color w:val="000000"/>
                <w:sz w:val="16"/>
                <w:szCs w:val="16"/>
              </w:rPr>
            </w:pPr>
            <w:r>
              <w:rPr>
                <w:color w:val="000000"/>
                <w:sz w:val="16"/>
                <w:szCs w:val="16"/>
                <w:lang w:bidi="ar"/>
              </w:rPr>
              <w:t>　50023000023P000070</w:t>
            </w:r>
          </w:p>
        </w:tc>
        <w:tc>
          <w:tcPr>
            <w:tcW w:w="1043" w:type="dxa"/>
            <w:tcBorders>
              <w:top w:val="nil"/>
              <w:left w:val="nil"/>
              <w:bottom w:val="single" w:color="auto" w:sz="4" w:space="0"/>
              <w:right w:val="single" w:color="auto" w:sz="4" w:space="0"/>
            </w:tcBorders>
            <w:noWrap/>
            <w:vAlign w:val="center"/>
          </w:tcPr>
          <w:p w14:paraId="11B504E7">
            <w:pPr>
              <w:spacing w:line="240" w:lineRule="atLeast"/>
              <w:jc w:val="center"/>
              <w:rPr>
                <w:rFonts w:hint="default"/>
                <w:b/>
                <w:bCs/>
                <w:color w:val="000000"/>
                <w:sz w:val="16"/>
                <w:szCs w:val="16"/>
              </w:rPr>
            </w:pPr>
            <w:r>
              <w:rPr>
                <w:b/>
                <w:bCs/>
                <w:color w:val="000000"/>
                <w:sz w:val="16"/>
                <w:szCs w:val="16"/>
                <w:lang w:bidi="ar"/>
              </w:rPr>
              <w:t>自评总分：</w:t>
            </w:r>
          </w:p>
        </w:tc>
        <w:tc>
          <w:tcPr>
            <w:tcW w:w="1204" w:type="dxa"/>
            <w:gridSpan w:val="2"/>
            <w:tcBorders>
              <w:top w:val="nil"/>
              <w:left w:val="nil"/>
              <w:bottom w:val="single" w:color="auto" w:sz="4" w:space="0"/>
              <w:right w:val="single" w:color="auto" w:sz="4" w:space="0"/>
            </w:tcBorders>
            <w:noWrap/>
            <w:vAlign w:val="center"/>
          </w:tcPr>
          <w:p w14:paraId="4FF06726">
            <w:pPr>
              <w:spacing w:line="240" w:lineRule="atLeast"/>
              <w:ind w:firstLine="160" w:firstLineChars="100"/>
              <w:rPr>
                <w:rFonts w:hint="default"/>
                <w:color w:val="000000"/>
                <w:sz w:val="16"/>
                <w:szCs w:val="16"/>
              </w:rPr>
            </w:pPr>
            <w:r>
              <w:rPr>
                <w:color w:val="000000"/>
                <w:sz w:val="16"/>
                <w:szCs w:val="16"/>
                <w:lang w:bidi="ar"/>
              </w:rPr>
              <w:t>99.07</w:t>
            </w:r>
          </w:p>
        </w:tc>
        <w:tc>
          <w:tcPr>
            <w:tcW w:w="960" w:type="dxa"/>
            <w:tcBorders>
              <w:top w:val="nil"/>
              <w:left w:val="nil"/>
              <w:bottom w:val="single" w:color="auto" w:sz="4" w:space="0"/>
              <w:right w:val="single" w:color="auto" w:sz="4" w:space="0"/>
            </w:tcBorders>
            <w:noWrap/>
            <w:vAlign w:val="center"/>
          </w:tcPr>
          <w:p w14:paraId="2CF38E18">
            <w:pPr>
              <w:spacing w:line="240" w:lineRule="atLeast"/>
              <w:jc w:val="center"/>
              <w:rPr>
                <w:rFonts w:hint="default"/>
                <w:b/>
                <w:bCs/>
                <w:color w:val="000000"/>
                <w:sz w:val="16"/>
                <w:szCs w:val="16"/>
              </w:rPr>
            </w:pPr>
          </w:p>
        </w:tc>
        <w:tc>
          <w:tcPr>
            <w:tcW w:w="3754" w:type="dxa"/>
            <w:gridSpan w:val="2"/>
            <w:tcBorders>
              <w:top w:val="nil"/>
              <w:left w:val="nil"/>
              <w:bottom w:val="single" w:color="auto" w:sz="4" w:space="0"/>
              <w:right w:val="single" w:color="auto" w:sz="4" w:space="0"/>
            </w:tcBorders>
            <w:noWrap/>
            <w:vAlign w:val="center"/>
          </w:tcPr>
          <w:p w14:paraId="2DF20616">
            <w:pPr>
              <w:spacing w:line="240" w:lineRule="atLeast"/>
              <w:ind w:firstLine="160" w:firstLineChars="100"/>
              <w:rPr>
                <w:rFonts w:hint="default"/>
                <w:color w:val="000000"/>
                <w:sz w:val="16"/>
                <w:szCs w:val="16"/>
              </w:rPr>
            </w:pPr>
            <w:r>
              <w:rPr>
                <w:color w:val="000000"/>
                <w:sz w:val="16"/>
                <w:szCs w:val="16"/>
                <w:lang w:bidi="ar"/>
              </w:rPr>
              <w:t>　</w:t>
            </w:r>
          </w:p>
        </w:tc>
      </w:tr>
      <w:tr w14:paraId="354FFAFD">
        <w:tblPrEx>
          <w:tblCellMar>
            <w:top w:w="0" w:type="dxa"/>
            <w:left w:w="108" w:type="dxa"/>
            <w:bottom w:w="0" w:type="dxa"/>
            <w:right w:w="108" w:type="dxa"/>
          </w:tblCellMar>
        </w:tblPrEx>
        <w:trPr>
          <w:trHeight w:val="499" w:hRule="atLeast"/>
          <w:jc w:val="center"/>
        </w:trPr>
        <w:tc>
          <w:tcPr>
            <w:tcW w:w="2646" w:type="dxa"/>
            <w:tcBorders>
              <w:top w:val="nil"/>
              <w:left w:val="single" w:color="auto" w:sz="4" w:space="0"/>
              <w:bottom w:val="single" w:color="auto" w:sz="4" w:space="0"/>
              <w:right w:val="single" w:color="auto" w:sz="4" w:space="0"/>
            </w:tcBorders>
            <w:noWrap/>
            <w:vAlign w:val="center"/>
          </w:tcPr>
          <w:p w14:paraId="191C60B6">
            <w:pPr>
              <w:spacing w:line="240" w:lineRule="atLeast"/>
              <w:jc w:val="center"/>
              <w:rPr>
                <w:rFonts w:hint="default"/>
                <w:b/>
                <w:bCs/>
                <w:color w:val="000000"/>
                <w:sz w:val="16"/>
                <w:szCs w:val="16"/>
              </w:rPr>
            </w:pPr>
            <w:r>
              <w:rPr>
                <w:b/>
                <w:bCs/>
                <w:color w:val="000000"/>
                <w:sz w:val="16"/>
                <w:szCs w:val="16"/>
                <w:lang w:bidi="ar"/>
              </w:rPr>
              <w:t>项目主管部门：</w:t>
            </w:r>
          </w:p>
        </w:tc>
        <w:tc>
          <w:tcPr>
            <w:tcW w:w="1436" w:type="dxa"/>
            <w:gridSpan w:val="2"/>
            <w:tcBorders>
              <w:top w:val="single" w:color="auto" w:sz="4" w:space="0"/>
              <w:left w:val="nil"/>
              <w:bottom w:val="single" w:color="auto" w:sz="4" w:space="0"/>
              <w:right w:val="single" w:color="auto" w:sz="4" w:space="0"/>
            </w:tcBorders>
            <w:noWrap/>
            <w:vAlign w:val="center"/>
          </w:tcPr>
          <w:p w14:paraId="4AE0AA09">
            <w:pPr>
              <w:spacing w:line="240" w:lineRule="atLeast"/>
              <w:rPr>
                <w:rFonts w:hint="default"/>
                <w:color w:val="000000"/>
                <w:sz w:val="16"/>
                <w:szCs w:val="16"/>
              </w:rPr>
            </w:pPr>
            <w:r>
              <w:rPr>
                <w:color w:val="000000"/>
                <w:sz w:val="16"/>
                <w:szCs w:val="16"/>
                <w:lang w:bidi="ar"/>
              </w:rPr>
              <w:t>912-丰都县保合镇</w:t>
            </w:r>
          </w:p>
        </w:tc>
        <w:tc>
          <w:tcPr>
            <w:tcW w:w="794" w:type="dxa"/>
            <w:tcBorders>
              <w:top w:val="nil"/>
              <w:left w:val="nil"/>
              <w:bottom w:val="single" w:color="auto" w:sz="4" w:space="0"/>
              <w:right w:val="single" w:color="auto" w:sz="4" w:space="0"/>
            </w:tcBorders>
            <w:noWrap/>
            <w:vAlign w:val="center"/>
          </w:tcPr>
          <w:p w14:paraId="6F44DF13">
            <w:pPr>
              <w:spacing w:line="240" w:lineRule="atLeast"/>
              <w:jc w:val="center"/>
              <w:rPr>
                <w:rFonts w:hint="default"/>
                <w:b/>
                <w:bCs/>
                <w:color w:val="000000"/>
                <w:sz w:val="16"/>
                <w:szCs w:val="16"/>
              </w:rPr>
            </w:pPr>
            <w:r>
              <w:rPr>
                <w:b/>
                <w:bCs/>
                <w:color w:val="000000"/>
                <w:sz w:val="16"/>
                <w:szCs w:val="16"/>
                <w:lang w:bidi="ar"/>
              </w:rPr>
              <w:t>财政归口处室：</w:t>
            </w:r>
          </w:p>
        </w:tc>
        <w:tc>
          <w:tcPr>
            <w:tcW w:w="1758" w:type="dxa"/>
            <w:gridSpan w:val="2"/>
            <w:tcBorders>
              <w:top w:val="single" w:color="auto" w:sz="4" w:space="0"/>
              <w:left w:val="nil"/>
              <w:bottom w:val="single" w:color="auto" w:sz="4" w:space="0"/>
              <w:right w:val="single" w:color="auto" w:sz="4" w:space="0"/>
            </w:tcBorders>
            <w:noWrap/>
            <w:vAlign w:val="center"/>
          </w:tcPr>
          <w:p w14:paraId="16D4ACD4">
            <w:pPr>
              <w:spacing w:line="240" w:lineRule="atLeast"/>
              <w:ind w:firstLine="160" w:firstLineChars="100"/>
              <w:rPr>
                <w:rFonts w:hint="default"/>
                <w:color w:val="000000"/>
                <w:sz w:val="16"/>
                <w:szCs w:val="16"/>
              </w:rPr>
            </w:pPr>
            <w:r>
              <w:rPr>
                <w:color w:val="000000"/>
                <w:sz w:val="16"/>
                <w:szCs w:val="16"/>
                <w:lang w:bidi="ar"/>
              </w:rPr>
              <w:t>007-基财科</w:t>
            </w:r>
          </w:p>
        </w:tc>
        <w:tc>
          <w:tcPr>
            <w:tcW w:w="1043" w:type="dxa"/>
            <w:tcBorders>
              <w:top w:val="nil"/>
              <w:left w:val="nil"/>
              <w:bottom w:val="single" w:color="auto" w:sz="4" w:space="0"/>
              <w:right w:val="single" w:color="auto" w:sz="4" w:space="0"/>
            </w:tcBorders>
            <w:noWrap/>
            <w:vAlign w:val="center"/>
          </w:tcPr>
          <w:p w14:paraId="1835E274">
            <w:pPr>
              <w:spacing w:line="240" w:lineRule="atLeast"/>
              <w:ind w:right="483"/>
              <w:jc w:val="center"/>
              <w:rPr>
                <w:rFonts w:hint="default"/>
                <w:b/>
                <w:bCs/>
                <w:color w:val="000000"/>
                <w:sz w:val="16"/>
                <w:szCs w:val="16"/>
              </w:rPr>
            </w:pPr>
            <w:r>
              <w:rPr>
                <w:b/>
                <w:bCs/>
                <w:color w:val="000000"/>
                <w:sz w:val="16"/>
                <w:szCs w:val="16"/>
                <w:lang w:bidi="ar"/>
              </w:rPr>
              <w:t>部门</w:t>
            </w:r>
          </w:p>
          <w:p w14:paraId="0993559B">
            <w:pPr>
              <w:spacing w:line="240" w:lineRule="atLeast"/>
              <w:ind w:right="161"/>
              <w:jc w:val="center"/>
              <w:rPr>
                <w:rFonts w:hint="default"/>
                <w:b/>
                <w:bCs/>
                <w:color w:val="000000"/>
                <w:sz w:val="16"/>
                <w:szCs w:val="16"/>
              </w:rPr>
            </w:pPr>
            <w:r>
              <w:rPr>
                <w:b/>
                <w:bCs/>
                <w:color w:val="000000"/>
                <w:sz w:val="16"/>
                <w:szCs w:val="16"/>
                <w:lang w:bidi="ar"/>
              </w:rPr>
              <w:t>联系人：</w:t>
            </w:r>
          </w:p>
        </w:tc>
        <w:tc>
          <w:tcPr>
            <w:tcW w:w="1204" w:type="dxa"/>
            <w:gridSpan w:val="2"/>
            <w:tcBorders>
              <w:top w:val="single" w:color="auto" w:sz="4" w:space="0"/>
              <w:left w:val="nil"/>
              <w:bottom w:val="single" w:color="auto" w:sz="4" w:space="0"/>
              <w:right w:val="single" w:color="auto" w:sz="4" w:space="0"/>
            </w:tcBorders>
            <w:noWrap/>
            <w:vAlign w:val="center"/>
          </w:tcPr>
          <w:p w14:paraId="1234CC47">
            <w:pPr>
              <w:spacing w:line="240" w:lineRule="atLeast"/>
              <w:ind w:firstLine="160" w:firstLineChars="100"/>
              <w:rPr>
                <w:rFonts w:hint="default"/>
                <w:color w:val="000000"/>
                <w:sz w:val="16"/>
                <w:szCs w:val="16"/>
              </w:rPr>
            </w:pPr>
            <w:r>
              <w:rPr>
                <w:color w:val="000000"/>
                <w:sz w:val="16"/>
                <w:szCs w:val="16"/>
                <w:lang w:bidi="ar"/>
              </w:rPr>
              <w:t>刘远剑　</w:t>
            </w:r>
          </w:p>
        </w:tc>
        <w:tc>
          <w:tcPr>
            <w:tcW w:w="960" w:type="dxa"/>
            <w:tcBorders>
              <w:top w:val="nil"/>
              <w:left w:val="nil"/>
              <w:bottom w:val="single" w:color="auto" w:sz="4" w:space="0"/>
              <w:right w:val="single" w:color="auto" w:sz="4" w:space="0"/>
            </w:tcBorders>
            <w:noWrap/>
            <w:vAlign w:val="center"/>
          </w:tcPr>
          <w:p w14:paraId="1E5E8FC4">
            <w:pPr>
              <w:spacing w:line="240" w:lineRule="atLeast"/>
              <w:ind w:right="181"/>
              <w:jc w:val="center"/>
              <w:rPr>
                <w:rFonts w:hint="default"/>
                <w:b/>
                <w:bCs/>
                <w:color w:val="000000"/>
                <w:sz w:val="16"/>
                <w:szCs w:val="16"/>
              </w:rPr>
            </w:pPr>
            <w:r>
              <w:rPr>
                <w:b/>
                <w:bCs/>
                <w:color w:val="000000"/>
                <w:sz w:val="16"/>
                <w:szCs w:val="16"/>
                <w:lang w:bidi="ar"/>
              </w:rPr>
              <w:t>联系</w:t>
            </w:r>
          </w:p>
          <w:p w14:paraId="766F2D08">
            <w:pPr>
              <w:spacing w:line="240" w:lineRule="atLeast"/>
              <w:ind w:right="181"/>
              <w:jc w:val="center"/>
              <w:rPr>
                <w:rFonts w:hint="default"/>
                <w:b/>
                <w:bCs/>
                <w:color w:val="000000"/>
                <w:sz w:val="16"/>
                <w:szCs w:val="16"/>
              </w:rPr>
            </w:pPr>
            <w:r>
              <w:rPr>
                <w:b/>
                <w:bCs/>
                <w:color w:val="000000"/>
                <w:sz w:val="16"/>
                <w:szCs w:val="16"/>
                <w:lang w:bidi="ar"/>
              </w:rPr>
              <w:t>电话</w:t>
            </w:r>
          </w:p>
        </w:tc>
        <w:tc>
          <w:tcPr>
            <w:tcW w:w="3754" w:type="dxa"/>
            <w:gridSpan w:val="2"/>
            <w:tcBorders>
              <w:top w:val="single" w:color="auto" w:sz="4" w:space="0"/>
              <w:left w:val="nil"/>
              <w:bottom w:val="single" w:color="auto" w:sz="4" w:space="0"/>
              <w:right w:val="single" w:color="auto" w:sz="4" w:space="0"/>
            </w:tcBorders>
            <w:noWrap/>
            <w:vAlign w:val="center"/>
          </w:tcPr>
          <w:p w14:paraId="2A220CD1">
            <w:pPr>
              <w:spacing w:line="240" w:lineRule="atLeast"/>
              <w:ind w:firstLine="160" w:firstLineChars="100"/>
              <w:rPr>
                <w:rFonts w:hint="default" w:eastAsia="宋体"/>
                <w:color w:val="000000"/>
                <w:sz w:val="16"/>
                <w:szCs w:val="16"/>
                <w:lang w:val="en-US" w:eastAsia="zh-CN"/>
              </w:rPr>
            </w:pPr>
            <w:r>
              <w:rPr>
                <w:color w:val="000000"/>
                <w:sz w:val="16"/>
                <w:szCs w:val="16"/>
                <w:lang w:bidi="ar"/>
              </w:rPr>
              <w:t>　</w:t>
            </w:r>
            <w:r>
              <w:rPr>
                <w:rFonts w:hint="eastAsia"/>
                <w:color w:val="000000"/>
                <w:sz w:val="16"/>
                <w:szCs w:val="16"/>
                <w:lang w:val="en-US" w:eastAsia="zh-CN" w:bidi="ar"/>
              </w:rPr>
              <w:t>70687016</w:t>
            </w:r>
          </w:p>
        </w:tc>
      </w:tr>
      <w:tr w14:paraId="440D8197">
        <w:tblPrEx>
          <w:tblCellMar>
            <w:top w:w="0" w:type="dxa"/>
            <w:left w:w="108" w:type="dxa"/>
            <w:bottom w:w="0" w:type="dxa"/>
            <w:right w:w="108" w:type="dxa"/>
          </w:tblCellMar>
        </w:tblPrEx>
        <w:trPr>
          <w:trHeight w:val="469" w:hRule="atLeast"/>
          <w:jc w:val="center"/>
        </w:trPr>
        <w:tc>
          <w:tcPr>
            <w:tcW w:w="13595" w:type="dxa"/>
            <w:gridSpan w:val="12"/>
            <w:tcBorders>
              <w:top w:val="single" w:color="auto" w:sz="4" w:space="0"/>
              <w:left w:val="single" w:color="auto" w:sz="4" w:space="0"/>
              <w:bottom w:val="single" w:color="auto" w:sz="4" w:space="0"/>
              <w:right w:val="single" w:color="auto" w:sz="4" w:space="0"/>
            </w:tcBorders>
            <w:noWrap/>
            <w:vAlign w:val="center"/>
          </w:tcPr>
          <w:p w14:paraId="588E8459">
            <w:pPr>
              <w:jc w:val="center"/>
              <w:rPr>
                <w:rFonts w:hint="default" w:eastAsia="微软雅黑"/>
                <w:b/>
                <w:bCs/>
                <w:color w:val="808080"/>
                <w:sz w:val="28"/>
                <w:szCs w:val="28"/>
              </w:rPr>
            </w:pPr>
            <w:r>
              <w:rPr>
                <w:rFonts w:eastAsia="微软雅黑"/>
                <w:b/>
                <w:bCs/>
                <w:color w:val="808080"/>
                <w:sz w:val="18"/>
                <w:szCs w:val="18"/>
                <w:lang w:bidi="ar"/>
              </w:rPr>
              <w:t>资金情况</w:t>
            </w:r>
          </w:p>
        </w:tc>
      </w:tr>
      <w:tr w14:paraId="2EC2554F">
        <w:tblPrEx>
          <w:tblCellMar>
            <w:top w:w="0" w:type="dxa"/>
            <w:left w:w="108" w:type="dxa"/>
            <w:bottom w:w="0" w:type="dxa"/>
            <w:right w:w="108" w:type="dxa"/>
          </w:tblCellMar>
        </w:tblPrEx>
        <w:trPr>
          <w:trHeight w:val="445" w:hRule="atLeast"/>
          <w:jc w:val="center"/>
        </w:trPr>
        <w:tc>
          <w:tcPr>
            <w:tcW w:w="3232" w:type="dxa"/>
            <w:gridSpan w:val="2"/>
            <w:tcBorders>
              <w:top w:val="single" w:color="auto" w:sz="4" w:space="0"/>
              <w:left w:val="single" w:color="auto" w:sz="4" w:space="0"/>
              <w:bottom w:val="single" w:color="auto" w:sz="4" w:space="0"/>
              <w:right w:val="single" w:color="000000" w:sz="4" w:space="0"/>
            </w:tcBorders>
            <w:noWrap/>
            <w:vAlign w:val="center"/>
          </w:tcPr>
          <w:p w14:paraId="320E698E">
            <w:pPr>
              <w:jc w:val="center"/>
              <w:rPr>
                <w:rFonts w:hint="default"/>
                <w:color w:val="000000"/>
                <w:sz w:val="16"/>
                <w:szCs w:val="16"/>
              </w:rPr>
            </w:pPr>
            <w:r>
              <w:rPr>
                <w:color w:val="000000"/>
                <w:sz w:val="16"/>
                <w:szCs w:val="16"/>
                <w:lang w:bidi="ar"/>
              </w:rPr>
              <w:t>　</w:t>
            </w:r>
          </w:p>
        </w:tc>
        <w:tc>
          <w:tcPr>
            <w:tcW w:w="1644" w:type="dxa"/>
            <w:gridSpan w:val="2"/>
            <w:tcBorders>
              <w:top w:val="single" w:color="auto" w:sz="4" w:space="0"/>
              <w:left w:val="nil"/>
              <w:bottom w:val="single" w:color="auto" w:sz="4" w:space="0"/>
              <w:right w:val="single" w:color="000000" w:sz="4" w:space="0"/>
            </w:tcBorders>
            <w:noWrap/>
            <w:vAlign w:val="center"/>
          </w:tcPr>
          <w:p w14:paraId="3D257E98">
            <w:pPr>
              <w:ind w:right="724"/>
              <w:jc w:val="center"/>
              <w:rPr>
                <w:rFonts w:hint="default"/>
                <w:b/>
                <w:bCs/>
                <w:color w:val="000000"/>
                <w:sz w:val="16"/>
                <w:szCs w:val="16"/>
              </w:rPr>
            </w:pPr>
            <w:r>
              <w:rPr>
                <w:b/>
                <w:bCs/>
                <w:color w:val="000000"/>
                <w:sz w:val="16"/>
                <w:szCs w:val="16"/>
                <w:lang w:bidi="ar"/>
              </w:rPr>
              <w:t>年初预算数</w:t>
            </w:r>
          </w:p>
        </w:tc>
        <w:tc>
          <w:tcPr>
            <w:tcW w:w="1758" w:type="dxa"/>
            <w:gridSpan w:val="2"/>
            <w:tcBorders>
              <w:top w:val="single" w:color="auto" w:sz="4" w:space="0"/>
              <w:left w:val="nil"/>
              <w:bottom w:val="single" w:color="auto" w:sz="4" w:space="0"/>
              <w:right w:val="single" w:color="000000" w:sz="4" w:space="0"/>
            </w:tcBorders>
            <w:noWrap/>
            <w:vAlign w:val="center"/>
          </w:tcPr>
          <w:p w14:paraId="13872000">
            <w:pPr>
              <w:jc w:val="center"/>
              <w:rPr>
                <w:rFonts w:hint="default"/>
                <w:b/>
                <w:bCs/>
                <w:color w:val="000000"/>
                <w:sz w:val="16"/>
                <w:szCs w:val="16"/>
              </w:rPr>
            </w:pPr>
            <w:r>
              <w:rPr>
                <w:b/>
                <w:bCs/>
                <w:color w:val="000000"/>
                <w:sz w:val="16"/>
                <w:szCs w:val="16"/>
                <w:lang w:bidi="ar"/>
              </w:rPr>
              <w:t>全年（调整）</w:t>
            </w:r>
          </w:p>
          <w:p w14:paraId="1A0FAD00">
            <w:pPr>
              <w:jc w:val="center"/>
              <w:rPr>
                <w:rFonts w:hint="default"/>
                <w:b/>
                <w:bCs/>
                <w:color w:val="000000"/>
                <w:sz w:val="16"/>
                <w:szCs w:val="16"/>
              </w:rPr>
            </w:pPr>
            <w:r>
              <w:rPr>
                <w:b/>
                <w:bCs/>
                <w:color w:val="000000"/>
                <w:sz w:val="16"/>
                <w:szCs w:val="16"/>
                <w:lang w:bidi="ar"/>
              </w:rPr>
              <w:t>预算数</w:t>
            </w:r>
          </w:p>
        </w:tc>
        <w:tc>
          <w:tcPr>
            <w:tcW w:w="1752" w:type="dxa"/>
            <w:gridSpan w:val="2"/>
            <w:tcBorders>
              <w:top w:val="single" w:color="auto" w:sz="4" w:space="0"/>
              <w:left w:val="nil"/>
              <w:bottom w:val="single" w:color="auto" w:sz="4" w:space="0"/>
              <w:right w:val="single" w:color="000000" w:sz="4" w:space="0"/>
            </w:tcBorders>
            <w:noWrap/>
            <w:vAlign w:val="center"/>
          </w:tcPr>
          <w:p w14:paraId="29028707">
            <w:pPr>
              <w:ind w:right="161"/>
              <w:jc w:val="center"/>
              <w:rPr>
                <w:rFonts w:hint="default"/>
                <w:b/>
                <w:bCs/>
                <w:color w:val="000000"/>
                <w:sz w:val="16"/>
                <w:szCs w:val="16"/>
              </w:rPr>
            </w:pPr>
            <w:r>
              <w:rPr>
                <w:b/>
                <w:bCs/>
                <w:color w:val="000000"/>
                <w:sz w:val="16"/>
                <w:szCs w:val="16"/>
                <w:lang w:bidi="ar"/>
              </w:rPr>
              <w:t>全年执行数</w:t>
            </w:r>
          </w:p>
        </w:tc>
        <w:tc>
          <w:tcPr>
            <w:tcW w:w="1455" w:type="dxa"/>
            <w:gridSpan w:val="2"/>
            <w:tcBorders>
              <w:top w:val="single" w:color="auto" w:sz="4" w:space="0"/>
              <w:left w:val="nil"/>
              <w:bottom w:val="single" w:color="auto" w:sz="4" w:space="0"/>
              <w:right w:val="single" w:color="000000" w:sz="4" w:space="0"/>
            </w:tcBorders>
            <w:noWrap/>
            <w:vAlign w:val="center"/>
          </w:tcPr>
          <w:p w14:paraId="586C4C19">
            <w:pPr>
              <w:ind w:right="322"/>
              <w:jc w:val="center"/>
              <w:rPr>
                <w:rFonts w:hint="default"/>
                <w:b/>
                <w:bCs/>
                <w:color w:val="000000"/>
                <w:sz w:val="16"/>
                <w:szCs w:val="16"/>
              </w:rPr>
            </w:pPr>
            <w:r>
              <w:rPr>
                <w:b/>
                <w:bCs/>
                <w:color w:val="000000"/>
                <w:sz w:val="16"/>
                <w:szCs w:val="16"/>
                <w:lang w:bidi="ar"/>
              </w:rPr>
              <w:t>执行率</w:t>
            </w:r>
          </w:p>
        </w:tc>
        <w:tc>
          <w:tcPr>
            <w:tcW w:w="1050" w:type="dxa"/>
            <w:tcBorders>
              <w:top w:val="nil"/>
              <w:left w:val="nil"/>
              <w:bottom w:val="single" w:color="auto" w:sz="4" w:space="0"/>
              <w:right w:val="single" w:color="auto" w:sz="4" w:space="0"/>
            </w:tcBorders>
            <w:noWrap/>
            <w:vAlign w:val="center"/>
          </w:tcPr>
          <w:p w14:paraId="143F5C2E">
            <w:pPr>
              <w:jc w:val="center"/>
              <w:rPr>
                <w:rFonts w:hint="default"/>
                <w:b/>
                <w:bCs/>
                <w:color w:val="000000"/>
                <w:sz w:val="16"/>
                <w:szCs w:val="16"/>
              </w:rPr>
            </w:pPr>
            <w:r>
              <w:rPr>
                <w:b/>
                <w:bCs/>
                <w:color w:val="000000"/>
                <w:sz w:val="16"/>
                <w:szCs w:val="16"/>
                <w:lang w:bidi="ar"/>
              </w:rPr>
              <w:t>执行率</w:t>
            </w:r>
          </w:p>
          <w:p w14:paraId="53B19A9E">
            <w:pPr>
              <w:jc w:val="center"/>
              <w:rPr>
                <w:rFonts w:hint="default"/>
                <w:b/>
                <w:bCs/>
                <w:color w:val="000000"/>
                <w:sz w:val="16"/>
                <w:szCs w:val="16"/>
              </w:rPr>
            </w:pPr>
            <w:r>
              <w:rPr>
                <w:b/>
                <w:bCs/>
                <w:color w:val="000000"/>
                <w:sz w:val="16"/>
                <w:szCs w:val="16"/>
                <w:lang w:bidi="ar"/>
              </w:rPr>
              <w:t>权重</w:t>
            </w:r>
          </w:p>
        </w:tc>
        <w:tc>
          <w:tcPr>
            <w:tcW w:w="2704" w:type="dxa"/>
            <w:tcBorders>
              <w:top w:val="nil"/>
              <w:left w:val="nil"/>
              <w:bottom w:val="single" w:color="auto" w:sz="4" w:space="0"/>
              <w:right w:val="single" w:color="auto" w:sz="4" w:space="0"/>
            </w:tcBorders>
            <w:noWrap/>
            <w:vAlign w:val="center"/>
          </w:tcPr>
          <w:p w14:paraId="2D61207D">
            <w:pPr>
              <w:jc w:val="center"/>
              <w:rPr>
                <w:rFonts w:hint="default"/>
                <w:b/>
                <w:bCs/>
                <w:color w:val="000000"/>
                <w:sz w:val="16"/>
                <w:szCs w:val="16"/>
              </w:rPr>
            </w:pPr>
            <w:r>
              <w:rPr>
                <w:b/>
                <w:bCs/>
                <w:color w:val="000000"/>
                <w:sz w:val="16"/>
                <w:szCs w:val="16"/>
                <w:lang w:bidi="ar"/>
              </w:rPr>
              <w:t>执行率</w:t>
            </w:r>
          </w:p>
          <w:p w14:paraId="1EC091F9">
            <w:pPr>
              <w:jc w:val="center"/>
              <w:rPr>
                <w:rFonts w:hint="default"/>
                <w:b/>
                <w:bCs/>
                <w:color w:val="000000"/>
                <w:sz w:val="16"/>
                <w:szCs w:val="16"/>
              </w:rPr>
            </w:pPr>
            <w:r>
              <w:rPr>
                <w:b/>
                <w:bCs/>
                <w:color w:val="000000"/>
                <w:sz w:val="16"/>
                <w:szCs w:val="16"/>
                <w:lang w:bidi="ar"/>
              </w:rPr>
              <w:t>得分</w:t>
            </w:r>
          </w:p>
        </w:tc>
      </w:tr>
      <w:tr w14:paraId="6ADD6A48">
        <w:tblPrEx>
          <w:tblCellMar>
            <w:top w:w="0" w:type="dxa"/>
            <w:left w:w="108" w:type="dxa"/>
            <w:bottom w:w="0" w:type="dxa"/>
            <w:right w:w="108" w:type="dxa"/>
          </w:tblCellMar>
        </w:tblPrEx>
        <w:trPr>
          <w:trHeight w:val="499"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ign w:val="center"/>
          </w:tcPr>
          <w:p w14:paraId="1EC2D2A5">
            <w:pPr>
              <w:ind w:firstLine="160" w:firstLineChars="100"/>
              <w:jc w:val="center"/>
              <w:rPr>
                <w:rFonts w:hint="default"/>
                <w:color w:val="000000"/>
                <w:sz w:val="16"/>
                <w:szCs w:val="16"/>
              </w:rPr>
            </w:pPr>
            <w:r>
              <w:rPr>
                <w:color w:val="000000"/>
                <w:sz w:val="16"/>
                <w:szCs w:val="16"/>
                <w:lang w:bidi="ar"/>
              </w:rPr>
              <w:t>年度总金额</w:t>
            </w:r>
          </w:p>
        </w:tc>
        <w:tc>
          <w:tcPr>
            <w:tcW w:w="1644" w:type="dxa"/>
            <w:gridSpan w:val="2"/>
            <w:tcBorders>
              <w:top w:val="single" w:color="auto" w:sz="4" w:space="0"/>
              <w:left w:val="nil"/>
              <w:bottom w:val="single" w:color="auto" w:sz="4" w:space="0"/>
              <w:right w:val="single" w:color="auto" w:sz="4" w:space="0"/>
            </w:tcBorders>
            <w:noWrap/>
            <w:vAlign w:val="center"/>
          </w:tcPr>
          <w:p w14:paraId="50BC993C">
            <w:pPr>
              <w:ind w:firstLine="160" w:firstLineChars="100"/>
              <w:jc w:val="center"/>
              <w:rPr>
                <w:rFonts w:hint="default"/>
                <w:color w:val="000000"/>
                <w:sz w:val="16"/>
                <w:szCs w:val="16"/>
              </w:rPr>
            </w:pPr>
            <w:r>
              <w:rPr>
                <w:color w:val="000000"/>
                <w:sz w:val="16"/>
                <w:szCs w:val="16"/>
                <w:lang w:bidi="ar"/>
              </w:rPr>
              <w:t>19250735.83</w:t>
            </w:r>
          </w:p>
        </w:tc>
        <w:tc>
          <w:tcPr>
            <w:tcW w:w="1758" w:type="dxa"/>
            <w:gridSpan w:val="2"/>
            <w:tcBorders>
              <w:top w:val="single" w:color="auto" w:sz="4" w:space="0"/>
              <w:left w:val="nil"/>
              <w:bottom w:val="single" w:color="auto" w:sz="4" w:space="0"/>
              <w:right w:val="single" w:color="auto" w:sz="4" w:space="0"/>
            </w:tcBorders>
            <w:noWrap/>
            <w:vAlign w:val="center"/>
          </w:tcPr>
          <w:p w14:paraId="535D1948">
            <w:pPr>
              <w:ind w:firstLine="160" w:firstLineChars="100"/>
              <w:jc w:val="center"/>
              <w:rPr>
                <w:rFonts w:hint="default"/>
                <w:color w:val="000000"/>
                <w:sz w:val="16"/>
                <w:szCs w:val="16"/>
              </w:rPr>
            </w:pPr>
            <w:r>
              <w:rPr>
                <w:color w:val="000000"/>
                <w:sz w:val="16"/>
                <w:szCs w:val="16"/>
                <w:lang w:bidi="ar"/>
              </w:rPr>
              <w:t>30969641.51</w:t>
            </w:r>
          </w:p>
        </w:tc>
        <w:tc>
          <w:tcPr>
            <w:tcW w:w="1752" w:type="dxa"/>
            <w:gridSpan w:val="2"/>
            <w:tcBorders>
              <w:top w:val="single" w:color="auto" w:sz="4" w:space="0"/>
              <w:left w:val="nil"/>
              <w:bottom w:val="single" w:color="auto" w:sz="4" w:space="0"/>
              <w:right w:val="single" w:color="auto" w:sz="4" w:space="0"/>
            </w:tcBorders>
            <w:noWrap/>
            <w:vAlign w:val="center"/>
          </w:tcPr>
          <w:p w14:paraId="749C5134">
            <w:pPr>
              <w:ind w:firstLine="160" w:firstLineChars="100"/>
              <w:jc w:val="center"/>
              <w:rPr>
                <w:rFonts w:hint="default"/>
                <w:color w:val="000000"/>
                <w:sz w:val="16"/>
                <w:szCs w:val="16"/>
              </w:rPr>
            </w:pPr>
            <w:r>
              <w:rPr>
                <w:color w:val="000000"/>
                <w:sz w:val="16"/>
                <w:szCs w:val="16"/>
                <w:lang w:bidi="ar"/>
              </w:rPr>
              <w:t>28094754.14</w:t>
            </w:r>
          </w:p>
        </w:tc>
        <w:tc>
          <w:tcPr>
            <w:tcW w:w="1455" w:type="dxa"/>
            <w:gridSpan w:val="2"/>
            <w:tcBorders>
              <w:top w:val="single" w:color="auto" w:sz="4" w:space="0"/>
              <w:left w:val="nil"/>
              <w:bottom w:val="single" w:color="auto" w:sz="4" w:space="0"/>
              <w:right w:val="single" w:color="auto" w:sz="4" w:space="0"/>
            </w:tcBorders>
            <w:noWrap/>
            <w:vAlign w:val="center"/>
          </w:tcPr>
          <w:p w14:paraId="2635E1F1">
            <w:pPr>
              <w:ind w:firstLine="160" w:firstLineChars="100"/>
              <w:jc w:val="center"/>
              <w:rPr>
                <w:rFonts w:hint="default"/>
                <w:color w:val="000000"/>
                <w:sz w:val="16"/>
                <w:szCs w:val="16"/>
              </w:rPr>
            </w:pPr>
          </w:p>
        </w:tc>
        <w:tc>
          <w:tcPr>
            <w:tcW w:w="1050" w:type="dxa"/>
            <w:tcBorders>
              <w:top w:val="nil"/>
              <w:left w:val="nil"/>
              <w:bottom w:val="single" w:color="auto" w:sz="4" w:space="0"/>
              <w:right w:val="single" w:color="auto" w:sz="4" w:space="0"/>
            </w:tcBorders>
            <w:noWrap/>
            <w:vAlign w:val="center"/>
          </w:tcPr>
          <w:p w14:paraId="70D538C1">
            <w:pPr>
              <w:ind w:firstLine="160" w:firstLineChars="100"/>
              <w:jc w:val="center"/>
              <w:rPr>
                <w:rFonts w:hint="default"/>
                <w:sz w:val="16"/>
                <w:szCs w:val="16"/>
              </w:rPr>
            </w:pPr>
          </w:p>
        </w:tc>
        <w:tc>
          <w:tcPr>
            <w:tcW w:w="2704" w:type="dxa"/>
            <w:tcBorders>
              <w:top w:val="nil"/>
              <w:left w:val="nil"/>
              <w:bottom w:val="single" w:color="auto" w:sz="4" w:space="0"/>
              <w:right w:val="single" w:color="auto" w:sz="4" w:space="0"/>
            </w:tcBorders>
            <w:noWrap/>
            <w:vAlign w:val="center"/>
          </w:tcPr>
          <w:p w14:paraId="3372DCD8">
            <w:pPr>
              <w:ind w:firstLine="160" w:firstLineChars="100"/>
              <w:jc w:val="center"/>
              <w:rPr>
                <w:rFonts w:hint="default"/>
                <w:sz w:val="16"/>
                <w:szCs w:val="16"/>
              </w:rPr>
            </w:pPr>
          </w:p>
        </w:tc>
      </w:tr>
      <w:tr w14:paraId="2023ADE5">
        <w:tblPrEx>
          <w:tblCellMar>
            <w:top w:w="0" w:type="dxa"/>
            <w:left w:w="108" w:type="dxa"/>
            <w:bottom w:w="0" w:type="dxa"/>
            <w:right w:w="108" w:type="dxa"/>
          </w:tblCellMar>
        </w:tblPrEx>
        <w:trPr>
          <w:trHeight w:val="400"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ign w:val="center"/>
          </w:tcPr>
          <w:p w14:paraId="0B7F5B45">
            <w:pPr>
              <w:ind w:firstLine="160" w:firstLineChars="100"/>
              <w:jc w:val="center"/>
              <w:rPr>
                <w:rFonts w:hint="default"/>
                <w:color w:val="000000"/>
                <w:sz w:val="16"/>
                <w:szCs w:val="16"/>
              </w:rPr>
            </w:pPr>
            <w:r>
              <w:rPr>
                <w:color w:val="000000"/>
                <w:sz w:val="16"/>
                <w:szCs w:val="16"/>
                <w:lang w:bidi="ar"/>
              </w:rPr>
              <w:t>其中：财政拨款</w:t>
            </w:r>
          </w:p>
        </w:tc>
        <w:tc>
          <w:tcPr>
            <w:tcW w:w="1644" w:type="dxa"/>
            <w:gridSpan w:val="2"/>
            <w:tcBorders>
              <w:top w:val="single" w:color="auto" w:sz="4" w:space="0"/>
              <w:left w:val="nil"/>
              <w:bottom w:val="single" w:color="auto" w:sz="4" w:space="0"/>
              <w:right w:val="single" w:color="auto" w:sz="4" w:space="0"/>
            </w:tcBorders>
            <w:noWrap/>
            <w:vAlign w:val="center"/>
          </w:tcPr>
          <w:p w14:paraId="0E43D4ED">
            <w:pPr>
              <w:ind w:firstLine="160" w:firstLineChars="100"/>
              <w:jc w:val="center"/>
              <w:rPr>
                <w:rFonts w:hint="default"/>
                <w:color w:val="000000"/>
                <w:sz w:val="16"/>
                <w:szCs w:val="16"/>
              </w:rPr>
            </w:pPr>
            <w:r>
              <w:rPr>
                <w:color w:val="000000"/>
                <w:sz w:val="16"/>
                <w:szCs w:val="16"/>
                <w:lang w:bidi="ar"/>
              </w:rPr>
              <w:t>19250735.83</w:t>
            </w:r>
          </w:p>
        </w:tc>
        <w:tc>
          <w:tcPr>
            <w:tcW w:w="1758" w:type="dxa"/>
            <w:gridSpan w:val="2"/>
            <w:tcBorders>
              <w:top w:val="single" w:color="auto" w:sz="4" w:space="0"/>
              <w:left w:val="nil"/>
              <w:bottom w:val="single" w:color="auto" w:sz="4" w:space="0"/>
              <w:right w:val="single" w:color="auto" w:sz="4" w:space="0"/>
            </w:tcBorders>
            <w:noWrap/>
            <w:vAlign w:val="center"/>
          </w:tcPr>
          <w:p w14:paraId="61252BE2">
            <w:pPr>
              <w:ind w:firstLine="160" w:firstLineChars="100"/>
              <w:jc w:val="center"/>
              <w:rPr>
                <w:rFonts w:hint="default"/>
                <w:color w:val="000000"/>
                <w:sz w:val="16"/>
                <w:szCs w:val="16"/>
              </w:rPr>
            </w:pPr>
            <w:r>
              <w:rPr>
                <w:color w:val="000000"/>
                <w:sz w:val="16"/>
                <w:szCs w:val="16"/>
                <w:lang w:bidi="ar"/>
              </w:rPr>
              <w:t>30969641.51</w:t>
            </w:r>
          </w:p>
        </w:tc>
        <w:tc>
          <w:tcPr>
            <w:tcW w:w="1752" w:type="dxa"/>
            <w:gridSpan w:val="2"/>
            <w:tcBorders>
              <w:top w:val="single" w:color="auto" w:sz="4" w:space="0"/>
              <w:left w:val="nil"/>
              <w:bottom w:val="single" w:color="auto" w:sz="4" w:space="0"/>
              <w:right w:val="single" w:color="auto" w:sz="4" w:space="0"/>
            </w:tcBorders>
            <w:noWrap/>
            <w:vAlign w:val="center"/>
          </w:tcPr>
          <w:p w14:paraId="4E580AF1">
            <w:pPr>
              <w:ind w:firstLine="160" w:firstLineChars="100"/>
              <w:jc w:val="center"/>
              <w:rPr>
                <w:rFonts w:hint="default"/>
                <w:color w:val="000000"/>
                <w:sz w:val="16"/>
                <w:szCs w:val="16"/>
              </w:rPr>
            </w:pPr>
            <w:r>
              <w:rPr>
                <w:color w:val="000000"/>
                <w:sz w:val="16"/>
                <w:szCs w:val="16"/>
                <w:lang w:bidi="ar"/>
              </w:rPr>
              <w:t>28094754.14</w:t>
            </w:r>
          </w:p>
        </w:tc>
        <w:tc>
          <w:tcPr>
            <w:tcW w:w="1455" w:type="dxa"/>
            <w:gridSpan w:val="2"/>
            <w:tcBorders>
              <w:top w:val="single" w:color="auto" w:sz="4" w:space="0"/>
              <w:left w:val="nil"/>
              <w:bottom w:val="single" w:color="auto" w:sz="4" w:space="0"/>
              <w:right w:val="single" w:color="auto" w:sz="4" w:space="0"/>
            </w:tcBorders>
            <w:noWrap/>
            <w:vAlign w:val="center"/>
          </w:tcPr>
          <w:p w14:paraId="7A7B93A5">
            <w:pPr>
              <w:ind w:firstLine="160" w:firstLineChars="100"/>
              <w:jc w:val="center"/>
              <w:rPr>
                <w:rFonts w:hint="default"/>
                <w:color w:val="000000"/>
                <w:sz w:val="16"/>
                <w:szCs w:val="16"/>
              </w:rPr>
            </w:pPr>
            <w:r>
              <w:rPr>
                <w:color w:val="000000"/>
                <w:sz w:val="16"/>
                <w:szCs w:val="16"/>
                <w:lang w:bidi="ar"/>
              </w:rPr>
              <w:t>90.71</w:t>
            </w:r>
          </w:p>
        </w:tc>
        <w:tc>
          <w:tcPr>
            <w:tcW w:w="1050" w:type="dxa"/>
            <w:tcBorders>
              <w:top w:val="nil"/>
              <w:left w:val="nil"/>
              <w:bottom w:val="single" w:color="auto" w:sz="4" w:space="0"/>
              <w:right w:val="single" w:color="auto" w:sz="4" w:space="0"/>
            </w:tcBorders>
            <w:noWrap/>
            <w:vAlign w:val="center"/>
          </w:tcPr>
          <w:p w14:paraId="6C428410">
            <w:pPr>
              <w:ind w:firstLine="160" w:firstLineChars="100"/>
              <w:jc w:val="center"/>
              <w:rPr>
                <w:rFonts w:hint="default"/>
                <w:sz w:val="16"/>
                <w:szCs w:val="16"/>
              </w:rPr>
            </w:pPr>
            <w:r>
              <w:rPr>
                <w:sz w:val="16"/>
                <w:szCs w:val="16"/>
                <w:lang w:bidi="ar"/>
              </w:rPr>
              <w:t>10</w:t>
            </w:r>
          </w:p>
        </w:tc>
        <w:tc>
          <w:tcPr>
            <w:tcW w:w="2704" w:type="dxa"/>
            <w:tcBorders>
              <w:top w:val="nil"/>
              <w:left w:val="nil"/>
              <w:bottom w:val="single" w:color="auto" w:sz="4" w:space="0"/>
              <w:right w:val="single" w:color="auto" w:sz="4" w:space="0"/>
            </w:tcBorders>
            <w:noWrap/>
            <w:vAlign w:val="center"/>
          </w:tcPr>
          <w:p w14:paraId="50AA9D25">
            <w:pPr>
              <w:jc w:val="center"/>
              <w:rPr>
                <w:rFonts w:hint="default"/>
                <w:sz w:val="16"/>
                <w:szCs w:val="16"/>
              </w:rPr>
            </w:pPr>
            <w:r>
              <w:rPr>
                <w:sz w:val="16"/>
                <w:szCs w:val="16"/>
                <w:lang w:bidi="ar"/>
              </w:rPr>
              <w:t>9.07</w:t>
            </w:r>
          </w:p>
        </w:tc>
      </w:tr>
      <w:tr w14:paraId="0E9753D1">
        <w:tblPrEx>
          <w:tblCellMar>
            <w:top w:w="0" w:type="dxa"/>
            <w:left w:w="108" w:type="dxa"/>
            <w:bottom w:w="0" w:type="dxa"/>
            <w:right w:w="108" w:type="dxa"/>
          </w:tblCellMar>
        </w:tblPrEx>
        <w:trPr>
          <w:trHeight w:val="400"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ign w:val="center"/>
          </w:tcPr>
          <w:p w14:paraId="60E50DE6">
            <w:pPr>
              <w:ind w:firstLine="160" w:firstLineChars="100"/>
              <w:jc w:val="center"/>
              <w:rPr>
                <w:rFonts w:hint="default"/>
                <w:color w:val="000000"/>
                <w:sz w:val="16"/>
                <w:szCs w:val="16"/>
                <w:lang w:bidi="ar"/>
              </w:rPr>
            </w:pPr>
            <w:r>
              <w:rPr>
                <w:color w:val="000000"/>
                <w:sz w:val="16"/>
                <w:szCs w:val="16"/>
                <w:lang w:bidi="ar"/>
              </w:rPr>
              <w:t>一般公共预算</w:t>
            </w:r>
          </w:p>
        </w:tc>
        <w:tc>
          <w:tcPr>
            <w:tcW w:w="1644" w:type="dxa"/>
            <w:gridSpan w:val="2"/>
            <w:tcBorders>
              <w:top w:val="single" w:color="auto" w:sz="4" w:space="0"/>
              <w:left w:val="nil"/>
              <w:bottom w:val="single" w:color="auto" w:sz="4" w:space="0"/>
              <w:right w:val="single" w:color="auto" w:sz="4" w:space="0"/>
            </w:tcBorders>
            <w:noWrap/>
            <w:vAlign w:val="center"/>
          </w:tcPr>
          <w:p w14:paraId="7DD46B22">
            <w:pPr>
              <w:ind w:firstLine="160" w:firstLineChars="100"/>
              <w:jc w:val="center"/>
              <w:rPr>
                <w:rFonts w:hint="default"/>
                <w:color w:val="000000"/>
                <w:sz w:val="16"/>
                <w:szCs w:val="16"/>
                <w:lang w:bidi="ar"/>
              </w:rPr>
            </w:pPr>
            <w:r>
              <w:rPr>
                <w:color w:val="000000"/>
                <w:sz w:val="16"/>
                <w:szCs w:val="16"/>
                <w:lang w:bidi="ar"/>
              </w:rPr>
              <w:t>18940933.83</w:t>
            </w:r>
          </w:p>
        </w:tc>
        <w:tc>
          <w:tcPr>
            <w:tcW w:w="1758" w:type="dxa"/>
            <w:gridSpan w:val="2"/>
            <w:tcBorders>
              <w:top w:val="single" w:color="auto" w:sz="4" w:space="0"/>
              <w:left w:val="nil"/>
              <w:bottom w:val="single" w:color="auto" w:sz="4" w:space="0"/>
              <w:right w:val="single" w:color="auto" w:sz="4" w:space="0"/>
            </w:tcBorders>
            <w:noWrap/>
            <w:vAlign w:val="center"/>
          </w:tcPr>
          <w:p w14:paraId="65FEDD7D">
            <w:pPr>
              <w:ind w:firstLine="160" w:firstLineChars="100"/>
              <w:jc w:val="center"/>
              <w:rPr>
                <w:rFonts w:hint="default"/>
                <w:color w:val="000000"/>
                <w:sz w:val="16"/>
                <w:szCs w:val="16"/>
                <w:lang w:bidi="ar"/>
              </w:rPr>
            </w:pPr>
            <w:r>
              <w:rPr>
                <w:color w:val="000000"/>
                <w:sz w:val="16"/>
                <w:szCs w:val="16"/>
                <w:lang w:bidi="ar"/>
              </w:rPr>
              <w:t>30381119.51</w:t>
            </w:r>
          </w:p>
        </w:tc>
        <w:tc>
          <w:tcPr>
            <w:tcW w:w="1752" w:type="dxa"/>
            <w:gridSpan w:val="2"/>
            <w:tcBorders>
              <w:top w:val="single" w:color="auto" w:sz="4" w:space="0"/>
              <w:left w:val="nil"/>
              <w:bottom w:val="single" w:color="auto" w:sz="4" w:space="0"/>
              <w:right w:val="single" w:color="auto" w:sz="4" w:space="0"/>
            </w:tcBorders>
            <w:noWrap/>
            <w:vAlign w:val="center"/>
          </w:tcPr>
          <w:p w14:paraId="4431CE6F">
            <w:pPr>
              <w:ind w:firstLine="160" w:firstLineChars="100"/>
              <w:jc w:val="center"/>
              <w:rPr>
                <w:rFonts w:hint="default"/>
                <w:color w:val="000000"/>
                <w:sz w:val="16"/>
                <w:szCs w:val="16"/>
                <w:lang w:bidi="ar"/>
              </w:rPr>
            </w:pPr>
            <w:r>
              <w:rPr>
                <w:color w:val="000000"/>
                <w:sz w:val="16"/>
                <w:szCs w:val="16"/>
                <w:lang w:bidi="ar"/>
              </w:rPr>
              <w:t>27606232.14</w:t>
            </w:r>
          </w:p>
        </w:tc>
        <w:tc>
          <w:tcPr>
            <w:tcW w:w="1455" w:type="dxa"/>
            <w:gridSpan w:val="2"/>
            <w:tcBorders>
              <w:top w:val="single" w:color="auto" w:sz="4" w:space="0"/>
              <w:left w:val="nil"/>
              <w:bottom w:val="single" w:color="auto" w:sz="4" w:space="0"/>
              <w:right w:val="single" w:color="auto" w:sz="4" w:space="0"/>
            </w:tcBorders>
            <w:noWrap/>
            <w:vAlign w:val="center"/>
          </w:tcPr>
          <w:p w14:paraId="2D0336E1">
            <w:pPr>
              <w:ind w:firstLine="160" w:firstLineChars="100"/>
              <w:jc w:val="center"/>
              <w:rPr>
                <w:rFonts w:hint="default"/>
                <w:color w:val="000000"/>
                <w:sz w:val="16"/>
                <w:szCs w:val="16"/>
                <w:lang w:bidi="ar"/>
              </w:rPr>
            </w:pPr>
            <w:r>
              <w:rPr>
                <w:color w:val="000000"/>
                <w:sz w:val="16"/>
                <w:szCs w:val="16"/>
                <w:lang w:bidi="ar"/>
              </w:rPr>
              <w:t>90.86</w:t>
            </w:r>
          </w:p>
        </w:tc>
        <w:tc>
          <w:tcPr>
            <w:tcW w:w="1050" w:type="dxa"/>
            <w:tcBorders>
              <w:top w:val="nil"/>
              <w:left w:val="nil"/>
              <w:bottom w:val="single" w:color="auto" w:sz="4" w:space="0"/>
              <w:right w:val="single" w:color="auto" w:sz="4" w:space="0"/>
            </w:tcBorders>
            <w:noWrap/>
            <w:vAlign w:val="center"/>
          </w:tcPr>
          <w:p w14:paraId="01940AE3">
            <w:pPr>
              <w:ind w:firstLine="160" w:firstLineChars="100"/>
              <w:jc w:val="center"/>
              <w:rPr>
                <w:rFonts w:hint="default"/>
                <w:sz w:val="16"/>
                <w:szCs w:val="16"/>
                <w:lang w:bidi="ar"/>
              </w:rPr>
            </w:pPr>
          </w:p>
        </w:tc>
        <w:tc>
          <w:tcPr>
            <w:tcW w:w="2704" w:type="dxa"/>
            <w:tcBorders>
              <w:top w:val="nil"/>
              <w:left w:val="nil"/>
              <w:bottom w:val="single" w:color="auto" w:sz="4" w:space="0"/>
              <w:right w:val="single" w:color="auto" w:sz="4" w:space="0"/>
            </w:tcBorders>
            <w:noWrap/>
            <w:vAlign w:val="center"/>
          </w:tcPr>
          <w:p w14:paraId="5E63120F">
            <w:pPr>
              <w:ind w:firstLine="160" w:firstLineChars="100"/>
              <w:jc w:val="center"/>
              <w:rPr>
                <w:rFonts w:hint="default"/>
                <w:sz w:val="16"/>
                <w:szCs w:val="16"/>
                <w:lang w:bidi="ar"/>
              </w:rPr>
            </w:pPr>
          </w:p>
        </w:tc>
      </w:tr>
      <w:tr w14:paraId="55CDE5F8">
        <w:tblPrEx>
          <w:tblCellMar>
            <w:top w:w="0" w:type="dxa"/>
            <w:left w:w="108" w:type="dxa"/>
            <w:bottom w:w="0" w:type="dxa"/>
            <w:right w:w="108" w:type="dxa"/>
          </w:tblCellMar>
        </w:tblPrEx>
        <w:trPr>
          <w:trHeight w:val="600" w:hRule="atLeast"/>
          <w:jc w:val="center"/>
        </w:trPr>
        <w:tc>
          <w:tcPr>
            <w:tcW w:w="13595" w:type="dxa"/>
            <w:gridSpan w:val="12"/>
            <w:tcBorders>
              <w:top w:val="single" w:color="auto" w:sz="4" w:space="0"/>
              <w:left w:val="single" w:color="auto" w:sz="4" w:space="0"/>
              <w:bottom w:val="single" w:color="auto" w:sz="4" w:space="0"/>
              <w:right w:val="single" w:color="auto" w:sz="4" w:space="0"/>
            </w:tcBorders>
            <w:noWrap/>
            <w:vAlign w:val="center"/>
          </w:tcPr>
          <w:p w14:paraId="53BB61DF">
            <w:pPr>
              <w:jc w:val="center"/>
              <w:rPr>
                <w:rFonts w:hint="default" w:eastAsia="微软雅黑"/>
                <w:b/>
                <w:bCs/>
                <w:color w:val="808080"/>
                <w:sz w:val="28"/>
                <w:szCs w:val="28"/>
              </w:rPr>
            </w:pPr>
            <w:r>
              <w:rPr>
                <w:rFonts w:eastAsia="微软雅黑"/>
                <w:b/>
                <w:bCs/>
                <w:color w:val="808080"/>
                <w:lang w:bidi="ar"/>
              </w:rPr>
              <w:t>绩效目标</w:t>
            </w:r>
          </w:p>
        </w:tc>
      </w:tr>
      <w:tr w14:paraId="0173035E">
        <w:tblPrEx>
          <w:tblCellMar>
            <w:top w:w="0" w:type="dxa"/>
            <w:left w:w="108" w:type="dxa"/>
            <w:bottom w:w="0" w:type="dxa"/>
            <w:right w:w="108" w:type="dxa"/>
          </w:tblCellMar>
        </w:tblPrEx>
        <w:trPr>
          <w:trHeight w:val="499" w:hRule="atLeast"/>
          <w:jc w:val="center"/>
        </w:trPr>
        <w:tc>
          <w:tcPr>
            <w:tcW w:w="4876" w:type="dxa"/>
            <w:gridSpan w:val="4"/>
            <w:tcBorders>
              <w:top w:val="single" w:color="auto" w:sz="4" w:space="0"/>
              <w:left w:val="single" w:color="auto" w:sz="4" w:space="0"/>
              <w:bottom w:val="single" w:color="auto" w:sz="4" w:space="0"/>
              <w:right w:val="single" w:color="auto" w:sz="4" w:space="0"/>
            </w:tcBorders>
            <w:noWrap/>
            <w:vAlign w:val="center"/>
          </w:tcPr>
          <w:p w14:paraId="1395E19F">
            <w:pPr>
              <w:jc w:val="center"/>
              <w:rPr>
                <w:rFonts w:hint="default"/>
                <w:b/>
                <w:bCs/>
                <w:color w:val="000000"/>
                <w:sz w:val="16"/>
                <w:szCs w:val="16"/>
              </w:rPr>
            </w:pPr>
            <w:r>
              <w:rPr>
                <w:b/>
                <w:bCs/>
                <w:color w:val="000000"/>
                <w:sz w:val="16"/>
                <w:szCs w:val="16"/>
                <w:lang w:bidi="ar"/>
              </w:rPr>
              <w:t>年初绩效目标</w:t>
            </w:r>
          </w:p>
        </w:tc>
        <w:tc>
          <w:tcPr>
            <w:tcW w:w="3510" w:type="dxa"/>
            <w:gridSpan w:val="4"/>
            <w:tcBorders>
              <w:top w:val="single" w:color="auto" w:sz="4" w:space="0"/>
              <w:left w:val="nil"/>
              <w:bottom w:val="single" w:color="auto" w:sz="4" w:space="0"/>
              <w:right w:val="single" w:color="auto" w:sz="4" w:space="0"/>
            </w:tcBorders>
            <w:noWrap/>
            <w:vAlign w:val="center"/>
          </w:tcPr>
          <w:p w14:paraId="4FE8E885">
            <w:pPr>
              <w:jc w:val="center"/>
              <w:rPr>
                <w:rFonts w:hint="default"/>
                <w:b/>
                <w:bCs/>
                <w:color w:val="000000"/>
                <w:sz w:val="16"/>
                <w:szCs w:val="16"/>
              </w:rPr>
            </w:pPr>
            <w:r>
              <w:rPr>
                <w:b/>
                <w:bCs/>
                <w:color w:val="000000"/>
                <w:sz w:val="16"/>
                <w:szCs w:val="16"/>
                <w:lang w:bidi="ar"/>
              </w:rPr>
              <w:t>全年（调整）绩效目标</w:t>
            </w:r>
          </w:p>
        </w:tc>
        <w:tc>
          <w:tcPr>
            <w:tcW w:w="5209" w:type="dxa"/>
            <w:gridSpan w:val="4"/>
            <w:tcBorders>
              <w:top w:val="single" w:color="auto" w:sz="4" w:space="0"/>
              <w:left w:val="nil"/>
              <w:bottom w:val="single" w:color="auto" w:sz="4" w:space="0"/>
              <w:right w:val="single" w:color="auto" w:sz="4" w:space="0"/>
            </w:tcBorders>
            <w:noWrap/>
            <w:vAlign w:val="center"/>
          </w:tcPr>
          <w:p w14:paraId="7C0BA5FA">
            <w:pPr>
              <w:jc w:val="center"/>
              <w:rPr>
                <w:rFonts w:hint="default"/>
                <w:b/>
                <w:bCs/>
                <w:color w:val="000000"/>
                <w:sz w:val="16"/>
                <w:szCs w:val="16"/>
              </w:rPr>
            </w:pPr>
            <w:r>
              <w:rPr>
                <w:b/>
                <w:bCs/>
                <w:color w:val="000000"/>
                <w:sz w:val="16"/>
                <w:szCs w:val="16"/>
                <w:lang w:bidi="ar"/>
              </w:rPr>
              <w:t>全年目标实际完成情况</w:t>
            </w:r>
          </w:p>
        </w:tc>
      </w:tr>
      <w:tr w14:paraId="0BA31F24">
        <w:tblPrEx>
          <w:tblCellMar>
            <w:top w:w="0" w:type="dxa"/>
            <w:left w:w="108" w:type="dxa"/>
            <w:bottom w:w="0" w:type="dxa"/>
            <w:right w:w="108" w:type="dxa"/>
          </w:tblCellMar>
        </w:tblPrEx>
        <w:trPr>
          <w:trHeight w:val="1602" w:hRule="atLeast"/>
          <w:jc w:val="center"/>
        </w:trPr>
        <w:tc>
          <w:tcPr>
            <w:tcW w:w="4876" w:type="dxa"/>
            <w:gridSpan w:val="4"/>
            <w:tcBorders>
              <w:top w:val="single" w:color="auto" w:sz="4" w:space="0"/>
              <w:left w:val="single" w:color="auto" w:sz="4" w:space="0"/>
              <w:bottom w:val="single" w:color="auto" w:sz="4" w:space="0"/>
              <w:right w:val="single" w:color="auto" w:sz="4" w:space="0"/>
            </w:tcBorders>
          </w:tcPr>
          <w:p w14:paraId="694405EB">
            <w:pPr>
              <w:rPr>
                <w:rFonts w:hint="default"/>
                <w:color w:val="000000"/>
                <w:sz w:val="16"/>
                <w:szCs w:val="16"/>
              </w:rPr>
            </w:pPr>
            <w:r>
              <w:rPr>
                <w:color w:val="000000"/>
                <w:sz w:val="16"/>
                <w:szCs w:val="16"/>
                <w:lang w:bidi="ar"/>
              </w:rPr>
              <w:t>主要负责经济发展规划、农村经营管理、经济社会统计、扶贫开发、乡村振兴等职责；主要负责民政、教育、文化、体育、社会救助、残疾人事业、劳动就业、社会保障，统筹负责卫生、计生、老龄事业发展等职责；统筹负责信访、社会治安综合治理、防范和处理邪教等职责；主要负责村镇规划、村镇建设、市政公用、市容环卫、环境保护、河长制等职责；主要负责财政收支、预决算、总会计、惠农资金兑付、财政资金监督检查、绩效评价、村级财务管理等职责；统筹负责安全生产综合监管、应急管理、消防管理等职责；主要承担农技、农机、林业、水利水保、水产、畜牧兽医等方面的技术推广、信息、资源环境保护、灾害防治、水利工程等服务工作；主要承担文化、宣传、广播电视、体育、乡村旅游、科技培训等方面服务工作；负责辖区内退役军人保障服务工作，做好关系转接、信息采集、情况反映、慰问帮扶等工作；主要承担失业人员就业培训、职业介绍、就业创业指导、就业再就业小额贷款推荐审核等管理服务工作；负责养老保险、失业保险、城乡居民医疗保险等社会保险管理服务工作；做好农村五保供养对象服务以及劳动就业和社会保障其他方面的服务工作；根据授权或委托，承担辖区范围内集中行使农林水利、规划建设、市政管理、环境保护、卫生计生、文化旅游、民政管理等领域的行政处罚权。</w:t>
            </w:r>
          </w:p>
        </w:tc>
        <w:tc>
          <w:tcPr>
            <w:tcW w:w="3510" w:type="dxa"/>
            <w:gridSpan w:val="4"/>
            <w:tcBorders>
              <w:top w:val="single" w:color="auto" w:sz="4" w:space="0"/>
              <w:left w:val="nil"/>
              <w:bottom w:val="single" w:color="auto" w:sz="4" w:space="0"/>
              <w:right w:val="single" w:color="auto" w:sz="4" w:space="0"/>
            </w:tcBorders>
          </w:tcPr>
          <w:p w14:paraId="1EC1EA06">
            <w:pPr>
              <w:rPr>
                <w:rFonts w:hint="default"/>
                <w:color w:val="000000"/>
                <w:sz w:val="16"/>
                <w:szCs w:val="16"/>
              </w:rPr>
            </w:pPr>
            <w:r>
              <w:rPr>
                <w:color w:val="000000"/>
                <w:sz w:val="16"/>
                <w:szCs w:val="16"/>
                <w:lang w:bidi="ar"/>
              </w:rPr>
              <w:t>　</w:t>
            </w:r>
          </w:p>
        </w:tc>
        <w:tc>
          <w:tcPr>
            <w:tcW w:w="5209" w:type="dxa"/>
            <w:gridSpan w:val="4"/>
            <w:tcBorders>
              <w:top w:val="single" w:color="auto" w:sz="4" w:space="0"/>
              <w:left w:val="nil"/>
              <w:bottom w:val="single" w:color="auto" w:sz="4" w:space="0"/>
              <w:right w:val="single" w:color="auto" w:sz="4" w:space="0"/>
            </w:tcBorders>
          </w:tcPr>
          <w:p w14:paraId="44B3DE5C">
            <w:pPr>
              <w:rPr>
                <w:rFonts w:hint="default"/>
                <w:color w:val="000000"/>
                <w:sz w:val="16"/>
                <w:szCs w:val="16"/>
              </w:rPr>
            </w:pPr>
            <w:r>
              <w:rPr>
                <w:color w:val="000000"/>
                <w:sz w:val="16"/>
                <w:szCs w:val="16"/>
                <w:lang w:bidi="ar"/>
              </w:rPr>
              <w:t>全镇经济社会工作完成全年工作任务，主要负责经济发展规划、农村经营管理、经济社会统计、扶贫开发、乡村振兴等职责；主要负责民政、教育、文化、体育、社会救助、残疾人事业、劳动就业、社会保障，统筹负责卫生、计生、老龄事业发展等职责；统筹负责信访、社会治安综合治理、防范和处理邪教等职责；主要负责村镇规划、村镇建设、市政公用、市容环卫、环境保护、河长制等职责；主要负责财政收支、预决算、总会计、惠农资金兑付、财政资金监督检查、绩效评价、村级财务管理等职责；统筹负责安全生产综合监管、应急管理、消防管理等职责；主要承担农技、农机、林业、水利水保、水产、畜牧兽医等方面的技术推广、信息、资源环境保护、灾害防治、水利工程等服务工作；主要承担文化、宣传、广播电视、体育、乡村旅游、科技培训等方面服务工作；负责辖区内退役军人保障服务工作，做好关系转接、信息采集、情况反映、慰问帮扶等工作；主要承担失业人员就业培训、职业介绍、就业创业指导、就业再就业小额贷款推荐审核等管理服务工作；负责养老保险、失业保险、城乡居民医疗保险等社会保险管理服务工作；做好农村五保供养对象服务以及劳动就业和社会保障其他方面的服务工作；根据授权或委托，承担辖区范围内集中行使农林水利、规划建设、市政管理、环境保护、卫生计生、文化旅游、民政管理等领域的行政处罚权。</w:t>
            </w:r>
          </w:p>
        </w:tc>
      </w:tr>
      <w:tr w14:paraId="4720AE02">
        <w:tblPrEx>
          <w:tblCellMar>
            <w:top w:w="0" w:type="dxa"/>
            <w:left w:w="108" w:type="dxa"/>
            <w:bottom w:w="0" w:type="dxa"/>
            <w:right w:w="108" w:type="dxa"/>
          </w:tblCellMar>
        </w:tblPrEx>
        <w:trPr>
          <w:trHeight w:val="600" w:hRule="atLeast"/>
          <w:jc w:val="center"/>
        </w:trPr>
        <w:tc>
          <w:tcPr>
            <w:tcW w:w="13595" w:type="dxa"/>
            <w:gridSpan w:val="12"/>
            <w:tcBorders>
              <w:top w:val="single" w:color="auto" w:sz="4" w:space="0"/>
              <w:left w:val="single" w:color="auto" w:sz="4" w:space="0"/>
              <w:bottom w:val="single" w:color="auto" w:sz="4" w:space="0"/>
              <w:right w:val="single" w:color="auto" w:sz="4" w:space="0"/>
            </w:tcBorders>
            <w:noWrap/>
            <w:vAlign w:val="center"/>
          </w:tcPr>
          <w:p w14:paraId="52387508">
            <w:pPr>
              <w:jc w:val="center"/>
              <w:rPr>
                <w:rFonts w:hint="default" w:eastAsia="微软雅黑"/>
                <w:b/>
                <w:bCs/>
                <w:color w:val="808080"/>
                <w:sz w:val="28"/>
                <w:szCs w:val="28"/>
              </w:rPr>
            </w:pPr>
            <w:r>
              <w:rPr>
                <w:rFonts w:eastAsia="微软雅黑"/>
                <w:b/>
                <w:bCs/>
                <w:color w:val="808080"/>
                <w:lang w:bidi="ar"/>
              </w:rPr>
              <w:t>绩效指标</w:t>
            </w:r>
          </w:p>
        </w:tc>
      </w:tr>
      <w:tr w14:paraId="13512849">
        <w:tblPrEx>
          <w:tblCellMar>
            <w:top w:w="0" w:type="dxa"/>
            <w:left w:w="108" w:type="dxa"/>
            <w:bottom w:w="0" w:type="dxa"/>
            <w:right w:w="108" w:type="dxa"/>
          </w:tblCellMar>
        </w:tblPrEx>
        <w:trPr>
          <w:trHeight w:val="499" w:hRule="atLeast"/>
          <w:jc w:val="center"/>
        </w:trPr>
        <w:tc>
          <w:tcPr>
            <w:tcW w:w="2646" w:type="dxa"/>
            <w:tcBorders>
              <w:top w:val="nil"/>
              <w:left w:val="single" w:color="auto" w:sz="4" w:space="0"/>
              <w:bottom w:val="single" w:color="auto" w:sz="4" w:space="0"/>
              <w:right w:val="single" w:color="auto" w:sz="4" w:space="0"/>
            </w:tcBorders>
            <w:noWrap/>
            <w:vAlign w:val="center"/>
          </w:tcPr>
          <w:p w14:paraId="53442D1E">
            <w:pPr>
              <w:jc w:val="center"/>
              <w:rPr>
                <w:rFonts w:hint="default"/>
                <w:b/>
                <w:bCs/>
                <w:color w:val="000000"/>
                <w:sz w:val="16"/>
                <w:szCs w:val="16"/>
              </w:rPr>
            </w:pPr>
            <w:r>
              <w:rPr>
                <w:b/>
                <w:bCs/>
                <w:color w:val="000000"/>
                <w:sz w:val="16"/>
                <w:szCs w:val="16"/>
                <w:lang w:bidi="ar"/>
              </w:rPr>
              <w:t>指标</w:t>
            </w:r>
          </w:p>
          <w:p w14:paraId="4B79B118">
            <w:pPr>
              <w:jc w:val="center"/>
              <w:rPr>
                <w:rFonts w:hint="default"/>
                <w:b/>
                <w:bCs/>
                <w:color w:val="000000"/>
                <w:sz w:val="16"/>
                <w:szCs w:val="16"/>
              </w:rPr>
            </w:pPr>
            <w:r>
              <w:rPr>
                <w:b/>
                <w:bCs/>
                <w:color w:val="000000"/>
                <w:sz w:val="16"/>
                <w:szCs w:val="16"/>
                <w:lang w:bidi="ar"/>
              </w:rPr>
              <w:t>名称</w:t>
            </w:r>
          </w:p>
        </w:tc>
        <w:tc>
          <w:tcPr>
            <w:tcW w:w="586" w:type="dxa"/>
            <w:tcBorders>
              <w:top w:val="nil"/>
              <w:left w:val="nil"/>
              <w:bottom w:val="single" w:color="auto" w:sz="4" w:space="0"/>
              <w:right w:val="single" w:color="auto" w:sz="4" w:space="0"/>
            </w:tcBorders>
            <w:noWrap/>
            <w:vAlign w:val="center"/>
          </w:tcPr>
          <w:p w14:paraId="6C13B458">
            <w:pPr>
              <w:jc w:val="center"/>
              <w:rPr>
                <w:rFonts w:hint="default"/>
                <w:b/>
                <w:bCs/>
                <w:color w:val="000000"/>
                <w:sz w:val="16"/>
                <w:szCs w:val="16"/>
              </w:rPr>
            </w:pPr>
            <w:r>
              <w:rPr>
                <w:b/>
                <w:bCs/>
                <w:color w:val="000000"/>
                <w:sz w:val="16"/>
                <w:szCs w:val="16"/>
                <w:lang w:bidi="ar"/>
              </w:rPr>
              <w:t>计量单位</w:t>
            </w:r>
          </w:p>
        </w:tc>
        <w:tc>
          <w:tcPr>
            <w:tcW w:w="850" w:type="dxa"/>
            <w:tcBorders>
              <w:top w:val="nil"/>
              <w:left w:val="nil"/>
              <w:bottom w:val="single" w:color="auto" w:sz="4" w:space="0"/>
              <w:right w:val="single" w:color="auto" w:sz="4" w:space="0"/>
            </w:tcBorders>
            <w:noWrap/>
            <w:vAlign w:val="center"/>
          </w:tcPr>
          <w:p w14:paraId="2E6C6749">
            <w:pPr>
              <w:jc w:val="center"/>
              <w:rPr>
                <w:rFonts w:hint="default"/>
                <w:b/>
                <w:bCs/>
                <w:color w:val="000000"/>
                <w:sz w:val="16"/>
                <w:szCs w:val="16"/>
              </w:rPr>
            </w:pPr>
            <w:r>
              <w:rPr>
                <w:b/>
                <w:bCs/>
                <w:color w:val="000000"/>
                <w:sz w:val="16"/>
                <w:szCs w:val="16"/>
                <w:lang w:bidi="ar"/>
              </w:rPr>
              <w:t>指标</w:t>
            </w:r>
          </w:p>
          <w:p w14:paraId="3B0F2BFB">
            <w:pPr>
              <w:jc w:val="center"/>
              <w:rPr>
                <w:rFonts w:hint="default"/>
                <w:b/>
                <w:bCs/>
                <w:color w:val="000000"/>
                <w:sz w:val="16"/>
                <w:szCs w:val="16"/>
              </w:rPr>
            </w:pPr>
            <w:r>
              <w:rPr>
                <w:b/>
                <w:bCs/>
                <w:color w:val="000000"/>
                <w:sz w:val="16"/>
                <w:szCs w:val="16"/>
                <w:lang w:bidi="ar"/>
              </w:rPr>
              <w:t>性质</w:t>
            </w:r>
          </w:p>
        </w:tc>
        <w:tc>
          <w:tcPr>
            <w:tcW w:w="794" w:type="dxa"/>
            <w:tcBorders>
              <w:top w:val="nil"/>
              <w:left w:val="nil"/>
              <w:bottom w:val="single" w:color="auto" w:sz="4" w:space="0"/>
              <w:right w:val="single" w:color="auto" w:sz="4" w:space="0"/>
            </w:tcBorders>
            <w:noWrap/>
            <w:vAlign w:val="center"/>
          </w:tcPr>
          <w:p w14:paraId="30C470F4">
            <w:pPr>
              <w:jc w:val="center"/>
              <w:rPr>
                <w:rFonts w:hint="default"/>
                <w:b/>
                <w:bCs/>
                <w:color w:val="000000"/>
                <w:sz w:val="16"/>
                <w:szCs w:val="16"/>
              </w:rPr>
            </w:pPr>
            <w:r>
              <w:rPr>
                <w:b/>
                <w:bCs/>
                <w:color w:val="000000"/>
                <w:sz w:val="16"/>
                <w:szCs w:val="16"/>
                <w:lang w:bidi="ar"/>
              </w:rPr>
              <w:t>指标值</w:t>
            </w:r>
          </w:p>
        </w:tc>
        <w:tc>
          <w:tcPr>
            <w:tcW w:w="827" w:type="dxa"/>
            <w:tcBorders>
              <w:top w:val="nil"/>
              <w:left w:val="nil"/>
              <w:bottom w:val="single" w:color="auto" w:sz="4" w:space="0"/>
              <w:right w:val="single" w:color="auto" w:sz="4" w:space="0"/>
            </w:tcBorders>
            <w:noWrap/>
            <w:vAlign w:val="center"/>
          </w:tcPr>
          <w:p w14:paraId="2BD3188A">
            <w:pPr>
              <w:jc w:val="center"/>
              <w:rPr>
                <w:rFonts w:hint="default"/>
                <w:b/>
                <w:bCs/>
                <w:color w:val="000000"/>
                <w:sz w:val="16"/>
                <w:szCs w:val="16"/>
              </w:rPr>
            </w:pPr>
            <w:r>
              <w:rPr>
                <w:b/>
                <w:bCs/>
                <w:color w:val="000000"/>
                <w:sz w:val="16"/>
                <w:szCs w:val="16"/>
                <w:lang w:bidi="ar"/>
              </w:rPr>
              <w:t>全年完成值</w:t>
            </w:r>
          </w:p>
        </w:tc>
        <w:tc>
          <w:tcPr>
            <w:tcW w:w="931" w:type="dxa"/>
            <w:tcBorders>
              <w:top w:val="nil"/>
              <w:left w:val="nil"/>
              <w:bottom w:val="single" w:color="auto" w:sz="4" w:space="0"/>
              <w:right w:val="single" w:color="auto" w:sz="4" w:space="0"/>
            </w:tcBorders>
            <w:noWrap/>
            <w:vAlign w:val="center"/>
          </w:tcPr>
          <w:p w14:paraId="4A69DD82">
            <w:pPr>
              <w:jc w:val="center"/>
              <w:rPr>
                <w:rFonts w:hint="default"/>
                <w:b/>
                <w:bCs/>
                <w:color w:val="000000"/>
                <w:sz w:val="16"/>
                <w:szCs w:val="16"/>
              </w:rPr>
            </w:pPr>
            <w:r>
              <w:rPr>
                <w:b/>
                <w:bCs/>
                <w:color w:val="000000"/>
                <w:sz w:val="16"/>
                <w:szCs w:val="16"/>
                <w:lang w:bidi="ar"/>
              </w:rPr>
              <w:t>偏离度（%）</w:t>
            </w:r>
          </w:p>
        </w:tc>
        <w:tc>
          <w:tcPr>
            <w:tcW w:w="1043" w:type="dxa"/>
            <w:tcBorders>
              <w:top w:val="nil"/>
              <w:left w:val="nil"/>
              <w:bottom w:val="single" w:color="auto" w:sz="4" w:space="0"/>
              <w:right w:val="single" w:color="auto" w:sz="4" w:space="0"/>
            </w:tcBorders>
            <w:noWrap/>
            <w:vAlign w:val="center"/>
          </w:tcPr>
          <w:p w14:paraId="419DE7E4">
            <w:pPr>
              <w:jc w:val="center"/>
              <w:rPr>
                <w:rFonts w:hint="default"/>
                <w:b/>
                <w:bCs/>
                <w:color w:val="000000"/>
                <w:sz w:val="16"/>
                <w:szCs w:val="16"/>
              </w:rPr>
            </w:pPr>
            <w:r>
              <w:rPr>
                <w:b/>
                <w:bCs/>
                <w:color w:val="000000"/>
                <w:sz w:val="16"/>
                <w:szCs w:val="16"/>
                <w:lang w:bidi="ar"/>
              </w:rPr>
              <w:t>得分系数（%）</w:t>
            </w:r>
          </w:p>
        </w:tc>
        <w:tc>
          <w:tcPr>
            <w:tcW w:w="709" w:type="dxa"/>
            <w:tcBorders>
              <w:top w:val="nil"/>
              <w:left w:val="nil"/>
              <w:bottom w:val="single" w:color="auto" w:sz="4" w:space="0"/>
              <w:right w:val="single" w:color="auto" w:sz="4" w:space="0"/>
            </w:tcBorders>
            <w:noWrap/>
            <w:vAlign w:val="center"/>
          </w:tcPr>
          <w:p w14:paraId="7FDA309B">
            <w:pPr>
              <w:jc w:val="center"/>
              <w:rPr>
                <w:rFonts w:hint="default"/>
                <w:b/>
                <w:bCs/>
                <w:color w:val="000000"/>
                <w:sz w:val="16"/>
                <w:szCs w:val="16"/>
              </w:rPr>
            </w:pPr>
            <w:r>
              <w:rPr>
                <w:b/>
                <w:bCs/>
                <w:color w:val="000000"/>
                <w:sz w:val="16"/>
                <w:szCs w:val="16"/>
                <w:lang w:bidi="ar"/>
              </w:rPr>
              <w:t>指标</w:t>
            </w:r>
          </w:p>
          <w:p w14:paraId="64E9E38C">
            <w:pPr>
              <w:jc w:val="center"/>
              <w:rPr>
                <w:rFonts w:hint="default"/>
                <w:b/>
                <w:bCs/>
                <w:color w:val="000000"/>
                <w:sz w:val="16"/>
                <w:szCs w:val="16"/>
              </w:rPr>
            </w:pPr>
            <w:r>
              <w:rPr>
                <w:b/>
                <w:bCs/>
                <w:color w:val="000000"/>
                <w:sz w:val="16"/>
                <w:szCs w:val="16"/>
                <w:lang w:bidi="ar"/>
              </w:rPr>
              <w:t>权重</w:t>
            </w:r>
          </w:p>
        </w:tc>
        <w:tc>
          <w:tcPr>
            <w:tcW w:w="495" w:type="dxa"/>
            <w:tcBorders>
              <w:top w:val="nil"/>
              <w:left w:val="nil"/>
              <w:bottom w:val="single" w:color="auto" w:sz="4" w:space="0"/>
              <w:right w:val="single" w:color="auto" w:sz="4" w:space="0"/>
            </w:tcBorders>
            <w:noWrap/>
            <w:vAlign w:val="center"/>
          </w:tcPr>
          <w:p w14:paraId="36DBA2C1">
            <w:pPr>
              <w:jc w:val="center"/>
              <w:rPr>
                <w:rFonts w:hint="default"/>
                <w:b/>
                <w:bCs/>
                <w:color w:val="000000"/>
                <w:sz w:val="16"/>
                <w:szCs w:val="16"/>
              </w:rPr>
            </w:pPr>
            <w:r>
              <w:rPr>
                <w:b/>
                <w:bCs/>
                <w:color w:val="000000"/>
                <w:sz w:val="16"/>
                <w:szCs w:val="16"/>
                <w:lang w:bidi="ar"/>
              </w:rPr>
              <w:t>指标</w:t>
            </w:r>
          </w:p>
          <w:p w14:paraId="40F53B7B">
            <w:pPr>
              <w:jc w:val="center"/>
              <w:rPr>
                <w:rFonts w:hint="default"/>
                <w:b/>
                <w:bCs/>
                <w:color w:val="000000"/>
                <w:sz w:val="16"/>
                <w:szCs w:val="16"/>
              </w:rPr>
            </w:pPr>
            <w:r>
              <w:rPr>
                <w:b/>
                <w:bCs/>
                <w:color w:val="000000"/>
                <w:sz w:val="16"/>
                <w:szCs w:val="16"/>
                <w:lang w:bidi="ar"/>
              </w:rPr>
              <w:t>得分</w:t>
            </w:r>
          </w:p>
        </w:tc>
        <w:tc>
          <w:tcPr>
            <w:tcW w:w="960" w:type="dxa"/>
            <w:tcBorders>
              <w:top w:val="nil"/>
              <w:left w:val="nil"/>
              <w:bottom w:val="single" w:color="auto" w:sz="4" w:space="0"/>
              <w:right w:val="single" w:color="auto" w:sz="4" w:space="0"/>
            </w:tcBorders>
            <w:noWrap/>
            <w:vAlign w:val="center"/>
          </w:tcPr>
          <w:p w14:paraId="4CBCC972">
            <w:pPr>
              <w:jc w:val="center"/>
              <w:rPr>
                <w:rFonts w:hint="default"/>
                <w:b/>
                <w:bCs/>
                <w:color w:val="000000"/>
                <w:sz w:val="16"/>
                <w:szCs w:val="16"/>
              </w:rPr>
            </w:pPr>
            <w:r>
              <w:rPr>
                <w:b/>
                <w:bCs/>
                <w:color w:val="000000"/>
                <w:sz w:val="16"/>
                <w:szCs w:val="16"/>
                <w:lang w:bidi="ar"/>
              </w:rPr>
              <w:t>是否核心指标</w:t>
            </w:r>
          </w:p>
        </w:tc>
        <w:tc>
          <w:tcPr>
            <w:tcW w:w="3754" w:type="dxa"/>
            <w:gridSpan w:val="2"/>
            <w:tcBorders>
              <w:top w:val="single" w:color="auto" w:sz="4" w:space="0"/>
              <w:left w:val="nil"/>
              <w:bottom w:val="single" w:color="auto" w:sz="4" w:space="0"/>
              <w:right w:val="single" w:color="000000" w:sz="4" w:space="0"/>
            </w:tcBorders>
            <w:noWrap/>
            <w:vAlign w:val="center"/>
          </w:tcPr>
          <w:p w14:paraId="24EECA58">
            <w:pPr>
              <w:jc w:val="center"/>
              <w:rPr>
                <w:rFonts w:hint="default"/>
                <w:b/>
                <w:bCs/>
                <w:color w:val="000000"/>
                <w:sz w:val="16"/>
                <w:szCs w:val="16"/>
              </w:rPr>
            </w:pPr>
            <w:r>
              <w:rPr>
                <w:b/>
                <w:bCs/>
                <w:color w:val="000000"/>
                <w:sz w:val="16"/>
                <w:szCs w:val="16"/>
                <w:lang w:bidi="ar"/>
              </w:rPr>
              <w:t>说明</w:t>
            </w:r>
          </w:p>
        </w:tc>
      </w:tr>
      <w:tr w14:paraId="50E5EBAE">
        <w:tblPrEx>
          <w:tblCellMar>
            <w:top w:w="0" w:type="dxa"/>
            <w:left w:w="108" w:type="dxa"/>
            <w:bottom w:w="0" w:type="dxa"/>
            <w:right w:w="108" w:type="dxa"/>
          </w:tblCellMar>
        </w:tblPrEx>
        <w:trPr>
          <w:trHeight w:val="1476" w:hRule="atLeast"/>
          <w:jc w:val="center"/>
        </w:trPr>
        <w:tc>
          <w:tcPr>
            <w:tcW w:w="2646" w:type="dxa"/>
            <w:tcBorders>
              <w:top w:val="nil"/>
              <w:left w:val="single" w:color="auto" w:sz="4" w:space="0"/>
              <w:bottom w:val="single" w:color="auto" w:sz="4" w:space="0"/>
              <w:right w:val="single" w:color="auto" w:sz="4" w:space="0"/>
            </w:tcBorders>
            <w:noWrap/>
            <w:vAlign w:val="center"/>
          </w:tcPr>
          <w:p w14:paraId="37B4B1B8">
            <w:pPr>
              <w:ind w:firstLine="160" w:firstLineChars="100"/>
              <w:jc w:val="center"/>
              <w:rPr>
                <w:rFonts w:hint="default"/>
                <w:color w:val="000000"/>
                <w:sz w:val="16"/>
                <w:szCs w:val="16"/>
                <w:lang w:bidi="ar"/>
              </w:rPr>
            </w:pPr>
            <w:r>
              <w:rPr>
                <w:color w:val="000000"/>
                <w:sz w:val="16"/>
                <w:szCs w:val="16"/>
                <w:lang w:bidi="ar"/>
              </w:rPr>
              <w:t>劳动就业、社会保障工作、农林水牧技术推广工作</w:t>
            </w:r>
          </w:p>
        </w:tc>
        <w:tc>
          <w:tcPr>
            <w:tcW w:w="586" w:type="dxa"/>
            <w:tcBorders>
              <w:top w:val="nil"/>
              <w:left w:val="nil"/>
              <w:bottom w:val="single" w:color="auto" w:sz="4" w:space="0"/>
              <w:right w:val="single" w:color="auto" w:sz="4" w:space="0"/>
            </w:tcBorders>
            <w:noWrap/>
            <w:vAlign w:val="center"/>
          </w:tcPr>
          <w:p w14:paraId="14C9469D">
            <w:pPr>
              <w:ind w:firstLine="160" w:firstLineChars="100"/>
              <w:jc w:val="center"/>
              <w:rPr>
                <w:rFonts w:hint="default"/>
                <w:color w:val="000000"/>
                <w:sz w:val="16"/>
                <w:szCs w:val="16"/>
                <w:lang w:bidi="ar"/>
              </w:rPr>
            </w:pPr>
          </w:p>
        </w:tc>
        <w:tc>
          <w:tcPr>
            <w:tcW w:w="850" w:type="dxa"/>
            <w:tcBorders>
              <w:top w:val="nil"/>
              <w:left w:val="nil"/>
              <w:bottom w:val="single" w:color="auto" w:sz="4" w:space="0"/>
              <w:right w:val="single" w:color="auto" w:sz="4" w:space="0"/>
            </w:tcBorders>
            <w:noWrap/>
            <w:vAlign w:val="center"/>
          </w:tcPr>
          <w:p w14:paraId="7F8D5B3C">
            <w:pPr>
              <w:ind w:firstLine="160" w:firstLineChars="100"/>
              <w:jc w:val="center"/>
              <w:rPr>
                <w:rFonts w:hint="default"/>
                <w:color w:val="000000"/>
                <w:sz w:val="16"/>
                <w:szCs w:val="16"/>
                <w:lang w:bidi="ar"/>
              </w:rPr>
            </w:pPr>
            <w:r>
              <w:rPr>
                <w:color w:val="000000"/>
                <w:sz w:val="16"/>
                <w:szCs w:val="16"/>
                <w:lang w:bidi="ar"/>
              </w:rPr>
              <w:t>定性</w:t>
            </w:r>
          </w:p>
        </w:tc>
        <w:tc>
          <w:tcPr>
            <w:tcW w:w="794" w:type="dxa"/>
            <w:tcBorders>
              <w:top w:val="nil"/>
              <w:left w:val="nil"/>
              <w:bottom w:val="single" w:color="auto" w:sz="4" w:space="0"/>
              <w:right w:val="single" w:color="auto" w:sz="4" w:space="0"/>
            </w:tcBorders>
            <w:noWrap/>
            <w:vAlign w:val="center"/>
          </w:tcPr>
          <w:p w14:paraId="1F825EA1">
            <w:pPr>
              <w:ind w:firstLine="160" w:firstLineChars="100"/>
              <w:jc w:val="center"/>
              <w:rPr>
                <w:rFonts w:hint="default"/>
                <w:color w:val="000000"/>
                <w:sz w:val="16"/>
                <w:szCs w:val="16"/>
                <w:lang w:bidi="ar"/>
              </w:rPr>
            </w:pPr>
            <w:r>
              <w:rPr>
                <w:color w:val="000000"/>
                <w:sz w:val="16"/>
                <w:szCs w:val="16"/>
                <w:lang w:bidi="ar"/>
              </w:rPr>
              <w:t>好</w:t>
            </w:r>
          </w:p>
        </w:tc>
        <w:tc>
          <w:tcPr>
            <w:tcW w:w="827" w:type="dxa"/>
            <w:tcBorders>
              <w:top w:val="nil"/>
              <w:left w:val="nil"/>
              <w:bottom w:val="single" w:color="auto" w:sz="4" w:space="0"/>
              <w:right w:val="single" w:color="auto" w:sz="4" w:space="0"/>
            </w:tcBorders>
            <w:noWrap/>
            <w:vAlign w:val="center"/>
          </w:tcPr>
          <w:p w14:paraId="2A1D12C2">
            <w:pPr>
              <w:ind w:firstLine="160" w:firstLineChars="100"/>
              <w:jc w:val="center"/>
              <w:rPr>
                <w:rFonts w:hint="default"/>
                <w:color w:val="000000"/>
                <w:sz w:val="16"/>
                <w:szCs w:val="16"/>
                <w:lang w:bidi="ar"/>
              </w:rPr>
            </w:pPr>
            <w:r>
              <w:rPr>
                <w:color w:val="000000"/>
                <w:sz w:val="16"/>
                <w:szCs w:val="16"/>
                <w:lang w:bidi="ar"/>
              </w:rPr>
              <w:t>1</w:t>
            </w:r>
          </w:p>
        </w:tc>
        <w:tc>
          <w:tcPr>
            <w:tcW w:w="931" w:type="dxa"/>
            <w:tcBorders>
              <w:top w:val="nil"/>
              <w:left w:val="nil"/>
              <w:bottom w:val="single" w:color="auto" w:sz="4" w:space="0"/>
              <w:right w:val="single" w:color="auto" w:sz="4" w:space="0"/>
            </w:tcBorders>
            <w:noWrap/>
            <w:vAlign w:val="center"/>
          </w:tcPr>
          <w:p w14:paraId="43165A97">
            <w:pPr>
              <w:ind w:firstLine="160" w:firstLineChars="100"/>
              <w:jc w:val="center"/>
              <w:rPr>
                <w:rFonts w:hint="default"/>
                <w:color w:val="000000"/>
                <w:sz w:val="16"/>
                <w:szCs w:val="16"/>
                <w:lang w:bidi="ar"/>
              </w:rPr>
            </w:pPr>
            <w:r>
              <w:rPr>
                <w:color w:val="000000"/>
                <w:sz w:val="16"/>
                <w:szCs w:val="16"/>
                <w:lang w:bidi="ar"/>
              </w:rPr>
              <w:t>0</w:t>
            </w:r>
          </w:p>
        </w:tc>
        <w:tc>
          <w:tcPr>
            <w:tcW w:w="1043" w:type="dxa"/>
            <w:tcBorders>
              <w:top w:val="nil"/>
              <w:left w:val="nil"/>
              <w:bottom w:val="single" w:color="auto" w:sz="4" w:space="0"/>
              <w:right w:val="single" w:color="auto" w:sz="4" w:space="0"/>
            </w:tcBorders>
            <w:noWrap/>
            <w:vAlign w:val="center"/>
          </w:tcPr>
          <w:p w14:paraId="28DD9734">
            <w:pPr>
              <w:ind w:firstLine="160" w:firstLineChars="100"/>
              <w:jc w:val="center"/>
              <w:rPr>
                <w:rFonts w:hint="default"/>
                <w:color w:val="000000"/>
                <w:sz w:val="16"/>
                <w:szCs w:val="16"/>
                <w:lang w:bidi="ar"/>
              </w:rPr>
            </w:pPr>
            <w:r>
              <w:rPr>
                <w:color w:val="000000"/>
                <w:sz w:val="16"/>
                <w:szCs w:val="16"/>
                <w:lang w:bidi="ar"/>
              </w:rPr>
              <w:t>100</w:t>
            </w:r>
          </w:p>
        </w:tc>
        <w:tc>
          <w:tcPr>
            <w:tcW w:w="709" w:type="dxa"/>
            <w:tcBorders>
              <w:top w:val="nil"/>
              <w:left w:val="nil"/>
              <w:bottom w:val="single" w:color="auto" w:sz="4" w:space="0"/>
              <w:right w:val="single" w:color="auto" w:sz="4" w:space="0"/>
            </w:tcBorders>
            <w:noWrap/>
            <w:vAlign w:val="center"/>
          </w:tcPr>
          <w:p w14:paraId="1AA0CE85">
            <w:pPr>
              <w:ind w:firstLine="160" w:firstLineChars="100"/>
              <w:jc w:val="center"/>
              <w:rPr>
                <w:rFonts w:hint="default"/>
                <w:color w:val="000000"/>
                <w:sz w:val="16"/>
                <w:szCs w:val="16"/>
                <w:lang w:bidi="ar"/>
              </w:rPr>
            </w:pPr>
            <w:r>
              <w:rPr>
                <w:color w:val="000000"/>
                <w:sz w:val="16"/>
                <w:szCs w:val="16"/>
                <w:lang w:bidi="ar"/>
              </w:rPr>
              <w:t>20</w:t>
            </w:r>
          </w:p>
        </w:tc>
        <w:tc>
          <w:tcPr>
            <w:tcW w:w="495" w:type="dxa"/>
            <w:tcBorders>
              <w:top w:val="nil"/>
              <w:left w:val="nil"/>
              <w:bottom w:val="single" w:color="auto" w:sz="4" w:space="0"/>
              <w:right w:val="single" w:color="auto" w:sz="4" w:space="0"/>
            </w:tcBorders>
            <w:noWrap/>
            <w:vAlign w:val="center"/>
          </w:tcPr>
          <w:p w14:paraId="4B56D425">
            <w:pPr>
              <w:ind w:firstLine="160" w:firstLineChars="100"/>
              <w:jc w:val="center"/>
              <w:rPr>
                <w:rFonts w:hint="default"/>
                <w:color w:val="000000"/>
                <w:sz w:val="16"/>
                <w:szCs w:val="16"/>
                <w:lang w:bidi="ar"/>
              </w:rPr>
            </w:pPr>
            <w:r>
              <w:rPr>
                <w:color w:val="000000"/>
                <w:sz w:val="16"/>
                <w:szCs w:val="16"/>
                <w:lang w:bidi="ar"/>
              </w:rPr>
              <w:t>20</w:t>
            </w:r>
          </w:p>
        </w:tc>
        <w:tc>
          <w:tcPr>
            <w:tcW w:w="960" w:type="dxa"/>
            <w:tcBorders>
              <w:top w:val="nil"/>
              <w:left w:val="nil"/>
              <w:bottom w:val="single" w:color="auto" w:sz="4" w:space="0"/>
              <w:right w:val="single" w:color="auto" w:sz="4" w:space="0"/>
            </w:tcBorders>
            <w:noWrap/>
            <w:vAlign w:val="center"/>
          </w:tcPr>
          <w:p w14:paraId="2B5E4C1A">
            <w:pPr>
              <w:jc w:val="center"/>
              <w:rPr>
                <w:rFonts w:hint="default"/>
                <w:b/>
                <w:bCs/>
                <w:color w:val="000000"/>
                <w:sz w:val="16"/>
                <w:szCs w:val="16"/>
              </w:rPr>
            </w:pPr>
            <w:r>
              <w:rPr>
                <w:b/>
                <w:bCs/>
                <w:color w:val="000000"/>
                <w:sz w:val="16"/>
                <w:szCs w:val="16"/>
                <w:lang w:bidi="ar"/>
              </w:rPr>
              <w:t>否　</w:t>
            </w:r>
          </w:p>
        </w:tc>
        <w:tc>
          <w:tcPr>
            <w:tcW w:w="3754" w:type="dxa"/>
            <w:gridSpan w:val="2"/>
            <w:tcBorders>
              <w:top w:val="single" w:color="auto" w:sz="4" w:space="0"/>
              <w:left w:val="nil"/>
              <w:bottom w:val="single" w:color="auto" w:sz="4" w:space="0"/>
              <w:right w:val="single" w:color="000000" w:sz="4" w:space="0"/>
            </w:tcBorders>
            <w:noWrap/>
            <w:vAlign w:val="center"/>
          </w:tcPr>
          <w:p w14:paraId="3C0E6494">
            <w:pPr>
              <w:jc w:val="center"/>
              <w:rPr>
                <w:rFonts w:hint="default"/>
                <w:b/>
                <w:bCs/>
                <w:color w:val="000000"/>
                <w:sz w:val="16"/>
                <w:szCs w:val="16"/>
              </w:rPr>
            </w:pPr>
            <w:r>
              <w:rPr>
                <w:b/>
                <w:bCs/>
                <w:color w:val="000000"/>
                <w:sz w:val="16"/>
                <w:szCs w:val="16"/>
                <w:lang w:bidi="ar"/>
              </w:rPr>
              <w:t>　</w:t>
            </w:r>
          </w:p>
        </w:tc>
      </w:tr>
      <w:tr w14:paraId="0CF62EA4">
        <w:tblPrEx>
          <w:tblCellMar>
            <w:top w:w="0" w:type="dxa"/>
            <w:left w:w="108" w:type="dxa"/>
            <w:bottom w:w="0" w:type="dxa"/>
            <w:right w:w="108" w:type="dxa"/>
          </w:tblCellMar>
        </w:tblPrEx>
        <w:trPr>
          <w:trHeight w:val="499" w:hRule="atLeast"/>
          <w:jc w:val="center"/>
        </w:trPr>
        <w:tc>
          <w:tcPr>
            <w:tcW w:w="2646" w:type="dxa"/>
            <w:tcBorders>
              <w:top w:val="nil"/>
              <w:left w:val="single" w:color="auto" w:sz="4" w:space="0"/>
              <w:bottom w:val="single" w:color="auto" w:sz="4" w:space="0"/>
              <w:right w:val="single" w:color="auto" w:sz="4" w:space="0"/>
            </w:tcBorders>
            <w:noWrap/>
            <w:vAlign w:val="center"/>
          </w:tcPr>
          <w:p w14:paraId="7E4C3ADF">
            <w:pPr>
              <w:ind w:firstLine="160" w:firstLineChars="100"/>
              <w:jc w:val="center"/>
              <w:rPr>
                <w:rFonts w:hint="default"/>
                <w:color w:val="000000"/>
                <w:sz w:val="16"/>
                <w:szCs w:val="16"/>
              </w:rPr>
            </w:pPr>
            <w:r>
              <w:rPr>
                <w:color w:val="000000"/>
                <w:sz w:val="16"/>
                <w:szCs w:val="16"/>
                <w:lang w:bidi="ar"/>
              </w:rPr>
              <w:t>民政、教育、文化、社会救助、人居环境工作</w:t>
            </w:r>
          </w:p>
        </w:tc>
        <w:tc>
          <w:tcPr>
            <w:tcW w:w="586" w:type="dxa"/>
            <w:tcBorders>
              <w:top w:val="nil"/>
              <w:left w:val="nil"/>
              <w:bottom w:val="single" w:color="auto" w:sz="4" w:space="0"/>
              <w:right w:val="single" w:color="auto" w:sz="4" w:space="0"/>
            </w:tcBorders>
            <w:noWrap/>
            <w:vAlign w:val="center"/>
          </w:tcPr>
          <w:p w14:paraId="726C0F07">
            <w:pPr>
              <w:ind w:firstLine="160" w:firstLineChars="100"/>
              <w:jc w:val="center"/>
              <w:rPr>
                <w:rFonts w:hint="default"/>
                <w:color w:val="000000"/>
                <w:sz w:val="16"/>
                <w:szCs w:val="16"/>
                <w:lang w:bidi="ar"/>
              </w:rPr>
            </w:pPr>
          </w:p>
        </w:tc>
        <w:tc>
          <w:tcPr>
            <w:tcW w:w="850" w:type="dxa"/>
            <w:tcBorders>
              <w:top w:val="nil"/>
              <w:left w:val="nil"/>
              <w:bottom w:val="single" w:color="auto" w:sz="4" w:space="0"/>
              <w:right w:val="single" w:color="auto" w:sz="4" w:space="0"/>
            </w:tcBorders>
            <w:noWrap/>
            <w:vAlign w:val="center"/>
          </w:tcPr>
          <w:p w14:paraId="389BDBCC">
            <w:pPr>
              <w:ind w:firstLine="160" w:firstLineChars="100"/>
              <w:jc w:val="center"/>
              <w:rPr>
                <w:rFonts w:hint="default"/>
                <w:color w:val="000000"/>
                <w:sz w:val="16"/>
                <w:szCs w:val="16"/>
                <w:lang w:bidi="ar"/>
              </w:rPr>
            </w:pPr>
            <w:r>
              <w:rPr>
                <w:color w:val="000000"/>
                <w:sz w:val="16"/>
                <w:szCs w:val="16"/>
                <w:lang w:bidi="ar"/>
              </w:rPr>
              <w:t>定性</w:t>
            </w:r>
          </w:p>
        </w:tc>
        <w:tc>
          <w:tcPr>
            <w:tcW w:w="794" w:type="dxa"/>
            <w:tcBorders>
              <w:top w:val="nil"/>
              <w:left w:val="nil"/>
              <w:bottom w:val="single" w:color="auto" w:sz="4" w:space="0"/>
              <w:right w:val="single" w:color="auto" w:sz="4" w:space="0"/>
            </w:tcBorders>
            <w:noWrap/>
            <w:vAlign w:val="center"/>
          </w:tcPr>
          <w:p w14:paraId="24090C40">
            <w:pPr>
              <w:ind w:firstLine="160" w:firstLineChars="100"/>
              <w:jc w:val="center"/>
              <w:rPr>
                <w:rFonts w:hint="default"/>
                <w:color w:val="000000"/>
                <w:sz w:val="16"/>
                <w:szCs w:val="16"/>
                <w:lang w:bidi="ar"/>
              </w:rPr>
            </w:pPr>
            <w:r>
              <w:rPr>
                <w:color w:val="000000"/>
                <w:sz w:val="16"/>
                <w:szCs w:val="16"/>
                <w:lang w:bidi="ar"/>
              </w:rPr>
              <w:t>好</w:t>
            </w:r>
          </w:p>
        </w:tc>
        <w:tc>
          <w:tcPr>
            <w:tcW w:w="827" w:type="dxa"/>
            <w:tcBorders>
              <w:top w:val="nil"/>
              <w:left w:val="nil"/>
              <w:bottom w:val="single" w:color="auto" w:sz="4" w:space="0"/>
              <w:right w:val="single" w:color="auto" w:sz="4" w:space="0"/>
            </w:tcBorders>
            <w:noWrap/>
            <w:vAlign w:val="center"/>
          </w:tcPr>
          <w:p w14:paraId="2C0ED271">
            <w:pPr>
              <w:ind w:firstLine="160" w:firstLineChars="100"/>
              <w:jc w:val="center"/>
              <w:rPr>
                <w:rFonts w:hint="default"/>
                <w:color w:val="000000"/>
                <w:sz w:val="16"/>
                <w:szCs w:val="16"/>
                <w:lang w:bidi="ar"/>
              </w:rPr>
            </w:pPr>
            <w:r>
              <w:rPr>
                <w:color w:val="000000"/>
                <w:sz w:val="16"/>
                <w:szCs w:val="16"/>
                <w:lang w:bidi="ar"/>
              </w:rPr>
              <w:t>1</w:t>
            </w:r>
          </w:p>
        </w:tc>
        <w:tc>
          <w:tcPr>
            <w:tcW w:w="931" w:type="dxa"/>
            <w:tcBorders>
              <w:top w:val="nil"/>
              <w:left w:val="nil"/>
              <w:bottom w:val="single" w:color="auto" w:sz="4" w:space="0"/>
              <w:right w:val="single" w:color="auto" w:sz="4" w:space="0"/>
            </w:tcBorders>
            <w:noWrap/>
            <w:vAlign w:val="center"/>
          </w:tcPr>
          <w:p w14:paraId="5818AF79">
            <w:pPr>
              <w:ind w:firstLine="160" w:firstLineChars="100"/>
              <w:jc w:val="center"/>
              <w:rPr>
                <w:rFonts w:hint="default"/>
                <w:color w:val="000000"/>
                <w:sz w:val="16"/>
                <w:szCs w:val="16"/>
                <w:lang w:bidi="ar"/>
              </w:rPr>
            </w:pPr>
            <w:r>
              <w:rPr>
                <w:color w:val="000000"/>
                <w:sz w:val="16"/>
                <w:szCs w:val="16"/>
                <w:lang w:bidi="ar"/>
              </w:rPr>
              <w:t>0</w:t>
            </w:r>
          </w:p>
        </w:tc>
        <w:tc>
          <w:tcPr>
            <w:tcW w:w="1043" w:type="dxa"/>
            <w:tcBorders>
              <w:top w:val="nil"/>
              <w:left w:val="nil"/>
              <w:bottom w:val="single" w:color="auto" w:sz="4" w:space="0"/>
              <w:right w:val="single" w:color="auto" w:sz="4" w:space="0"/>
            </w:tcBorders>
            <w:noWrap/>
            <w:vAlign w:val="center"/>
          </w:tcPr>
          <w:p w14:paraId="7FF93B1B">
            <w:pPr>
              <w:ind w:firstLine="160" w:firstLineChars="100"/>
              <w:jc w:val="center"/>
              <w:rPr>
                <w:rFonts w:hint="default"/>
                <w:color w:val="000000"/>
                <w:sz w:val="16"/>
                <w:szCs w:val="16"/>
                <w:lang w:bidi="ar"/>
              </w:rPr>
            </w:pPr>
            <w:r>
              <w:rPr>
                <w:color w:val="000000"/>
                <w:sz w:val="16"/>
                <w:szCs w:val="16"/>
                <w:lang w:bidi="ar"/>
              </w:rPr>
              <w:t>100</w:t>
            </w:r>
          </w:p>
        </w:tc>
        <w:tc>
          <w:tcPr>
            <w:tcW w:w="709" w:type="dxa"/>
            <w:tcBorders>
              <w:top w:val="nil"/>
              <w:left w:val="nil"/>
              <w:bottom w:val="single" w:color="auto" w:sz="4" w:space="0"/>
              <w:right w:val="single" w:color="auto" w:sz="4" w:space="0"/>
            </w:tcBorders>
            <w:noWrap/>
            <w:vAlign w:val="center"/>
          </w:tcPr>
          <w:p w14:paraId="75FE3282">
            <w:pPr>
              <w:ind w:firstLine="160" w:firstLineChars="100"/>
              <w:jc w:val="center"/>
              <w:rPr>
                <w:rFonts w:hint="default"/>
                <w:color w:val="000000"/>
                <w:sz w:val="16"/>
                <w:szCs w:val="16"/>
                <w:lang w:bidi="ar"/>
              </w:rPr>
            </w:pPr>
            <w:r>
              <w:rPr>
                <w:color w:val="000000"/>
                <w:sz w:val="16"/>
                <w:szCs w:val="16"/>
                <w:lang w:bidi="ar"/>
              </w:rPr>
              <w:t>20</w:t>
            </w:r>
          </w:p>
        </w:tc>
        <w:tc>
          <w:tcPr>
            <w:tcW w:w="495" w:type="dxa"/>
            <w:tcBorders>
              <w:top w:val="nil"/>
              <w:left w:val="nil"/>
              <w:bottom w:val="single" w:color="auto" w:sz="4" w:space="0"/>
              <w:right w:val="single" w:color="auto" w:sz="4" w:space="0"/>
            </w:tcBorders>
            <w:noWrap/>
            <w:vAlign w:val="center"/>
          </w:tcPr>
          <w:p w14:paraId="69D91694">
            <w:pPr>
              <w:ind w:firstLine="160" w:firstLineChars="100"/>
              <w:jc w:val="center"/>
              <w:rPr>
                <w:rFonts w:hint="default"/>
                <w:color w:val="000000"/>
                <w:sz w:val="16"/>
                <w:szCs w:val="16"/>
                <w:lang w:bidi="ar"/>
              </w:rPr>
            </w:pPr>
            <w:r>
              <w:rPr>
                <w:color w:val="000000"/>
                <w:sz w:val="16"/>
                <w:szCs w:val="16"/>
                <w:lang w:bidi="ar"/>
              </w:rPr>
              <w:t>20</w:t>
            </w:r>
          </w:p>
        </w:tc>
        <w:tc>
          <w:tcPr>
            <w:tcW w:w="960" w:type="dxa"/>
            <w:tcBorders>
              <w:top w:val="nil"/>
              <w:left w:val="nil"/>
              <w:bottom w:val="single" w:color="auto" w:sz="4" w:space="0"/>
              <w:right w:val="single" w:color="auto" w:sz="4" w:space="0"/>
            </w:tcBorders>
            <w:noWrap/>
            <w:vAlign w:val="center"/>
          </w:tcPr>
          <w:p w14:paraId="18AD8F3D">
            <w:pPr>
              <w:ind w:firstLine="160" w:firstLineChars="100"/>
              <w:rPr>
                <w:rFonts w:hint="default"/>
                <w:color w:val="000000"/>
                <w:sz w:val="16"/>
                <w:szCs w:val="16"/>
              </w:rPr>
            </w:pPr>
            <w:r>
              <w:rPr>
                <w:color w:val="000000"/>
                <w:sz w:val="16"/>
                <w:szCs w:val="16"/>
                <w:lang w:bidi="ar"/>
              </w:rPr>
              <w:t>　否</w:t>
            </w:r>
          </w:p>
        </w:tc>
        <w:tc>
          <w:tcPr>
            <w:tcW w:w="3754" w:type="dxa"/>
            <w:gridSpan w:val="2"/>
            <w:tcBorders>
              <w:top w:val="single" w:color="auto" w:sz="4" w:space="0"/>
              <w:left w:val="nil"/>
              <w:bottom w:val="single" w:color="auto" w:sz="4" w:space="0"/>
              <w:right w:val="single" w:color="000000" w:sz="4" w:space="0"/>
            </w:tcBorders>
            <w:noWrap/>
            <w:vAlign w:val="center"/>
          </w:tcPr>
          <w:p w14:paraId="2F50F2B4">
            <w:pPr>
              <w:jc w:val="center"/>
              <w:rPr>
                <w:rFonts w:hint="default"/>
                <w:color w:val="000000"/>
                <w:sz w:val="16"/>
                <w:szCs w:val="16"/>
              </w:rPr>
            </w:pPr>
            <w:r>
              <w:rPr>
                <w:color w:val="000000"/>
                <w:sz w:val="16"/>
                <w:szCs w:val="16"/>
                <w:lang w:bidi="ar"/>
              </w:rPr>
              <w:t>　</w:t>
            </w:r>
          </w:p>
        </w:tc>
      </w:tr>
      <w:tr w14:paraId="298E0CFF">
        <w:tblPrEx>
          <w:tblCellMar>
            <w:top w:w="0" w:type="dxa"/>
            <w:left w:w="108" w:type="dxa"/>
            <w:bottom w:w="0" w:type="dxa"/>
            <w:right w:w="108" w:type="dxa"/>
          </w:tblCellMar>
        </w:tblPrEx>
        <w:trPr>
          <w:trHeight w:val="789" w:hRule="atLeast"/>
          <w:jc w:val="center"/>
        </w:trPr>
        <w:tc>
          <w:tcPr>
            <w:tcW w:w="2646" w:type="dxa"/>
            <w:tcBorders>
              <w:top w:val="nil"/>
              <w:left w:val="single" w:color="auto" w:sz="4" w:space="0"/>
              <w:bottom w:val="single" w:color="auto" w:sz="4" w:space="0"/>
              <w:right w:val="single" w:color="auto" w:sz="4" w:space="0"/>
            </w:tcBorders>
            <w:noWrap/>
            <w:vAlign w:val="center"/>
          </w:tcPr>
          <w:p w14:paraId="70C37147">
            <w:pPr>
              <w:ind w:firstLine="160" w:firstLineChars="100"/>
              <w:jc w:val="center"/>
              <w:rPr>
                <w:rFonts w:hint="default"/>
                <w:color w:val="000000"/>
                <w:sz w:val="16"/>
                <w:szCs w:val="16"/>
              </w:rPr>
            </w:pPr>
            <w:r>
              <w:rPr>
                <w:color w:val="000000"/>
                <w:sz w:val="16"/>
                <w:szCs w:val="16"/>
                <w:lang w:bidi="ar"/>
              </w:rPr>
              <w:t>乡村振兴、经济建设工作</w:t>
            </w:r>
          </w:p>
        </w:tc>
        <w:tc>
          <w:tcPr>
            <w:tcW w:w="586" w:type="dxa"/>
            <w:tcBorders>
              <w:top w:val="nil"/>
              <w:left w:val="nil"/>
              <w:bottom w:val="single" w:color="auto" w:sz="4" w:space="0"/>
              <w:right w:val="single" w:color="auto" w:sz="4" w:space="0"/>
            </w:tcBorders>
            <w:noWrap/>
            <w:vAlign w:val="center"/>
          </w:tcPr>
          <w:p w14:paraId="220B3087">
            <w:pPr>
              <w:ind w:firstLine="160" w:firstLineChars="100"/>
              <w:jc w:val="center"/>
              <w:rPr>
                <w:rFonts w:hint="default"/>
                <w:color w:val="000000"/>
                <w:sz w:val="16"/>
                <w:szCs w:val="16"/>
                <w:lang w:bidi="ar"/>
              </w:rPr>
            </w:pPr>
          </w:p>
        </w:tc>
        <w:tc>
          <w:tcPr>
            <w:tcW w:w="850" w:type="dxa"/>
            <w:tcBorders>
              <w:top w:val="nil"/>
              <w:left w:val="nil"/>
              <w:bottom w:val="single" w:color="auto" w:sz="4" w:space="0"/>
              <w:right w:val="single" w:color="auto" w:sz="4" w:space="0"/>
            </w:tcBorders>
            <w:noWrap/>
            <w:vAlign w:val="center"/>
          </w:tcPr>
          <w:p w14:paraId="62BBD6FE">
            <w:pPr>
              <w:ind w:firstLine="160" w:firstLineChars="100"/>
              <w:jc w:val="center"/>
              <w:rPr>
                <w:rFonts w:hint="default"/>
                <w:color w:val="000000"/>
                <w:sz w:val="16"/>
                <w:szCs w:val="16"/>
                <w:lang w:bidi="ar"/>
              </w:rPr>
            </w:pPr>
            <w:r>
              <w:rPr>
                <w:color w:val="000000"/>
                <w:sz w:val="16"/>
                <w:szCs w:val="16"/>
                <w:lang w:bidi="ar"/>
              </w:rPr>
              <w:t>定性</w:t>
            </w:r>
          </w:p>
        </w:tc>
        <w:tc>
          <w:tcPr>
            <w:tcW w:w="794" w:type="dxa"/>
            <w:tcBorders>
              <w:top w:val="nil"/>
              <w:left w:val="nil"/>
              <w:bottom w:val="single" w:color="auto" w:sz="4" w:space="0"/>
              <w:right w:val="single" w:color="auto" w:sz="4" w:space="0"/>
            </w:tcBorders>
            <w:noWrap/>
            <w:vAlign w:val="center"/>
          </w:tcPr>
          <w:p w14:paraId="3BCCE52D">
            <w:pPr>
              <w:ind w:firstLine="160" w:firstLineChars="100"/>
              <w:jc w:val="center"/>
              <w:rPr>
                <w:rFonts w:hint="default"/>
                <w:color w:val="000000"/>
                <w:sz w:val="16"/>
                <w:szCs w:val="16"/>
                <w:lang w:bidi="ar"/>
              </w:rPr>
            </w:pPr>
            <w:r>
              <w:rPr>
                <w:color w:val="000000"/>
                <w:sz w:val="16"/>
                <w:szCs w:val="16"/>
                <w:lang w:bidi="ar"/>
              </w:rPr>
              <w:t>好</w:t>
            </w:r>
          </w:p>
        </w:tc>
        <w:tc>
          <w:tcPr>
            <w:tcW w:w="827" w:type="dxa"/>
            <w:tcBorders>
              <w:top w:val="nil"/>
              <w:left w:val="nil"/>
              <w:bottom w:val="single" w:color="auto" w:sz="4" w:space="0"/>
              <w:right w:val="single" w:color="auto" w:sz="4" w:space="0"/>
            </w:tcBorders>
            <w:noWrap/>
            <w:vAlign w:val="center"/>
          </w:tcPr>
          <w:p w14:paraId="00644381">
            <w:pPr>
              <w:ind w:firstLine="160" w:firstLineChars="100"/>
              <w:jc w:val="center"/>
              <w:rPr>
                <w:rFonts w:hint="default"/>
                <w:color w:val="000000"/>
                <w:sz w:val="16"/>
                <w:szCs w:val="16"/>
                <w:lang w:bidi="ar"/>
              </w:rPr>
            </w:pPr>
            <w:r>
              <w:rPr>
                <w:color w:val="000000"/>
                <w:sz w:val="16"/>
                <w:szCs w:val="16"/>
                <w:lang w:bidi="ar"/>
              </w:rPr>
              <w:t>1</w:t>
            </w:r>
          </w:p>
        </w:tc>
        <w:tc>
          <w:tcPr>
            <w:tcW w:w="931" w:type="dxa"/>
            <w:tcBorders>
              <w:top w:val="nil"/>
              <w:left w:val="nil"/>
              <w:bottom w:val="single" w:color="auto" w:sz="4" w:space="0"/>
              <w:right w:val="single" w:color="auto" w:sz="4" w:space="0"/>
            </w:tcBorders>
            <w:noWrap/>
            <w:vAlign w:val="center"/>
          </w:tcPr>
          <w:p w14:paraId="4479F78E">
            <w:pPr>
              <w:ind w:firstLine="160" w:firstLineChars="100"/>
              <w:jc w:val="center"/>
              <w:rPr>
                <w:rFonts w:hint="default"/>
                <w:color w:val="000000"/>
                <w:sz w:val="16"/>
                <w:szCs w:val="16"/>
                <w:lang w:bidi="ar"/>
              </w:rPr>
            </w:pPr>
            <w:r>
              <w:rPr>
                <w:color w:val="000000"/>
                <w:sz w:val="16"/>
                <w:szCs w:val="16"/>
                <w:lang w:bidi="ar"/>
              </w:rPr>
              <w:t>0</w:t>
            </w:r>
          </w:p>
        </w:tc>
        <w:tc>
          <w:tcPr>
            <w:tcW w:w="1043" w:type="dxa"/>
            <w:tcBorders>
              <w:top w:val="nil"/>
              <w:left w:val="nil"/>
              <w:bottom w:val="single" w:color="auto" w:sz="4" w:space="0"/>
              <w:right w:val="single" w:color="auto" w:sz="4" w:space="0"/>
            </w:tcBorders>
            <w:noWrap/>
            <w:vAlign w:val="center"/>
          </w:tcPr>
          <w:p w14:paraId="5318E288">
            <w:pPr>
              <w:ind w:firstLine="160" w:firstLineChars="100"/>
              <w:jc w:val="center"/>
              <w:rPr>
                <w:rFonts w:hint="default"/>
                <w:color w:val="000000"/>
                <w:sz w:val="16"/>
                <w:szCs w:val="16"/>
                <w:lang w:bidi="ar"/>
              </w:rPr>
            </w:pPr>
            <w:r>
              <w:rPr>
                <w:color w:val="000000"/>
                <w:sz w:val="16"/>
                <w:szCs w:val="16"/>
                <w:lang w:bidi="ar"/>
              </w:rPr>
              <w:t>100</w:t>
            </w:r>
          </w:p>
        </w:tc>
        <w:tc>
          <w:tcPr>
            <w:tcW w:w="709" w:type="dxa"/>
            <w:tcBorders>
              <w:top w:val="nil"/>
              <w:left w:val="nil"/>
              <w:bottom w:val="single" w:color="auto" w:sz="4" w:space="0"/>
              <w:right w:val="single" w:color="auto" w:sz="4" w:space="0"/>
            </w:tcBorders>
            <w:noWrap/>
            <w:vAlign w:val="center"/>
          </w:tcPr>
          <w:p w14:paraId="4A751F00">
            <w:pPr>
              <w:ind w:firstLine="160" w:firstLineChars="100"/>
              <w:jc w:val="center"/>
              <w:rPr>
                <w:rFonts w:hint="default"/>
                <w:color w:val="000000"/>
                <w:sz w:val="16"/>
                <w:szCs w:val="16"/>
                <w:lang w:bidi="ar"/>
              </w:rPr>
            </w:pPr>
            <w:r>
              <w:rPr>
                <w:color w:val="000000"/>
                <w:sz w:val="16"/>
                <w:szCs w:val="16"/>
                <w:lang w:bidi="ar"/>
              </w:rPr>
              <w:t>20</w:t>
            </w:r>
          </w:p>
        </w:tc>
        <w:tc>
          <w:tcPr>
            <w:tcW w:w="495" w:type="dxa"/>
            <w:tcBorders>
              <w:top w:val="nil"/>
              <w:left w:val="nil"/>
              <w:bottom w:val="single" w:color="auto" w:sz="4" w:space="0"/>
              <w:right w:val="single" w:color="auto" w:sz="4" w:space="0"/>
            </w:tcBorders>
            <w:noWrap/>
            <w:vAlign w:val="center"/>
          </w:tcPr>
          <w:p w14:paraId="010CBBC3">
            <w:pPr>
              <w:ind w:firstLine="160" w:firstLineChars="100"/>
              <w:jc w:val="center"/>
              <w:rPr>
                <w:rFonts w:hint="default"/>
                <w:color w:val="000000"/>
                <w:sz w:val="16"/>
                <w:szCs w:val="16"/>
                <w:lang w:bidi="ar"/>
              </w:rPr>
            </w:pPr>
            <w:r>
              <w:rPr>
                <w:color w:val="000000"/>
                <w:sz w:val="16"/>
                <w:szCs w:val="16"/>
                <w:lang w:bidi="ar"/>
              </w:rPr>
              <w:t>20</w:t>
            </w:r>
          </w:p>
        </w:tc>
        <w:tc>
          <w:tcPr>
            <w:tcW w:w="960" w:type="dxa"/>
            <w:tcBorders>
              <w:top w:val="nil"/>
              <w:left w:val="nil"/>
              <w:bottom w:val="single" w:color="auto" w:sz="4" w:space="0"/>
              <w:right w:val="single" w:color="auto" w:sz="4" w:space="0"/>
            </w:tcBorders>
            <w:noWrap/>
            <w:vAlign w:val="center"/>
          </w:tcPr>
          <w:p w14:paraId="58ED7B9B">
            <w:pPr>
              <w:ind w:firstLine="160" w:firstLineChars="100"/>
              <w:rPr>
                <w:rFonts w:hint="default"/>
                <w:color w:val="000000"/>
                <w:sz w:val="16"/>
                <w:szCs w:val="16"/>
              </w:rPr>
            </w:pPr>
            <w:r>
              <w:rPr>
                <w:color w:val="000000"/>
                <w:sz w:val="16"/>
                <w:szCs w:val="16"/>
                <w:lang w:bidi="ar"/>
              </w:rPr>
              <w:t>　否</w:t>
            </w:r>
          </w:p>
        </w:tc>
        <w:tc>
          <w:tcPr>
            <w:tcW w:w="3754" w:type="dxa"/>
            <w:gridSpan w:val="2"/>
            <w:tcBorders>
              <w:top w:val="single" w:color="auto" w:sz="4" w:space="0"/>
              <w:left w:val="nil"/>
              <w:bottom w:val="single" w:color="auto" w:sz="4" w:space="0"/>
              <w:right w:val="single" w:color="000000" w:sz="4" w:space="0"/>
            </w:tcBorders>
            <w:noWrap/>
            <w:vAlign w:val="center"/>
          </w:tcPr>
          <w:p w14:paraId="508C4EED">
            <w:pPr>
              <w:jc w:val="center"/>
              <w:rPr>
                <w:rFonts w:hint="default"/>
                <w:color w:val="000000"/>
                <w:sz w:val="16"/>
                <w:szCs w:val="16"/>
              </w:rPr>
            </w:pPr>
            <w:r>
              <w:rPr>
                <w:color w:val="000000"/>
                <w:sz w:val="16"/>
                <w:szCs w:val="16"/>
                <w:lang w:bidi="ar"/>
              </w:rPr>
              <w:t>　</w:t>
            </w:r>
          </w:p>
        </w:tc>
      </w:tr>
      <w:tr w14:paraId="7E5E9502">
        <w:tblPrEx>
          <w:tblCellMar>
            <w:top w:w="0" w:type="dxa"/>
            <w:left w:w="108" w:type="dxa"/>
            <w:bottom w:w="0" w:type="dxa"/>
            <w:right w:w="108" w:type="dxa"/>
          </w:tblCellMar>
        </w:tblPrEx>
        <w:trPr>
          <w:trHeight w:val="819" w:hRule="atLeast"/>
          <w:jc w:val="center"/>
        </w:trPr>
        <w:tc>
          <w:tcPr>
            <w:tcW w:w="2646" w:type="dxa"/>
            <w:tcBorders>
              <w:top w:val="nil"/>
              <w:left w:val="single" w:color="auto" w:sz="4" w:space="0"/>
              <w:bottom w:val="single" w:color="auto" w:sz="4" w:space="0"/>
              <w:right w:val="single" w:color="auto" w:sz="4" w:space="0"/>
            </w:tcBorders>
            <w:noWrap/>
            <w:vAlign w:val="center"/>
          </w:tcPr>
          <w:p w14:paraId="48A56D81">
            <w:pPr>
              <w:ind w:firstLine="160" w:firstLineChars="100"/>
              <w:jc w:val="center"/>
              <w:rPr>
                <w:rFonts w:hint="default"/>
                <w:color w:val="000000"/>
                <w:sz w:val="16"/>
                <w:szCs w:val="16"/>
              </w:rPr>
            </w:pPr>
            <w:r>
              <w:rPr>
                <w:color w:val="000000"/>
                <w:sz w:val="16"/>
                <w:szCs w:val="16"/>
                <w:lang w:bidi="ar"/>
              </w:rPr>
              <w:t>基层组织建设</w:t>
            </w:r>
          </w:p>
        </w:tc>
        <w:tc>
          <w:tcPr>
            <w:tcW w:w="586" w:type="dxa"/>
            <w:tcBorders>
              <w:top w:val="nil"/>
              <w:left w:val="nil"/>
              <w:bottom w:val="single" w:color="auto" w:sz="4" w:space="0"/>
              <w:right w:val="single" w:color="auto" w:sz="4" w:space="0"/>
            </w:tcBorders>
            <w:noWrap/>
            <w:vAlign w:val="center"/>
          </w:tcPr>
          <w:p w14:paraId="662B3DC2">
            <w:pPr>
              <w:ind w:firstLine="160" w:firstLineChars="100"/>
              <w:jc w:val="center"/>
              <w:rPr>
                <w:rFonts w:hint="default"/>
                <w:color w:val="000000"/>
                <w:sz w:val="16"/>
                <w:szCs w:val="16"/>
                <w:lang w:bidi="ar"/>
              </w:rPr>
            </w:pPr>
          </w:p>
        </w:tc>
        <w:tc>
          <w:tcPr>
            <w:tcW w:w="850" w:type="dxa"/>
            <w:tcBorders>
              <w:top w:val="nil"/>
              <w:left w:val="nil"/>
              <w:bottom w:val="single" w:color="auto" w:sz="4" w:space="0"/>
              <w:right w:val="single" w:color="auto" w:sz="4" w:space="0"/>
            </w:tcBorders>
            <w:noWrap/>
            <w:vAlign w:val="center"/>
          </w:tcPr>
          <w:p w14:paraId="113C738B">
            <w:pPr>
              <w:ind w:firstLine="160" w:firstLineChars="100"/>
              <w:jc w:val="center"/>
              <w:rPr>
                <w:rFonts w:hint="default"/>
                <w:color w:val="000000"/>
                <w:sz w:val="16"/>
                <w:szCs w:val="16"/>
                <w:lang w:bidi="ar"/>
              </w:rPr>
            </w:pPr>
            <w:r>
              <w:rPr>
                <w:color w:val="000000"/>
                <w:sz w:val="16"/>
                <w:szCs w:val="16"/>
                <w:lang w:bidi="ar"/>
              </w:rPr>
              <w:t>定性</w:t>
            </w:r>
          </w:p>
        </w:tc>
        <w:tc>
          <w:tcPr>
            <w:tcW w:w="794" w:type="dxa"/>
            <w:tcBorders>
              <w:top w:val="nil"/>
              <w:left w:val="nil"/>
              <w:bottom w:val="single" w:color="auto" w:sz="4" w:space="0"/>
              <w:right w:val="single" w:color="auto" w:sz="4" w:space="0"/>
            </w:tcBorders>
            <w:noWrap/>
            <w:vAlign w:val="center"/>
          </w:tcPr>
          <w:p w14:paraId="05319636">
            <w:pPr>
              <w:ind w:firstLine="160" w:firstLineChars="100"/>
              <w:jc w:val="center"/>
              <w:rPr>
                <w:rFonts w:hint="default"/>
                <w:color w:val="000000"/>
                <w:sz w:val="16"/>
                <w:szCs w:val="16"/>
                <w:lang w:bidi="ar"/>
              </w:rPr>
            </w:pPr>
            <w:r>
              <w:rPr>
                <w:color w:val="000000"/>
                <w:sz w:val="16"/>
                <w:szCs w:val="16"/>
                <w:lang w:bidi="ar"/>
              </w:rPr>
              <w:t>好</w:t>
            </w:r>
          </w:p>
        </w:tc>
        <w:tc>
          <w:tcPr>
            <w:tcW w:w="827" w:type="dxa"/>
            <w:tcBorders>
              <w:top w:val="nil"/>
              <w:left w:val="nil"/>
              <w:bottom w:val="single" w:color="auto" w:sz="4" w:space="0"/>
              <w:right w:val="single" w:color="auto" w:sz="4" w:space="0"/>
            </w:tcBorders>
            <w:noWrap/>
            <w:vAlign w:val="center"/>
          </w:tcPr>
          <w:p w14:paraId="4F051838">
            <w:pPr>
              <w:ind w:firstLine="160" w:firstLineChars="100"/>
              <w:jc w:val="center"/>
              <w:rPr>
                <w:rFonts w:hint="default"/>
                <w:color w:val="000000"/>
                <w:sz w:val="16"/>
                <w:szCs w:val="16"/>
                <w:lang w:bidi="ar"/>
              </w:rPr>
            </w:pPr>
            <w:r>
              <w:rPr>
                <w:color w:val="000000"/>
                <w:sz w:val="16"/>
                <w:szCs w:val="16"/>
                <w:lang w:bidi="ar"/>
              </w:rPr>
              <w:t>1</w:t>
            </w:r>
          </w:p>
        </w:tc>
        <w:tc>
          <w:tcPr>
            <w:tcW w:w="931" w:type="dxa"/>
            <w:tcBorders>
              <w:top w:val="nil"/>
              <w:left w:val="nil"/>
              <w:bottom w:val="single" w:color="auto" w:sz="4" w:space="0"/>
              <w:right w:val="single" w:color="auto" w:sz="4" w:space="0"/>
            </w:tcBorders>
            <w:noWrap/>
            <w:vAlign w:val="center"/>
          </w:tcPr>
          <w:p w14:paraId="046A8E43">
            <w:pPr>
              <w:ind w:firstLine="160" w:firstLineChars="100"/>
              <w:jc w:val="center"/>
              <w:rPr>
                <w:rFonts w:hint="default"/>
                <w:color w:val="000000"/>
                <w:sz w:val="16"/>
                <w:szCs w:val="16"/>
                <w:lang w:bidi="ar"/>
              </w:rPr>
            </w:pPr>
            <w:r>
              <w:rPr>
                <w:color w:val="000000"/>
                <w:sz w:val="16"/>
                <w:szCs w:val="16"/>
                <w:lang w:bidi="ar"/>
              </w:rPr>
              <w:t>0</w:t>
            </w:r>
          </w:p>
        </w:tc>
        <w:tc>
          <w:tcPr>
            <w:tcW w:w="1043" w:type="dxa"/>
            <w:tcBorders>
              <w:top w:val="nil"/>
              <w:left w:val="nil"/>
              <w:bottom w:val="single" w:color="auto" w:sz="4" w:space="0"/>
              <w:right w:val="single" w:color="auto" w:sz="4" w:space="0"/>
            </w:tcBorders>
            <w:noWrap/>
            <w:vAlign w:val="center"/>
          </w:tcPr>
          <w:p w14:paraId="54F5A978">
            <w:pPr>
              <w:ind w:firstLine="160" w:firstLineChars="100"/>
              <w:jc w:val="center"/>
              <w:rPr>
                <w:rFonts w:hint="default"/>
                <w:color w:val="000000"/>
                <w:sz w:val="16"/>
                <w:szCs w:val="16"/>
                <w:lang w:bidi="ar"/>
              </w:rPr>
            </w:pPr>
            <w:r>
              <w:rPr>
                <w:color w:val="000000"/>
                <w:sz w:val="16"/>
                <w:szCs w:val="16"/>
                <w:lang w:bidi="ar"/>
              </w:rPr>
              <w:t>100</w:t>
            </w:r>
          </w:p>
        </w:tc>
        <w:tc>
          <w:tcPr>
            <w:tcW w:w="709" w:type="dxa"/>
            <w:tcBorders>
              <w:top w:val="nil"/>
              <w:left w:val="nil"/>
              <w:bottom w:val="single" w:color="auto" w:sz="4" w:space="0"/>
              <w:right w:val="single" w:color="auto" w:sz="4" w:space="0"/>
            </w:tcBorders>
            <w:noWrap/>
            <w:vAlign w:val="center"/>
          </w:tcPr>
          <w:p w14:paraId="102C8A25">
            <w:pPr>
              <w:ind w:firstLine="160" w:firstLineChars="100"/>
              <w:jc w:val="center"/>
              <w:rPr>
                <w:rFonts w:hint="default"/>
                <w:color w:val="000000"/>
                <w:sz w:val="16"/>
                <w:szCs w:val="16"/>
                <w:lang w:bidi="ar"/>
              </w:rPr>
            </w:pPr>
            <w:r>
              <w:rPr>
                <w:color w:val="000000"/>
                <w:sz w:val="16"/>
                <w:szCs w:val="16"/>
                <w:lang w:bidi="ar"/>
              </w:rPr>
              <w:t>20</w:t>
            </w:r>
          </w:p>
        </w:tc>
        <w:tc>
          <w:tcPr>
            <w:tcW w:w="495" w:type="dxa"/>
            <w:tcBorders>
              <w:top w:val="nil"/>
              <w:left w:val="nil"/>
              <w:bottom w:val="single" w:color="auto" w:sz="4" w:space="0"/>
              <w:right w:val="single" w:color="auto" w:sz="4" w:space="0"/>
            </w:tcBorders>
            <w:noWrap/>
            <w:vAlign w:val="center"/>
          </w:tcPr>
          <w:p w14:paraId="2D75C6BE">
            <w:pPr>
              <w:ind w:firstLine="160" w:firstLineChars="100"/>
              <w:jc w:val="center"/>
              <w:rPr>
                <w:rFonts w:hint="default"/>
                <w:color w:val="000000"/>
                <w:sz w:val="16"/>
                <w:szCs w:val="16"/>
                <w:lang w:bidi="ar"/>
              </w:rPr>
            </w:pPr>
            <w:r>
              <w:rPr>
                <w:color w:val="000000"/>
                <w:sz w:val="16"/>
                <w:szCs w:val="16"/>
                <w:lang w:bidi="ar"/>
              </w:rPr>
              <w:t>20</w:t>
            </w:r>
          </w:p>
        </w:tc>
        <w:tc>
          <w:tcPr>
            <w:tcW w:w="960" w:type="dxa"/>
            <w:tcBorders>
              <w:top w:val="nil"/>
              <w:left w:val="nil"/>
              <w:bottom w:val="single" w:color="auto" w:sz="4" w:space="0"/>
              <w:right w:val="single" w:color="auto" w:sz="4" w:space="0"/>
            </w:tcBorders>
            <w:noWrap/>
            <w:vAlign w:val="center"/>
          </w:tcPr>
          <w:p w14:paraId="66790A07">
            <w:pPr>
              <w:ind w:firstLine="160" w:firstLineChars="100"/>
              <w:rPr>
                <w:rFonts w:hint="default"/>
                <w:color w:val="000000"/>
                <w:sz w:val="16"/>
                <w:szCs w:val="16"/>
              </w:rPr>
            </w:pPr>
            <w:r>
              <w:rPr>
                <w:color w:val="000000"/>
                <w:sz w:val="16"/>
                <w:szCs w:val="16"/>
                <w:lang w:bidi="ar"/>
              </w:rPr>
              <w:t>　否</w:t>
            </w:r>
          </w:p>
        </w:tc>
        <w:tc>
          <w:tcPr>
            <w:tcW w:w="3754" w:type="dxa"/>
            <w:gridSpan w:val="2"/>
            <w:tcBorders>
              <w:top w:val="single" w:color="auto" w:sz="4" w:space="0"/>
              <w:left w:val="nil"/>
              <w:bottom w:val="single" w:color="auto" w:sz="4" w:space="0"/>
              <w:right w:val="single" w:color="000000" w:sz="4" w:space="0"/>
            </w:tcBorders>
            <w:noWrap/>
            <w:vAlign w:val="center"/>
          </w:tcPr>
          <w:p w14:paraId="39CF5717">
            <w:pPr>
              <w:jc w:val="center"/>
              <w:rPr>
                <w:rFonts w:hint="default"/>
                <w:color w:val="000000"/>
                <w:sz w:val="16"/>
                <w:szCs w:val="16"/>
              </w:rPr>
            </w:pPr>
            <w:r>
              <w:rPr>
                <w:color w:val="000000"/>
                <w:sz w:val="16"/>
                <w:szCs w:val="16"/>
                <w:lang w:bidi="ar"/>
              </w:rPr>
              <w:t>　</w:t>
            </w:r>
          </w:p>
        </w:tc>
      </w:tr>
      <w:tr w14:paraId="49022CE8">
        <w:tblPrEx>
          <w:tblCellMar>
            <w:top w:w="0" w:type="dxa"/>
            <w:left w:w="108" w:type="dxa"/>
            <w:bottom w:w="0" w:type="dxa"/>
            <w:right w:w="108" w:type="dxa"/>
          </w:tblCellMar>
        </w:tblPrEx>
        <w:trPr>
          <w:trHeight w:val="789" w:hRule="atLeast"/>
          <w:jc w:val="center"/>
        </w:trPr>
        <w:tc>
          <w:tcPr>
            <w:tcW w:w="2646" w:type="dxa"/>
            <w:tcBorders>
              <w:top w:val="nil"/>
              <w:left w:val="single" w:color="auto" w:sz="4" w:space="0"/>
              <w:bottom w:val="single" w:color="auto" w:sz="4" w:space="0"/>
              <w:right w:val="single" w:color="auto" w:sz="4" w:space="0"/>
            </w:tcBorders>
            <w:noWrap/>
            <w:vAlign w:val="center"/>
          </w:tcPr>
          <w:p w14:paraId="2F28AFC0">
            <w:pPr>
              <w:ind w:firstLine="160" w:firstLineChars="100"/>
              <w:jc w:val="center"/>
              <w:rPr>
                <w:rFonts w:hint="default"/>
                <w:color w:val="000000"/>
                <w:sz w:val="16"/>
                <w:szCs w:val="16"/>
              </w:rPr>
            </w:pPr>
            <w:r>
              <w:rPr>
                <w:color w:val="000000"/>
                <w:sz w:val="16"/>
                <w:szCs w:val="16"/>
                <w:lang w:bidi="ar"/>
              </w:rPr>
              <w:t>群众满意度</w:t>
            </w:r>
          </w:p>
        </w:tc>
        <w:tc>
          <w:tcPr>
            <w:tcW w:w="586" w:type="dxa"/>
            <w:tcBorders>
              <w:top w:val="nil"/>
              <w:left w:val="nil"/>
              <w:bottom w:val="single" w:color="auto" w:sz="4" w:space="0"/>
              <w:right w:val="single" w:color="auto" w:sz="4" w:space="0"/>
            </w:tcBorders>
            <w:noWrap/>
            <w:vAlign w:val="center"/>
          </w:tcPr>
          <w:p w14:paraId="106E218F">
            <w:pPr>
              <w:ind w:firstLine="160" w:firstLineChars="100"/>
              <w:jc w:val="center"/>
              <w:rPr>
                <w:rFonts w:hint="default"/>
                <w:color w:val="000000"/>
                <w:sz w:val="16"/>
                <w:szCs w:val="16"/>
                <w:lang w:bidi="ar"/>
              </w:rPr>
            </w:pPr>
            <w:r>
              <w:rPr>
                <w:color w:val="000000"/>
                <w:sz w:val="16"/>
                <w:szCs w:val="16"/>
                <w:lang w:bidi="ar"/>
              </w:rPr>
              <w:t>%</w:t>
            </w:r>
          </w:p>
        </w:tc>
        <w:tc>
          <w:tcPr>
            <w:tcW w:w="850" w:type="dxa"/>
            <w:tcBorders>
              <w:top w:val="nil"/>
              <w:left w:val="nil"/>
              <w:bottom w:val="single" w:color="auto" w:sz="4" w:space="0"/>
              <w:right w:val="single" w:color="auto" w:sz="4" w:space="0"/>
            </w:tcBorders>
            <w:noWrap/>
            <w:vAlign w:val="center"/>
          </w:tcPr>
          <w:p w14:paraId="3B669289">
            <w:pPr>
              <w:ind w:firstLine="160" w:firstLineChars="100"/>
              <w:jc w:val="center"/>
              <w:rPr>
                <w:rFonts w:hint="default"/>
                <w:color w:val="000000"/>
                <w:sz w:val="16"/>
                <w:szCs w:val="16"/>
                <w:lang w:bidi="ar"/>
              </w:rPr>
            </w:pPr>
            <w:r>
              <w:rPr>
                <w:color w:val="000000"/>
                <w:sz w:val="16"/>
                <w:szCs w:val="16"/>
                <w:lang w:bidi="ar"/>
              </w:rPr>
              <w:t>≥</w:t>
            </w:r>
          </w:p>
        </w:tc>
        <w:tc>
          <w:tcPr>
            <w:tcW w:w="794" w:type="dxa"/>
            <w:tcBorders>
              <w:top w:val="nil"/>
              <w:left w:val="nil"/>
              <w:bottom w:val="single" w:color="auto" w:sz="4" w:space="0"/>
              <w:right w:val="single" w:color="auto" w:sz="4" w:space="0"/>
            </w:tcBorders>
            <w:noWrap/>
            <w:vAlign w:val="center"/>
          </w:tcPr>
          <w:p w14:paraId="6ABCEBBE">
            <w:pPr>
              <w:ind w:firstLine="160" w:firstLineChars="100"/>
              <w:jc w:val="center"/>
              <w:rPr>
                <w:rFonts w:hint="default"/>
                <w:color w:val="000000"/>
                <w:sz w:val="16"/>
                <w:szCs w:val="16"/>
                <w:lang w:bidi="ar"/>
              </w:rPr>
            </w:pPr>
            <w:r>
              <w:rPr>
                <w:color w:val="000000"/>
                <w:sz w:val="16"/>
                <w:szCs w:val="16"/>
                <w:lang w:bidi="ar"/>
              </w:rPr>
              <w:t>97</w:t>
            </w:r>
          </w:p>
        </w:tc>
        <w:tc>
          <w:tcPr>
            <w:tcW w:w="827" w:type="dxa"/>
            <w:tcBorders>
              <w:top w:val="nil"/>
              <w:left w:val="nil"/>
              <w:bottom w:val="single" w:color="auto" w:sz="4" w:space="0"/>
              <w:right w:val="single" w:color="auto" w:sz="4" w:space="0"/>
            </w:tcBorders>
            <w:noWrap/>
            <w:vAlign w:val="center"/>
          </w:tcPr>
          <w:p w14:paraId="08554877">
            <w:pPr>
              <w:ind w:firstLine="160" w:firstLineChars="100"/>
              <w:jc w:val="center"/>
              <w:rPr>
                <w:rFonts w:hint="default"/>
                <w:color w:val="000000"/>
                <w:sz w:val="16"/>
                <w:szCs w:val="16"/>
                <w:lang w:bidi="ar"/>
              </w:rPr>
            </w:pPr>
            <w:r>
              <w:rPr>
                <w:color w:val="000000"/>
                <w:sz w:val="16"/>
                <w:szCs w:val="16"/>
                <w:lang w:bidi="ar"/>
              </w:rPr>
              <w:t>97</w:t>
            </w:r>
          </w:p>
        </w:tc>
        <w:tc>
          <w:tcPr>
            <w:tcW w:w="931" w:type="dxa"/>
            <w:tcBorders>
              <w:top w:val="nil"/>
              <w:left w:val="nil"/>
              <w:bottom w:val="single" w:color="auto" w:sz="4" w:space="0"/>
              <w:right w:val="single" w:color="auto" w:sz="4" w:space="0"/>
            </w:tcBorders>
            <w:noWrap/>
            <w:vAlign w:val="center"/>
          </w:tcPr>
          <w:p w14:paraId="3E19B101">
            <w:pPr>
              <w:ind w:firstLine="160" w:firstLineChars="100"/>
              <w:jc w:val="center"/>
              <w:rPr>
                <w:rFonts w:hint="default"/>
                <w:color w:val="000000"/>
                <w:sz w:val="16"/>
                <w:szCs w:val="16"/>
                <w:lang w:bidi="ar"/>
              </w:rPr>
            </w:pPr>
            <w:r>
              <w:rPr>
                <w:color w:val="000000"/>
                <w:sz w:val="16"/>
                <w:szCs w:val="16"/>
                <w:lang w:bidi="ar"/>
              </w:rPr>
              <w:t>0</w:t>
            </w:r>
          </w:p>
        </w:tc>
        <w:tc>
          <w:tcPr>
            <w:tcW w:w="1043" w:type="dxa"/>
            <w:tcBorders>
              <w:top w:val="nil"/>
              <w:left w:val="nil"/>
              <w:bottom w:val="single" w:color="auto" w:sz="4" w:space="0"/>
              <w:right w:val="single" w:color="auto" w:sz="4" w:space="0"/>
            </w:tcBorders>
            <w:noWrap/>
            <w:vAlign w:val="center"/>
          </w:tcPr>
          <w:p w14:paraId="17039548">
            <w:pPr>
              <w:ind w:firstLine="160" w:firstLineChars="100"/>
              <w:jc w:val="center"/>
              <w:rPr>
                <w:rFonts w:hint="default"/>
                <w:color w:val="000000"/>
                <w:sz w:val="16"/>
                <w:szCs w:val="16"/>
                <w:lang w:bidi="ar"/>
              </w:rPr>
            </w:pPr>
            <w:r>
              <w:rPr>
                <w:color w:val="000000"/>
                <w:sz w:val="16"/>
                <w:szCs w:val="16"/>
                <w:lang w:bidi="ar"/>
              </w:rPr>
              <w:t>100</w:t>
            </w:r>
          </w:p>
        </w:tc>
        <w:tc>
          <w:tcPr>
            <w:tcW w:w="709" w:type="dxa"/>
            <w:tcBorders>
              <w:top w:val="nil"/>
              <w:left w:val="nil"/>
              <w:bottom w:val="single" w:color="auto" w:sz="4" w:space="0"/>
              <w:right w:val="single" w:color="auto" w:sz="4" w:space="0"/>
            </w:tcBorders>
            <w:noWrap/>
            <w:vAlign w:val="center"/>
          </w:tcPr>
          <w:p w14:paraId="572D57B5">
            <w:pPr>
              <w:ind w:firstLine="160" w:firstLineChars="100"/>
              <w:jc w:val="center"/>
              <w:rPr>
                <w:rFonts w:hint="default"/>
                <w:color w:val="000000"/>
                <w:sz w:val="16"/>
                <w:szCs w:val="16"/>
                <w:lang w:bidi="ar"/>
              </w:rPr>
            </w:pPr>
            <w:r>
              <w:rPr>
                <w:color w:val="000000"/>
                <w:sz w:val="16"/>
                <w:szCs w:val="16"/>
                <w:lang w:bidi="ar"/>
              </w:rPr>
              <w:t>20</w:t>
            </w:r>
          </w:p>
        </w:tc>
        <w:tc>
          <w:tcPr>
            <w:tcW w:w="495" w:type="dxa"/>
            <w:tcBorders>
              <w:top w:val="nil"/>
              <w:left w:val="nil"/>
              <w:bottom w:val="single" w:color="auto" w:sz="4" w:space="0"/>
              <w:right w:val="single" w:color="auto" w:sz="4" w:space="0"/>
            </w:tcBorders>
            <w:noWrap/>
            <w:vAlign w:val="center"/>
          </w:tcPr>
          <w:p w14:paraId="7D71F868">
            <w:pPr>
              <w:ind w:firstLine="160" w:firstLineChars="100"/>
              <w:jc w:val="center"/>
              <w:rPr>
                <w:rFonts w:hint="default"/>
                <w:color w:val="000000"/>
                <w:sz w:val="16"/>
                <w:szCs w:val="16"/>
                <w:lang w:bidi="ar"/>
              </w:rPr>
            </w:pPr>
            <w:r>
              <w:rPr>
                <w:color w:val="000000"/>
                <w:sz w:val="16"/>
                <w:szCs w:val="16"/>
                <w:lang w:bidi="ar"/>
              </w:rPr>
              <w:t>20</w:t>
            </w:r>
          </w:p>
        </w:tc>
        <w:tc>
          <w:tcPr>
            <w:tcW w:w="960" w:type="dxa"/>
            <w:tcBorders>
              <w:top w:val="nil"/>
              <w:left w:val="nil"/>
              <w:bottom w:val="single" w:color="auto" w:sz="4" w:space="0"/>
              <w:right w:val="single" w:color="auto" w:sz="4" w:space="0"/>
            </w:tcBorders>
            <w:noWrap/>
            <w:vAlign w:val="center"/>
          </w:tcPr>
          <w:p w14:paraId="1454FC86">
            <w:pPr>
              <w:ind w:firstLine="160" w:firstLineChars="100"/>
              <w:rPr>
                <w:rFonts w:hint="default"/>
                <w:color w:val="000000"/>
                <w:sz w:val="16"/>
                <w:szCs w:val="16"/>
              </w:rPr>
            </w:pPr>
            <w:r>
              <w:rPr>
                <w:color w:val="000000"/>
                <w:sz w:val="16"/>
                <w:szCs w:val="16"/>
                <w:lang w:bidi="ar"/>
              </w:rPr>
              <w:t>　否</w:t>
            </w:r>
          </w:p>
        </w:tc>
        <w:tc>
          <w:tcPr>
            <w:tcW w:w="3754" w:type="dxa"/>
            <w:gridSpan w:val="2"/>
            <w:tcBorders>
              <w:top w:val="single" w:color="auto" w:sz="4" w:space="0"/>
              <w:left w:val="nil"/>
              <w:bottom w:val="single" w:color="auto" w:sz="4" w:space="0"/>
              <w:right w:val="single" w:color="000000" w:sz="4" w:space="0"/>
            </w:tcBorders>
            <w:noWrap/>
            <w:vAlign w:val="center"/>
          </w:tcPr>
          <w:p w14:paraId="6C870B6C">
            <w:pPr>
              <w:jc w:val="center"/>
              <w:rPr>
                <w:rFonts w:hint="default"/>
                <w:color w:val="000000"/>
                <w:sz w:val="16"/>
                <w:szCs w:val="16"/>
              </w:rPr>
            </w:pPr>
            <w:r>
              <w:rPr>
                <w:color w:val="000000"/>
                <w:sz w:val="16"/>
                <w:szCs w:val="16"/>
                <w:lang w:bidi="ar"/>
              </w:rPr>
              <w:t>　</w:t>
            </w:r>
          </w:p>
        </w:tc>
      </w:tr>
    </w:tbl>
    <w:p w14:paraId="485702A7">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2D1D3B50">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30753158">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5F094FBB">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4EADCAFC">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4A10A7D3">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2AD98356">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465697C4">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69979021">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pPr>
    </w:p>
    <w:p w14:paraId="5ED14DDA">
      <w:pPr>
        <w:pStyle w:val="17"/>
        <w:keepNext w:val="0"/>
        <w:keepLines w:val="0"/>
        <w:pageBreakBefore w:val="0"/>
        <w:widowControl/>
        <w:kinsoku/>
        <w:overflowPunct/>
        <w:topLinePunct w:val="0"/>
        <w:autoSpaceDN/>
        <w:bidi w:val="0"/>
        <w:adjustRightInd/>
        <w:spacing w:before="0" w:beforeAutospacing="0" w:after="0" w:afterAutospacing="0" w:line="579" w:lineRule="exact"/>
        <w:ind w:left="0" w:leftChars="0" w:right="0"/>
        <w:rPr>
          <w:rFonts w:hint="default" w:ascii="Times New Roman" w:hAnsi="Times New Roman" w:eastAsia="方正仿宋_GBK" w:cs="Times New Roman"/>
          <w:sz w:val="32"/>
          <w:szCs w:val="32"/>
          <w:shd w:val="clear" w:color="auto" w:fill="FFFFFF"/>
        </w:rPr>
        <w:sectPr>
          <w:pgSz w:w="16840" w:h="11915" w:orient="landscape"/>
          <w:pgMar w:top="1531" w:right="2098" w:bottom="1531" w:left="1984" w:header="850" w:footer="1474" w:gutter="0"/>
          <w:pgNumType w:fmt="numberInDash"/>
          <w:cols w:space="0" w:num="1"/>
          <w:rtlGutter w:val="0"/>
          <w:docGrid w:type="lines" w:linePitch="534" w:charSpace="0"/>
        </w:sectPr>
      </w:pPr>
    </w:p>
    <w:p w14:paraId="7C58747C">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（二）部门绩效评价情况</w:t>
      </w:r>
    </w:p>
    <w:p w14:paraId="353698EF">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14:paraId="5A0522B6">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643"/>
        <w:outlineLvl w:val="1"/>
        <w:rPr>
          <w:rStyle w:val="14"/>
          <w:rFonts w:hint="default" w:ascii="Times New Roman" w:hAnsi="Times New Roman" w:eastAsia="方正楷体_GBK" w:cs="Times New Roman"/>
          <w:b w:val="0"/>
          <w:bCs/>
          <w:sz w:val="32"/>
          <w:szCs w:val="32"/>
          <w:shd w:val="clear" w:color="auto" w:fill="FFFFFF"/>
          <w:lang w:val="en-US" w:eastAsia="zh-CN" w:bidi="ar-SA"/>
        </w:rPr>
      </w:pPr>
      <w:r>
        <w:rPr>
          <w:rStyle w:val="14"/>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5BAACCEE">
      <w:pPr>
        <w:pStyle w:val="9"/>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县</w:t>
      </w:r>
      <w:r>
        <w:rPr>
          <w:rFonts w:hint="default" w:ascii="Times New Roman" w:hAnsi="Times New Roman" w:eastAsia="方正仿宋_GBK" w:cs="Times New Roman"/>
          <w:sz w:val="32"/>
          <w:szCs w:val="32"/>
          <w:shd w:val="clear" w:color="auto" w:fill="FFFFFF"/>
        </w:rPr>
        <w:t>财政局未委托第三方对我部门开展绩效评价。</w:t>
      </w:r>
    </w:p>
    <w:p w14:paraId="6914F00D">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outlineLvl w:val="0"/>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六、专业名词解释</w:t>
      </w:r>
    </w:p>
    <w:p w14:paraId="3A3C9363">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69CCA66">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55E22A4B">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EFD0723">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1377F51">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405C692">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ABF8E77">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3CCA9EB0">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1441E24C">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5B9028F">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6350842">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6073FA3">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5852CA">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10B66D">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2F75425">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6E8D41F">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90C3A45">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ACE10CF">
      <w:pPr>
        <w:pStyle w:val="9"/>
        <w:keepNext w:val="0"/>
        <w:keepLines w:val="0"/>
        <w:pageBreakBefore w:val="0"/>
        <w:widowControl/>
        <w:shd w:val="clear" w:color="auto" w:fill="FFFFFF"/>
        <w:kinsoku/>
        <w:overflowPunct/>
        <w:topLinePunct w:val="0"/>
        <w:autoSpaceDN/>
        <w:bidi w:val="0"/>
        <w:adjustRightInd/>
        <w:spacing w:beforeAutospacing="0" w:after="0" w:afterAutospacing="0" w:line="579" w:lineRule="exact"/>
        <w:ind w:left="0" w:leftChars="0" w:right="0" w:firstLine="640" w:firstLineChars="200"/>
        <w:outlineLvl w:val="0"/>
        <w:rPr>
          <w:rStyle w:val="14"/>
          <w:rFonts w:hint="default" w:ascii="Times New Roman" w:hAnsi="Times New Roman" w:eastAsia="方正仿宋_GBK" w:cs="Times New Roman"/>
          <w:sz w:val="32"/>
          <w:szCs w:val="32"/>
          <w:shd w:val="clear" w:color="auto" w:fill="FFFF00"/>
        </w:rPr>
      </w:pPr>
      <w:r>
        <w:rPr>
          <w:rStyle w:val="14"/>
          <w:rFonts w:hint="default" w:ascii="Times New Roman" w:hAnsi="Times New Roman" w:eastAsia="方正黑体_GBK" w:cs="Times New Roman"/>
          <w:b w:val="0"/>
          <w:bCs/>
          <w:sz w:val="32"/>
          <w:szCs w:val="32"/>
          <w:shd w:val="clear" w:color="auto" w:fill="FFFFFF"/>
        </w:rPr>
        <w:t>七、决算公开联系方式及信息反馈渠道</w:t>
      </w:r>
    </w:p>
    <w:p w14:paraId="37716C7A">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本单位决算公开信息反馈和联系方式：</w:t>
      </w:r>
    </w:p>
    <w:p w14:paraId="0FF56580">
      <w:pPr>
        <w:pStyle w:val="9"/>
        <w:keepNext w:val="0"/>
        <w:keepLines w:val="0"/>
        <w:pageBreakBefore w:val="0"/>
        <w:widowControl/>
        <w:kinsoku/>
        <w:overflowPunct/>
        <w:topLinePunct w:val="0"/>
        <w:autoSpaceDN/>
        <w:bidi w:val="0"/>
        <w:adjustRightInd/>
        <w:snapToGrid w:val="0"/>
        <w:spacing w:before="0" w:beforeAutospacing="0" w:after="0" w:afterAutospacing="0" w:line="579"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bidi="ar"/>
        </w:rPr>
        <w:t>刘远剑     023-70687016</w:t>
      </w:r>
    </w:p>
    <w:p w14:paraId="5B4B091B">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0" w:firstLineChars="0"/>
        <w:rPr>
          <w:rStyle w:val="14"/>
          <w:rFonts w:hint="default" w:ascii="Times New Roman" w:hAnsi="Times New Roman" w:eastAsia="方正仿宋_GBK" w:cs="Times New Roman"/>
          <w:sz w:val="32"/>
          <w:szCs w:val="32"/>
          <w:shd w:val="clear" w:color="auto" w:fill="FFFF00"/>
        </w:rPr>
      </w:pPr>
    </w:p>
    <w:p w14:paraId="612CECC1">
      <w:pPr>
        <w:keepNext w:val="0"/>
        <w:keepLines w:val="0"/>
        <w:pageBreakBefore w:val="0"/>
        <w:widowControl/>
        <w:kinsoku/>
        <w:overflowPunct/>
        <w:topLinePunct w:val="0"/>
        <w:autoSpaceDN/>
        <w:bidi w:val="0"/>
        <w:adjustRightInd/>
        <w:spacing w:beforeAutospacing="0" w:afterAutospacing="0" w:line="579" w:lineRule="exact"/>
        <w:ind w:left="0" w:leftChars="0" w:right="0" w:firstLine="640" w:firstLineChars="200"/>
        <w:rPr>
          <w:rFonts w:hint="default" w:ascii="Times New Roman" w:hAnsi="Times New Roman" w:eastAsia="方正仿宋_GBK" w:cs="Times New Roman"/>
          <w:w w:val="95"/>
          <w:sz w:val="32"/>
          <w:szCs w:val="32"/>
        </w:rPr>
      </w:pPr>
      <w:bookmarkStart w:id="1" w:name="OLE_LINK2"/>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w w:val="95"/>
          <w:sz w:val="32"/>
          <w:szCs w:val="32"/>
        </w:rPr>
        <w:t>丰都县保合镇2023年度二级项目绩效自评表</w:t>
      </w:r>
      <w:bookmarkEnd w:id="1"/>
    </w:p>
    <w:p w14:paraId="172C239E">
      <w:pPr>
        <w:pStyle w:val="9"/>
        <w:keepNext w:val="0"/>
        <w:keepLines w:val="0"/>
        <w:pageBreakBefore w:val="0"/>
        <w:widowControl/>
        <w:kinsoku/>
        <w:wordWrap w:val="0"/>
        <w:overflowPunct/>
        <w:topLinePunct w:val="0"/>
        <w:autoSpaceDN/>
        <w:bidi w:val="0"/>
        <w:adjustRightInd/>
        <w:spacing w:before="0" w:beforeAutospacing="0" w:after="0" w:afterAutospacing="0" w:line="579" w:lineRule="exact"/>
        <w:ind w:left="0" w:leftChars="0" w:right="0"/>
        <w:jc w:val="both"/>
        <w:rPr>
          <w:rFonts w:hint="default" w:ascii="Times New Roman" w:hAnsi="Times New Roman" w:eastAsia="微软雅黑" w:cs="Times New Roman"/>
          <w:color w:val="333333"/>
          <w:sz w:val="45"/>
          <w:szCs w:val="45"/>
          <w:shd w:val="clear" w:color="auto" w:fill="FFFFFF"/>
        </w:rPr>
      </w:pPr>
    </w:p>
    <w:p w14:paraId="5F32F980">
      <w:pPr>
        <w:pStyle w:val="9"/>
        <w:keepNext w:val="0"/>
        <w:keepLines w:val="0"/>
        <w:pageBreakBefore w:val="0"/>
        <w:widowControl/>
        <w:kinsoku/>
        <w:wordWrap w:val="0"/>
        <w:overflowPunct/>
        <w:topLinePunct w:val="0"/>
        <w:autoSpaceDN/>
        <w:bidi w:val="0"/>
        <w:adjustRightInd/>
        <w:spacing w:before="0" w:beforeAutospacing="0" w:after="0" w:afterAutospacing="0" w:line="579" w:lineRule="exact"/>
        <w:ind w:left="0" w:leftChars="0" w:right="0"/>
        <w:jc w:val="center"/>
        <w:rPr>
          <w:rFonts w:hint="default" w:ascii="Times New Roman" w:hAnsi="Times New Roman" w:eastAsia="微软雅黑" w:cs="Times New Roman"/>
          <w:color w:val="333333"/>
          <w:sz w:val="45"/>
          <w:szCs w:val="45"/>
          <w:shd w:val="clear" w:color="auto" w:fill="FFFFFF"/>
        </w:rPr>
      </w:pPr>
    </w:p>
    <w:p w14:paraId="6F64558E">
      <w:pPr>
        <w:pStyle w:val="16"/>
        <w:keepNext w:val="0"/>
        <w:keepLines w:val="0"/>
        <w:pageBreakBefore w:val="0"/>
        <w:widowControl/>
        <w:kinsoku/>
        <w:overflowPunct/>
        <w:topLinePunct w:val="0"/>
        <w:autoSpaceDE w:val="0"/>
        <w:autoSpaceDN/>
        <w:bidi w:val="0"/>
        <w:adjustRightInd/>
        <w:spacing w:beforeAutospacing="0" w:afterAutospacing="0" w:line="579" w:lineRule="exact"/>
        <w:ind w:left="0" w:leftChars="0" w:right="0" w:firstLine="0" w:firstLineChars="0"/>
        <w:rPr>
          <w:rStyle w:val="14"/>
          <w:rFonts w:hint="default" w:ascii="Times New Roman" w:hAnsi="Times New Roman" w:eastAsia="方正仿宋_GBK" w:cs="Times New Roman"/>
          <w:sz w:val="32"/>
          <w:szCs w:val="32"/>
          <w:shd w:val="clear" w:color="auto" w:fill="FFFF00"/>
        </w:rPr>
        <w:sectPr>
          <w:pgSz w:w="11915" w:h="16840"/>
          <w:pgMar w:top="2098" w:right="1531" w:bottom="1984" w:left="1531" w:header="850" w:footer="1474" w:gutter="0"/>
          <w:pgNumType w:fmt="numberInDash"/>
          <w:cols w:space="0" w:num="1"/>
          <w:rtlGutter w:val="0"/>
          <w:docGrid w:type="lines" w:linePitch="534" w:charSpace="0"/>
        </w:sectPr>
      </w:pPr>
    </w:p>
    <w:p w14:paraId="30AFB35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eastAsia="方正小标宋_GBK" w:cs="Times New Roman"/>
          <w:w w:val="95"/>
          <w:sz w:val="44"/>
          <w:szCs w:val="44"/>
        </w:rPr>
      </w:pPr>
    </w:p>
    <w:tbl>
      <w:tblPr>
        <w:tblStyle w:val="11"/>
        <w:tblW w:w="5005" w:type="pct"/>
        <w:tblInd w:w="0" w:type="dxa"/>
        <w:tblLayout w:type="autofit"/>
        <w:tblCellMar>
          <w:top w:w="0" w:type="dxa"/>
          <w:left w:w="0" w:type="dxa"/>
          <w:bottom w:w="0" w:type="dxa"/>
          <w:right w:w="0" w:type="dxa"/>
        </w:tblCellMar>
      </w:tblPr>
      <w:tblGrid>
        <w:gridCol w:w="4581"/>
        <w:gridCol w:w="1806"/>
        <w:gridCol w:w="4300"/>
        <w:gridCol w:w="3078"/>
      </w:tblGrid>
      <w:tr w14:paraId="754BB92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CEC532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D384103">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7BEC703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4F96B57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EF2E2E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9B71DD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42EB79F">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7A01B0D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2"/>
                <w:szCs w:val="22"/>
              </w:rPr>
            </w:pPr>
            <w:r>
              <w:rPr>
                <w:rFonts w:hint="default" w:ascii="Times New Roman" w:hAnsi="Times New Roman" w:cs="Times New Roman"/>
                <w:sz w:val="20"/>
                <w:szCs w:val="20"/>
              </w:rPr>
              <w:t>公开部门：</w:t>
            </w:r>
            <w:r>
              <w:rPr>
                <w:rFonts w:hint="default" w:ascii="Times New Roman" w:hAnsi="Times New Roman" w:cs="Times New Roman"/>
                <w:sz w:val="20"/>
              </w:rPr>
              <w:t>重庆市丰都县保合镇人民政府</w:t>
            </w:r>
          </w:p>
        </w:tc>
        <w:tc>
          <w:tcPr>
            <w:tcW w:w="1562" w:type="pct"/>
            <w:tcBorders>
              <w:top w:val="nil"/>
              <w:left w:val="nil"/>
              <w:bottom w:val="nil"/>
              <w:right w:val="nil"/>
            </w:tcBorders>
            <w:shd w:val="clear" w:color="auto" w:fill="auto"/>
            <w:noWrap/>
            <w:tcMar>
              <w:top w:w="15" w:type="dxa"/>
              <w:left w:w="15" w:type="dxa"/>
              <w:right w:w="15" w:type="dxa"/>
            </w:tcMar>
            <w:vAlign w:val="bottom"/>
          </w:tcPr>
          <w:p w14:paraId="2DBDEF6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2EC9306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272627A">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804A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F4F2EA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DA9A46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6812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16110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49446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31B71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0E10DB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C3E8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7D75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2,668.21</w:t>
            </w: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A20EB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0E2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763.72</w:t>
            </w:r>
            <w:r>
              <w:rPr>
                <w:rFonts w:hint="default" w:ascii="Times New Roman" w:hAnsi="Times New Roman" w:cs="Times New Roman"/>
                <w:color w:val="000000"/>
                <w:sz w:val="20"/>
              </w:rPr>
              <w:t xml:space="preserve"> </w:t>
            </w:r>
          </w:p>
        </w:tc>
      </w:tr>
      <w:tr w14:paraId="41C306F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A3A3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7FEC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48.85</w:t>
            </w: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2E3ED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92B9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59F03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E7EB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9FFC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1C931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2F23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w:t>
            </w:r>
            <w:r>
              <w:rPr>
                <w:rFonts w:hint="default" w:ascii="Times New Roman" w:hAnsi="Times New Roman" w:cs="Times New Roman"/>
                <w:color w:val="000000"/>
                <w:sz w:val="20"/>
              </w:rPr>
              <w:t xml:space="preserve"> </w:t>
            </w:r>
          </w:p>
        </w:tc>
      </w:tr>
      <w:tr w14:paraId="77B9431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4900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0C41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17DD3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1BC2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DCF241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95C8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AFE7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40F3C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CFE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09AA47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0CE3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571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43A7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6E14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41C78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C236E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6D44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7DEB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2E80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126.70</w:t>
            </w:r>
            <w:r>
              <w:rPr>
                <w:rFonts w:hint="default" w:ascii="Times New Roman" w:hAnsi="Times New Roman" w:cs="Times New Roman"/>
                <w:color w:val="000000"/>
                <w:sz w:val="20"/>
              </w:rPr>
              <w:t xml:space="preserve"> </w:t>
            </w:r>
          </w:p>
        </w:tc>
      </w:tr>
      <w:tr w14:paraId="3F62978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3A12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1521409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45827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DEFB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338.13</w:t>
            </w:r>
            <w:r>
              <w:rPr>
                <w:rFonts w:hint="default" w:ascii="Times New Roman" w:hAnsi="Times New Roman" w:cs="Times New Roman"/>
                <w:color w:val="000000"/>
                <w:sz w:val="20"/>
              </w:rPr>
              <w:t xml:space="preserve"> </w:t>
            </w:r>
          </w:p>
        </w:tc>
      </w:tr>
      <w:tr w14:paraId="3EA2C5E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F18A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B8AED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382F1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6E30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47.59</w:t>
            </w:r>
            <w:r>
              <w:rPr>
                <w:rFonts w:hint="default" w:ascii="Times New Roman" w:hAnsi="Times New Roman" w:cs="Times New Roman"/>
                <w:color w:val="000000"/>
                <w:sz w:val="20"/>
              </w:rPr>
              <w:t xml:space="preserve"> </w:t>
            </w:r>
          </w:p>
        </w:tc>
      </w:tr>
      <w:tr w14:paraId="07E7DA9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08D2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F938A">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DB39A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083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EFC2C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1106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C188F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2895F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963DA">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80.37</w:t>
            </w:r>
            <w:r>
              <w:rPr>
                <w:rFonts w:hint="default" w:ascii="Times New Roman" w:hAnsi="Times New Roman" w:cs="Times New Roman"/>
                <w:color w:val="000000"/>
                <w:sz w:val="20"/>
              </w:rPr>
              <w:t xml:space="preserve"> </w:t>
            </w:r>
          </w:p>
        </w:tc>
      </w:tr>
      <w:tr w14:paraId="4A3C460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C1CD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E0545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ECEE9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99B3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1,101.17</w:t>
            </w:r>
            <w:r>
              <w:rPr>
                <w:rFonts w:hint="default" w:ascii="Times New Roman" w:hAnsi="Times New Roman" w:cs="Times New Roman"/>
                <w:color w:val="000000"/>
                <w:sz w:val="20"/>
              </w:rPr>
              <w:t xml:space="preserve"> </w:t>
            </w:r>
          </w:p>
        </w:tc>
      </w:tr>
      <w:tr w14:paraId="4DF7C28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2276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391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73A0E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960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238.72</w:t>
            </w:r>
            <w:r>
              <w:rPr>
                <w:rFonts w:hint="default" w:ascii="Times New Roman" w:hAnsi="Times New Roman" w:cs="Times New Roman"/>
                <w:color w:val="000000"/>
                <w:sz w:val="20"/>
              </w:rPr>
              <w:t xml:space="preserve"> </w:t>
            </w:r>
          </w:p>
        </w:tc>
      </w:tr>
      <w:tr w14:paraId="5C9F7C0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070B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6A7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FF196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D28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C3CB6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BE52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0062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A1DBD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C390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0D105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48FA7">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FD4F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EF82C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C3D4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5ED0E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0D0B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8AE1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04AAB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D68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D7C1A0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1B73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25B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56972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B4A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252598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B10B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381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5820C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F45C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54.51</w:t>
            </w:r>
            <w:r>
              <w:rPr>
                <w:rFonts w:hint="default" w:ascii="Times New Roman" w:hAnsi="Times New Roman" w:cs="Times New Roman"/>
                <w:color w:val="000000"/>
                <w:sz w:val="20"/>
              </w:rPr>
              <w:t xml:space="preserve"> </w:t>
            </w:r>
          </w:p>
        </w:tc>
      </w:tr>
      <w:tr w14:paraId="778C458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05A6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145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8AD4C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5FB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36611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00C5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21C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1B8F1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C805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4082A7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D211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668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A18E1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C45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30.17</w:t>
            </w:r>
            <w:r>
              <w:rPr>
                <w:rFonts w:hint="default" w:ascii="Times New Roman" w:hAnsi="Times New Roman" w:cs="Times New Roman"/>
                <w:color w:val="000000"/>
                <w:sz w:val="20"/>
              </w:rPr>
              <w:t xml:space="preserve"> </w:t>
            </w:r>
          </w:p>
        </w:tc>
      </w:tr>
      <w:tr w14:paraId="003EED6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A700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9471">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9685A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1168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r>
      <w:tr w14:paraId="31E2F7B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1448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523C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59E7E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2017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10C57E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03886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60D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5440C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7F2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AED89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1E465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3548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39C43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0E40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C30F0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FD67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1E33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2,717.06</w:t>
            </w: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55D7E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F5B7A">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2,809.48</w:t>
            </w:r>
            <w:r>
              <w:rPr>
                <w:rFonts w:hint="default" w:ascii="Times New Roman" w:hAnsi="Times New Roman" w:cs="Times New Roman"/>
                <w:color w:val="000000"/>
                <w:sz w:val="20"/>
              </w:rPr>
              <w:t xml:space="preserve"> </w:t>
            </w:r>
          </w:p>
        </w:tc>
      </w:tr>
      <w:tr w14:paraId="33BF9A4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7C568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3831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7312D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55D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08092E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0CB3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325C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101.92</w:t>
            </w: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CEE54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6BB39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9.51</w:t>
            </w:r>
            <w:r>
              <w:rPr>
                <w:rFonts w:hint="default" w:ascii="Times New Roman" w:hAnsi="Times New Roman" w:cs="Times New Roman"/>
                <w:color w:val="000000"/>
                <w:sz w:val="20"/>
              </w:rPr>
              <w:t xml:space="preserve"> </w:t>
            </w:r>
          </w:p>
        </w:tc>
      </w:tr>
      <w:tr w14:paraId="032DC8FD">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A713F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24D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2,818.98</w:t>
            </w:r>
            <w:r>
              <w:rPr>
                <w:rFonts w:hint="default" w:ascii="Times New Roman" w:hAnsi="Times New Roman" w:cs="Times New Roman"/>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9AE118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12E8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2,818.98</w:t>
            </w:r>
            <w:r>
              <w:rPr>
                <w:rFonts w:hint="default" w:ascii="Times New Roman" w:hAnsi="Times New Roman" w:cs="Times New Roman"/>
                <w:color w:val="000000"/>
                <w:sz w:val="20"/>
              </w:rPr>
              <w:t xml:space="preserve"> </w:t>
            </w:r>
          </w:p>
        </w:tc>
      </w:tr>
    </w:tbl>
    <w:p w14:paraId="7A426AE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1"/>
        <w:tblW w:w="5000" w:type="pct"/>
        <w:tblInd w:w="0" w:type="dxa"/>
        <w:tblLayout w:type="fixed"/>
        <w:tblCellMar>
          <w:top w:w="0" w:type="dxa"/>
          <w:left w:w="0" w:type="dxa"/>
          <w:bottom w:w="0" w:type="dxa"/>
          <w:right w:w="0" w:type="dxa"/>
        </w:tblCellMar>
      </w:tblPr>
      <w:tblGrid>
        <w:gridCol w:w="1520"/>
        <w:gridCol w:w="2835"/>
        <w:gridCol w:w="1103"/>
        <w:gridCol w:w="1103"/>
        <w:gridCol w:w="1103"/>
        <w:gridCol w:w="1103"/>
        <w:gridCol w:w="1221"/>
        <w:gridCol w:w="1169"/>
        <w:gridCol w:w="1287"/>
        <w:gridCol w:w="1307"/>
      </w:tblGrid>
      <w:tr w14:paraId="686A5DE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FA26C9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1FBAA08">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22D7AD0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sz w:val="20"/>
              </w:rPr>
              <w:t>重庆市丰都县保合镇人民政府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14:paraId="08B7584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7534B9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AF6CD4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1AF7D98">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884E67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56A1A6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7239C2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105608C">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46BD632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C9D1EC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D1B4967">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98A619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5EB8D9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24DDA26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0B84D4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F381B0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BE1AEFB">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31BEA23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9921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17E7D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D5AF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76BDF1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9A06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1C41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3B75A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57648F6">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D9C59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B5C160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C0C59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0F86C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AD73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59D27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1113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A11B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0ADF1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A3DC2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4AC14EB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F7AAB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CF0398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0343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7107B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46D6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D1B6F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AC179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E71C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A827B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9A514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4BE7529C">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A523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31FFA2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AACEE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BE9ED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61B5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85A4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45302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F859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D370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7FABC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7F5BCEB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7984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5411A9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1A2BB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B943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BDBBB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561FA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19155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A7EB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9E34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D1B01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1CA66099">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774C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59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2,717.06</w:t>
            </w:r>
            <w:r>
              <w:rPr>
                <w:rFonts w:hint="default" w:ascii="Times New Roman" w:hAnsi="Times New Roman" w:cs="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90C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2,717.06</w:t>
            </w:r>
            <w:r>
              <w:rPr>
                <w:rFonts w:hint="default" w:ascii="Times New Roman" w:hAnsi="Times New Roman" w:cs="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8C0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840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44E3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86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E1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024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r>
      <w:tr w14:paraId="4CDE777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894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A508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3A7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743.72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D6C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743.72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344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549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63A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18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849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396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56215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76D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3A49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7D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03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A0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47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70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02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A41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C94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659177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ABC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F651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2F8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A5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971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9C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4B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871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0FF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68E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0432A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D36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93F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39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535.62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6A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535.62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46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E6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C0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D66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16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E0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E38C38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207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444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23F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518.75</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95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518.75</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AD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D25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37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CB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C5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88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4D65D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403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AB9F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EE9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FD8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23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EE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AA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8C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DAC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074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2F461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A58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7AA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CA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1A1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19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1F1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A8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CF2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F6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DE2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33BD0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F4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3631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9D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9A5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B6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26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58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5D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31F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92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77DF1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800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5BA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80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B87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3D3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7EC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A3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6F1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CE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627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BC738C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752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2AF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684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96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57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0D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73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65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54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C8D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BF2A2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BA9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B195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BC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2C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05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13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DD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DD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71A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D6C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FA2B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1B4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721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C0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22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21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4C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54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78C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80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F5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6D83E4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36C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09E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1A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5F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1C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369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5B8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AE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81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2E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3C713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84E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24AF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其他国防动员支出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E3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2E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026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2EB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C3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2D0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8D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1D2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C50E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C18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40A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0BA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4AB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22B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4E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52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31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CB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4C1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F49B55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7D3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840D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B1C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6B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B4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BA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89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84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01A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8F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D7673E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BC0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83C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A65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76.70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44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76.70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54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422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90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364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C77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7FF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41CEB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64B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BB0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841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752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DEB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72F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B0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981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95E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EF6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DACFB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0F5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102F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25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029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84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49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3A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C7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188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A7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4BAE4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FD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9BB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543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D5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BDF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EB6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8A0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2A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E7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AB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2E76D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F3C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688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D7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838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A9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1A7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9C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F6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B43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960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B84CA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272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08F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CF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8D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A54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11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F7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7A5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8DA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26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C0221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ABC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047D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6D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338.13</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81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338.13</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7B9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81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6FF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B94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9D2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666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010B0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005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D5A9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0E0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75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D08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0D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3C8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5F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96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6F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B4C8F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DE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420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C00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68A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863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E3E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E8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246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CC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D3D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C4CEE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C09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5863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6F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9B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21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162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55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25D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D1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30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A34076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0E8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4734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8F2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CB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6FD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8B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39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9BB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8D3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47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733A0B">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2AF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D31E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8B3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143.17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D4B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143.17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018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9A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18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02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887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F45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9DC52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F4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8888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CD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B1D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B5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6E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6B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C82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C1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17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778D4A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FCD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13F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79E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60.90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B5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60.90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563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05D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E9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C23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7C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99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82C6C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F10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CBC2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5F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545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25D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E1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2D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167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5F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23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B32AD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F0B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530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CD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73.44</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D5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73.44</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39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FC5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7B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46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27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8A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C3EAA5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8BE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6B75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B0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73.44</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2E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73.44</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F7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4B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B66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3C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64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19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6BCB84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37C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617B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C16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0C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1A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7C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C9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A37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AD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BE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CAE0BB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670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93B7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44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441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BA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C24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6F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CC0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082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05E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6D8C5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12C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5F4F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5CB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2E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862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6B9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DB5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D65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A5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024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4B2FE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D06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09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残疾人康复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7FE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B7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0A3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16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57B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58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E8A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5C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1B866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2D7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A7A6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39B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25.73</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FB1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25.73</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90F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D69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6B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735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4DD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BCB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38324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358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6B83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E4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25.73</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795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25.73</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D5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1C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1A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8D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3A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05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B3BD3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557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678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F8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65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6CF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8D4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785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A2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ABE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A3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BA7C6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119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826A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BA1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07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2F6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56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6D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9F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60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8C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13C554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EB9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A039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23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0FD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843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6D4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9EA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34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D1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67C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48BCD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F42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3E4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AAD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14.89</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C9D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14.89</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5F9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3F7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EBA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F44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F44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69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C3C64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B65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BF1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D2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18.48</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409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18.48</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3E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BB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4A9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D3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1A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323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C67F2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3D9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8E83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B9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80.37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C4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80.37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C7A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4A2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897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DB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8F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EE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078A76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C2D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0D61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1D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F2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3B6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B96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82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95D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02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B1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D2FC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E08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3431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DE2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F5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41F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56B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32F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592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948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DC8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75373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30C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63B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F34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C30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A7F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2E8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BE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04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00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38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9E680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E62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10BE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F9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27.85</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E75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27.85</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3F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DAE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2E7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A22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390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1F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8C820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0E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4927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8F8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1,089.11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DF7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1,089.11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B0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B9C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C5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F52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934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BEE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89D562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0E4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FB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AD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382.76</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77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382.76</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751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484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D1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F4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49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EEE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802923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282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068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26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302.25</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C7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302.25</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D9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B2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79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1DB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9E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CF5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49B85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763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4040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581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81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8.12</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B33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23B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15D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AF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3B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4C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57029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AEF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896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CB2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70.38</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37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70.38</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482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923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C1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37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E4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AC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F6E9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2CD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3DC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农业资源保护修复与利用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9ED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0B3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65B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2B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796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DE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CE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37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DCCD09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DE1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172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4F2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C2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29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F22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A70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D3C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D02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679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FB52B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F05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C08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4D3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F73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2A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2D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82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7B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A7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04C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D7AE6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511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7FDA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CA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F32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08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53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232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97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F63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2A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7178F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9E8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8459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3A2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C8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0F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84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B20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1F4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B75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82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9D8E70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D13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C247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8D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B82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D18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AB3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A74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510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FC7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09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8C376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402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0F1B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D3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98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60C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0E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D16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D5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A7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D0B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9449CD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8CB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106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C5A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198.07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0F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198.07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F8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4E6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9C9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0C7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2A3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A7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43257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1C1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D09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43F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26.33</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3DE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26.33</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36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CA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C8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07E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49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08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263C5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B2D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C99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87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136.60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5F8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136.60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DB5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30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EB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616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BC0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39D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D8D2B3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AE9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7A87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8A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A0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8A3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FE6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7E7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93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AC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E2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C630F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DAB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9253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default"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2B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11.86</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E91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11.86</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0D8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6C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5EA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DE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5D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3CA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9217C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B27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C34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F5B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444.27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71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444.27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750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F9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F72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355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C8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03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7C2576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86E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C0B1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B2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13D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00D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310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82F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A0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B0D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659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3A59D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0D8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E211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CB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438.27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34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438.27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FB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2B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594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ADF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248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BD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BE178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C05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920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BD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1DF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641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91B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99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10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D4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FA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B2EF8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4BE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A3A1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C5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0A3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0E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65E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68D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A1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3B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D7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2E74D1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526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AC4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B69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228.37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8A9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228.37</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C2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236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B3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32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0AB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E8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0A5AF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861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8929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A6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07E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90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A37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1F7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C78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37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7DB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67563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FD2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A543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112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5F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89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0B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53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5B1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800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96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99618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2D7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515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57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DB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A0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769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860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032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5F1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31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50440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2D4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85E0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CC7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D9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30.17</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926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9E2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56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322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962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1C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3563E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575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E92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6C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C8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FC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68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0A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79E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1CB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71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64CD9C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D63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D1C3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2A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3A7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9D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1B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928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B6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BC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7A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F388C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044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2FC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A0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DF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ED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356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A7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FC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31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B5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48337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8D6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A81E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FE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B80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7A3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710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99C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E6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48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142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E8946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0A6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B34A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05E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899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8A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9C0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61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26B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1B2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39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D6F3F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5DD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A787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CE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9.46</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D9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9.46</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D83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38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4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1FD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B36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0EA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6C938A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6BA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D66F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92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C2B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F8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113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1A7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37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88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5BA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A7E74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B5E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7412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8B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7BE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7A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5F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3F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19F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3C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24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8E486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648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6E22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E4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4BD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11.81</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98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D8E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18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13D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461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13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57EFBC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331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5F1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D56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9E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11.81</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D9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87F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C25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52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41E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85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687FC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0ED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AB2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CE3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84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F5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E37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6B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0CB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21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50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5F86D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953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FB5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F32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398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722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B7C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F59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6F4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B78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2E2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D0965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62F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D151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4EE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B3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21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45E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9F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43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9D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0E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bl>
    <w:p w14:paraId="38337A99">
      <w:pPr>
        <w:keepNext w:val="0"/>
        <w:keepLines w:val="0"/>
        <w:pageBreakBefore w:val="0"/>
        <w:widowControl/>
        <w:kinsoku/>
        <w:overflowPunct/>
        <w:topLinePunct w:val="0"/>
        <w:autoSpaceDN/>
        <w:bidi w:val="0"/>
        <w:adjustRightInd/>
        <w:spacing w:beforeAutospacing="0" w:afterAutospacing="0" w:line="579" w:lineRule="exact"/>
        <w:ind w:left="600" w:leftChars="0" w:right="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BA6B05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1"/>
        <w:tblW w:w="5000" w:type="pct"/>
        <w:tblInd w:w="0" w:type="dxa"/>
        <w:tblLayout w:type="autofit"/>
        <w:tblCellMar>
          <w:top w:w="0" w:type="dxa"/>
          <w:left w:w="0" w:type="dxa"/>
          <w:bottom w:w="0" w:type="dxa"/>
          <w:right w:w="0" w:type="dxa"/>
        </w:tblCellMar>
      </w:tblPr>
      <w:tblGrid>
        <w:gridCol w:w="1637"/>
        <w:gridCol w:w="4030"/>
        <w:gridCol w:w="1345"/>
        <w:gridCol w:w="1345"/>
        <w:gridCol w:w="1345"/>
        <w:gridCol w:w="1331"/>
        <w:gridCol w:w="1331"/>
        <w:gridCol w:w="1387"/>
      </w:tblGrid>
      <w:tr w14:paraId="1B2BBB0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AAF66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235BD5F">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63BAB7C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rPr>
              <w:t xml:space="preserve">重庆市丰都县保合镇人民政府 </w:t>
            </w:r>
          </w:p>
        </w:tc>
        <w:tc>
          <w:tcPr>
            <w:tcW w:w="553" w:type="pct"/>
            <w:tcBorders>
              <w:top w:val="nil"/>
              <w:left w:val="nil"/>
              <w:bottom w:val="nil"/>
              <w:right w:val="nil"/>
            </w:tcBorders>
            <w:shd w:val="clear" w:color="auto" w:fill="auto"/>
            <w:noWrap/>
            <w:tcMar>
              <w:top w:w="15" w:type="dxa"/>
              <w:left w:w="15" w:type="dxa"/>
              <w:right w:w="15" w:type="dxa"/>
            </w:tcMar>
            <w:vAlign w:val="bottom"/>
          </w:tcPr>
          <w:p w14:paraId="73D1FC4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9246CD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A857BB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6205248">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0B1D7FC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3DDA067">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5EE0A06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B80801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A4B9F1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35A42B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960951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0098448A">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0D2C914">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25EF07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99E5A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6DEC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242F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2B94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D6F1D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A21E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93495CA">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391A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D4D7D3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B6AF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A1255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3F82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3F9A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6AD0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71E3E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39769EE3">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5E01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F97363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C0F4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5FE5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3A315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8D605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DF39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83D0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59BF3D46">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D8F9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77D583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04A48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2EE2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3692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C187B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0AB7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6055D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0F9D0B45">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E85F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0B2003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99A97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CC0BF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D40A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524BF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196EE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0A248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59406B9F">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9011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B90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2,809.48</w:t>
            </w:r>
            <w:r>
              <w:rPr>
                <w:rFonts w:hint="default" w:ascii="Times New Roman" w:hAnsi="Times New Roman" w:cs="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D424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1,552.08</w:t>
            </w:r>
            <w:r>
              <w:rPr>
                <w:rFonts w:hint="default" w:ascii="Times New Roman" w:hAnsi="Times New Roman" w:cs="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60C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1,257.39</w:t>
            </w:r>
            <w:r>
              <w:rPr>
                <w:rFonts w:hint="default" w:ascii="Times New Roman" w:hAnsi="Times New Roman" w:cs="Times New Roman"/>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15F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9D8E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384A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r>
      <w:tr w14:paraId="30BA5D3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5F0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1F2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292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763.72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CF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748.19</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B07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15.53</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24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1EA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BB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3F11E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BF9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E1B7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9F5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CFA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2D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63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51B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056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D6DF0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FDF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8BEE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F1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DC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F12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9C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F9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5EA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D9989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FB7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2F55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4B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555.62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28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542.29</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C57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13.33</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89D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84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DC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AE94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B8B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87F0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5C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538.75</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BCF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538.75</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03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4FF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64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FC6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02A0E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611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74CF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04D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A1F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CDF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59C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9B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83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14E877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1D1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127F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B0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72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50B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05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F0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4E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FC6CD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FF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007E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F4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E3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2B1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A9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7AF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F6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6B9FFF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782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509E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76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71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B8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96E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21E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29E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8943F6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05B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E55C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34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9E0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9BE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C9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F9B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9B2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3664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601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160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1A1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9E9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06D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7F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25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B9B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D2F7CA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AEA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62C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A14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E1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CC2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98D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40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35A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AF00D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E5C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5C2E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AEF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09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03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21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AC9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CFF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97F42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67C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17E0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其他国防动员支出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3F9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5F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2F7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CCC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85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52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259DF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003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0791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6C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90D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80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85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38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17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61E7C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54D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E292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AB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4F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01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FCA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26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969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E59901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29C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5D6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553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126.70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D9D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5E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237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24A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38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D51BEA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2DF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21D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0C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9BC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4F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8C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C5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3D9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8CD0A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63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14B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22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BF2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17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EC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BE1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C52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2B252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F2D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E148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978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89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F6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55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BC9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0EB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EFC1F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EB5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BF7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70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DA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3B1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A90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3D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98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15617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C36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83D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体育场馆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336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D9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AA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CA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3AB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C0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A50CD5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859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01CE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3E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A1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EA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0E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37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0C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2876F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B88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E6CB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C43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338.13</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6F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237.64</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8F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100.49</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440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26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8E2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7D5126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00E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DE36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0E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72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14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CCF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90B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0F0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8CEEC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2C1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F230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32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50.32</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ED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50.32</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27C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335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C4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DE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7180E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6A7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9076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15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FF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B38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01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F3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B3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DC1E74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09E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0F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E56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77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18.42</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62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962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EC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962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2F36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E16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499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69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143.17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00B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143.17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0A1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92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1DB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6E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675E34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56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8FB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08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80.01</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2C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80.01</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47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72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A37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B00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B762D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C4C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0DC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2D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60.90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EC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60.90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EF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065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CE9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28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B5518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70B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A80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4CD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7BE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2.27</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41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209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94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63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49D6B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9B1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BA5D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3CA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73.44</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B5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1A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73.44</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F3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58D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DE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C1032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987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905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5BF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73.44</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DD6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B2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73.44</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46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2BF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A88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5ED01B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463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603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9D6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9A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AB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556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4F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E3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A9D1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0F6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22D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8D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3A5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96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CF1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EF6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79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91F29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318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A7E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43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760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96A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4C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F4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27B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6D369B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9E9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821D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残疾人康复</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DF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01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D75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15B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61A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9C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CB1F4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0E1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EA5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037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25.73</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AD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25.73</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C3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8D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0FF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658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F164F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6DD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09E6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C10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25.73</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0A9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25.73</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1D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AF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9F8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46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8231F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8A7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B871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65E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AB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CF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49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59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F5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D8FC5B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714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F7C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4A6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E3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E92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51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C8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9F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DFA69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53F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01BB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65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14.22</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524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14.22</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BC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4C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439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06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B449E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6C8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E1E9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5F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14.89</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51F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14.89</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05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A8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DCB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A89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4332D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C61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F23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99F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18.48</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B57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18.48</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2B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3C9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AD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74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F46D1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13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5DC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3C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80.37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74D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5B0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D4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EA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602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E296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4F0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988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D4D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009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CE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A3B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D15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C9D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D8928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A3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1FDC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52E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52.52</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C51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52.52</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11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D9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0B0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DC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FD1D6E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ADC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E183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166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D1D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236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9B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8A3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862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BF590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A14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987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FA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27.85</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1D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8F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27.85</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23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33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502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A196F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99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6A49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81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1,101.17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25B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354.94</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CA8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746.23</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78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6B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A45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29431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34C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DD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ADF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388.21</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799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302.25</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FF6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85.96</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80B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573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4F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6A076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07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0FE7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58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302.25</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CC9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302.25</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9E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B5F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A3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7D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06F950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FD6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FBCC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4F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377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4A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578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157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13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95501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4BD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09A3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9F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70.38</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609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3C9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70.38</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5C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8A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5B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262D2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8D2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CE3F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农业资源保护修复与利用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06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44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74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85D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31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CA7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40D6F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2D2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CC9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884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66.61</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859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FB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66.61</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C8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11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0A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6D1BC3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5D4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E3A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B88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89A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1AF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77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649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8F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83E55C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4FA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3F20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AB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0F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20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65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EB4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28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0ED10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F9F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5FC6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E58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10.07</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46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8D2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10.07</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B22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06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E6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43F67D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FDF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2F32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2A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779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3B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ED7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EB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8DF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3403F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467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5D5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FA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E3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839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E3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29F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65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28A83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ADB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65D4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9D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198.07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E71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10E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198.07</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728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B8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DF5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B2CE3A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8EA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12F5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C2B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26.33</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529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0F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26.33</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05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01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481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17918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C26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A30A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29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136.60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85B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F0B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136.60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48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DBB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51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28E34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E1D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5F0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C1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CFC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770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651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83C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F7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C0191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40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45B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default"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5A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11.86</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BD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482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11.86</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B6D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8A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F9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470F62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A3C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EF8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06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444.27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FA2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52.69</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F2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391.58</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D45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F7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C05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85E46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624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3515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7DB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3B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33B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9A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73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95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0251B4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64B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213F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C27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438.27</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D9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52.69</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7C9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385.58</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183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62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A6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06DD9C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632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7CF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22E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238.72</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94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CF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238.72</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D1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70E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BE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0EA11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E2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E81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76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1F7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DF2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9A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86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5E9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593492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E63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0A2C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C3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228.37</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A21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A32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228.37</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11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22A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6E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3BF0D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6E4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C84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车辆购置税支出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C17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9E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9D5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D7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6CF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414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E1A339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543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E558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车辆购置税用于农村公路建设支出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180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10.35</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07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3B5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10.35</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53A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472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19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4EEDC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5A3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5D2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E9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B6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9D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A8B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D5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09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C6DF4E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A0C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61A6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637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13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1BF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59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C1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BF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55A520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B1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F0E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F4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54.51</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4DC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54.51</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8D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32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B80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BF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1095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B37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F3A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9B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30.17</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E1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76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30.17</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03A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82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07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7C4C1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0DE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12AF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C5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AE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237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7E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9D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52F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793CB6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89D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0B9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BF3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CF7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973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54C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45A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6AE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607BD6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07B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D94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D35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C07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DD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C3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2E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44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B9E0B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556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F4EF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76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0ED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FC8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FC6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8D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A97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DE14C6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DFB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2C31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582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9D7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847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77C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9E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6C6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2D2A9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68D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60B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27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9.46</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966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35B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9.46</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74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CE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D2E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F16CB6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82F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606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163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B89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6FF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A1C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2A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D5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6C3FD4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B1F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14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ACE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BF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0F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4A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01E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1AB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FE387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F8E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B1A0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61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11.81</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776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3FE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11.81</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63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B22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AB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8E92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5B5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062E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D99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11.81</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51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3B6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11.81</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FB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AE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5A5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F6F59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BB8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15D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8F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97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C1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D2F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45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C18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93F77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2ED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1F74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AF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250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97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19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C86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FAB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294D6E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3C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2A2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54A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D3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E18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1E9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82CB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25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bl>
    <w:p w14:paraId="7F4B0DD8">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ED67FB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1"/>
          <w:szCs w:val="21"/>
        </w:rPr>
      </w:pPr>
      <w:r>
        <w:rPr>
          <w:rFonts w:hint="default" w:ascii="Times New Roman" w:hAnsi="Times New Roman" w:cs="Times New Roman"/>
          <w:sz w:val="21"/>
          <w:szCs w:val="21"/>
        </w:rPr>
        <w:br w:type="page"/>
      </w:r>
    </w:p>
    <w:p w14:paraId="61F8257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1"/>
          <w:szCs w:val="21"/>
        </w:rPr>
      </w:pPr>
    </w:p>
    <w:tbl>
      <w:tblPr>
        <w:tblStyle w:val="11"/>
        <w:tblW w:w="4790" w:type="pct"/>
        <w:tblInd w:w="0" w:type="dxa"/>
        <w:tblLayout w:type="autofit"/>
        <w:tblCellMar>
          <w:top w:w="0" w:type="dxa"/>
          <w:left w:w="0" w:type="dxa"/>
          <w:bottom w:w="0" w:type="dxa"/>
          <w:right w:w="0" w:type="dxa"/>
        </w:tblCellMar>
      </w:tblPr>
      <w:tblGrid>
        <w:gridCol w:w="2664"/>
        <w:gridCol w:w="1365"/>
        <w:gridCol w:w="2853"/>
        <w:gridCol w:w="1520"/>
        <w:gridCol w:w="1520"/>
        <w:gridCol w:w="1520"/>
        <w:gridCol w:w="1731"/>
      </w:tblGrid>
      <w:tr w14:paraId="43A7B0C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D2ECD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52E0F8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67291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rPr>
              <w:t>重庆市丰都县保合镇人民政府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7461015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0035D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0E188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0D5D52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106837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8A79FC7">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084E7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F8582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01B95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03DBCB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797C5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C43D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A467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426280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04ED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17A7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DEB34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2049A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F868E9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927D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00428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2A8E9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7E39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AC2A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73B4C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35D84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C6489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007EF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2B7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2,668.21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C4B8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BEA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763.72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667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763.72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C2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6D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2D3A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E6DE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8B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879A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87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3DC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9A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16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E576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5CF8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70F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5232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79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69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B7C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B2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86C6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23A6E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7408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CD3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06A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11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624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C25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7555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6E935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FA38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A347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29A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105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60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219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FCCB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3086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2A73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551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67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24A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14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508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D3D9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37B5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872C2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D95D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E9F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587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B3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B4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0B09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A688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8945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ED94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43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338.13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67A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338.13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B4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27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9F26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0D53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262F6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49B2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F9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0AD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766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EB5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22E2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D3D6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157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5BB0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2BC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D91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C7C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D8D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80CA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7C45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25C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DB10F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46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397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52.52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CB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27.85</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E48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AD66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BA41E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F9C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3A66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52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1,101.17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E6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1,101.17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FE3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F88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8FFB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0DC6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084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BF9E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916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238.72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27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238.72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EE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F9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4D2A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BC347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98B1">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926F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A9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54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F26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9BF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E442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0FE7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ABF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4EBCC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6D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096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A3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982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AFC3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BAA0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625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5A89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AD3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14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106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BC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C4CB6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2F84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F41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6BE3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C7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B4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89D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5D4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8A5B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B56D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323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852C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9C6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8A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4DD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3F9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D71D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F57F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068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32BC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064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34C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022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D0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907C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ACBA9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600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2581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C5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98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18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DB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C60A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9CA4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082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0933E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82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93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939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3A9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E1BE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5B0E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112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E4C7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A3A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3D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08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AAC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39FE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1A47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5F6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72A8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468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D77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75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21.00</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546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2E20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33E157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E46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784D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E1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DE7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E7E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9E5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2460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84CE89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342A">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02B1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226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2E3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A80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F9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6F76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4204A0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0F3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B371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D14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CCE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0C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DE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371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86A7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DD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2,717.06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9969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8D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2,809.48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0E4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2,760.62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A6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48.85</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10A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256F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C6D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448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101.92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1FD8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82E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05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094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EAC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A703E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B328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2ED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97.81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07FDFA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73B3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03F2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31D71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987C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r>
      <w:tr w14:paraId="54C2427B">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9E56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F0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B6E0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21F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017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3D3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2DC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r>
      <w:tr w14:paraId="3DD318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2B66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8B1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DFF2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033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DF2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20A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DF2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r>
      <w:tr w14:paraId="3CFA35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EF5E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F4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2,818.98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7900B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89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2,818.98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13E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2,766.02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0C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52.96</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42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08CC818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5000" w:type="pct"/>
        <w:tblInd w:w="0" w:type="dxa"/>
        <w:tblLayout w:type="autofit"/>
        <w:tblCellMar>
          <w:top w:w="0" w:type="dxa"/>
          <w:left w:w="0" w:type="dxa"/>
          <w:bottom w:w="0" w:type="dxa"/>
          <w:right w:w="0" w:type="dxa"/>
        </w:tblCellMar>
      </w:tblPr>
      <w:tblGrid>
        <w:gridCol w:w="1447"/>
        <w:gridCol w:w="4030"/>
        <w:gridCol w:w="2753"/>
        <w:gridCol w:w="2753"/>
        <w:gridCol w:w="2768"/>
      </w:tblGrid>
      <w:tr w14:paraId="5993FCF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EE1800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3A64F2B">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671F959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rPr>
              <w:t>重庆市丰都县保合镇人民政府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14:paraId="1EE88697">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64D0E3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62329F9">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3456F0E7">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1D37F9D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1632C8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327AB3">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EE4BB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1B87E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5B5554B">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722A7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012EA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EE7EC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C5838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40059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8F3CA37">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ECF35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E8BDC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DE15A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81D32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E1A3E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44F45F08">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CDC77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B59DA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B838E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2B5F7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A43BC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6661E36F">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369EF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1722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2,760.62</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ECDC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1,552.08</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80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1,208.54</w:t>
            </w:r>
            <w:r>
              <w:rPr>
                <w:rFonts w:hint="default" w:ascii="Times New Roman" w:hAnsi="Times New Roman" w:cs="Times New Roman"/>
                <w:b/>
                <w:color w:val="000000"/>
                <w:sz w:val="20"/>
              </w:rPr>
              <w:t xml:space="preserve"> </w:t>
            </w:r>
          </w:p>
        </w:tc>
      </w:tr>
      <w:tr w14:paraId="75FB9C5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75B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334A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BF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763.72</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566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748.19</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7DF0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15.53</w:t>
            </w:r>
            <w:r>
              <w:rPr>
                <w:rFonts w:hint="default" w:ascii="Times New Roman" w:hAnsi="Times New Roman" w:cs="Times New Roman"/>
                <w:b/>
                <w:color w:val="000000"/>
                <w:sz w:val="20"/>
              </w:rPr>
              <w:t xml:space="preserve"> </w:t>
            </w:r>
          </w:p>
        </w:tc>
      </w:tr>
      <w:tr w14:paraId="04E3804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5BB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B1F1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A7F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1EEA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5.90</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D8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A22F14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76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AC2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94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EB1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834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66D5324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9E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B992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57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555.62</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7CE8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542.29</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A8B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13.33</w:t>
            </w:r>
            <w:r>
              <w:rPr>
                <w:rFonts w:hint="default" w:ascii="Times New Roman" w:hAnsi="Times New Roman" w:cs="Times New Roman"/>
                <w:b/>
                <w:color w:val="000000"/>
                <w:sz w:val="20"/>
              </w:rPr>
              <w:t xml:space="preserve"> </w:t>
            </w:r>
          </w:p>
        </w:tc>
      </w:tr>
      <w:tr w14:paraId="6388348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9A5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A0C6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B94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538.75</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251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538.75</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775F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333E60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D3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F815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331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02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AE35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r>
      <w:tr w14:paraId="0EC759E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673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19CE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EFCC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3.54</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B6B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3.54</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F284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6A2CA6A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DC7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A21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2EAB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A09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BD33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2.20</w:t>
            </w:r>
            <w:r>
              <w:rPr>
                <w:rFonts w:hint="default" w:ascii="Times New Roman" w:hAnsi="Times New Roman" w:cs="Times New Roman"/>
                <w:b/>
                <w:color w:val="000000"/>
                <w:sz w:val="20"/>
              </w:rPr>
              <w:t xml:space="preserve"> </w:t>
            </w:r>
          </w:p>
        </w:tc>
      </w:tr>
      <w:tr w14:paraId="4BF821F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6D2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2F3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28E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81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8E0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rPr>
              <w:t xml:space="preserve"> </w:t>
            </w:r>
          </w:p>
        </w:tc>
      </w:tr>
      <w:tr w14:paraId="2327F87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2C5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2B81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3401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949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200.00</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6D95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60A4EA0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CC2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7975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88FD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E2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FC2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6F0C198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539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5195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96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9F0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8D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7.40</w:t>
            </w:r>
            <w:r>
              <w:rPr>
                <w:rFonts w:hint="default" w:ascii="Times New Roman" w:hAnsi="Times New Roman" w:cs="Times New Roman"/>
                <w:b/>
                <w:color w:val="000000"/>
                <w:sz w:val="20"/>
              </w:rPr>
              <w:t xml:space="preserve"> </w:t>
            </w:r>
          </w:p>
        </w:tc>
      </w:tr>
      <w:tr w14:paraId="478C2A7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ECA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F7D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00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AF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088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r>
      <w:tr w14:paraId="3D12DB6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A4C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D4A9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其他国防动员支出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4377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469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34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r>
      <w:tr w14:paraId="7AEAD72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31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25A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2B9D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2361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AA2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w:t>
            </w:r>
            <w:r>
              <w:rPr>
                <w:rFonts w:hint="default" w:ascii="Times New Roman" w:hAnsi="Times New Roman" w:cs="Times New Roman"/>
                <w:b/>
                <w:color w:val="000000"/>
                <w:sz w:val="20"/>
              </w:rPr>
              <w:t xml:space="preserve"> </w:t>
            </w:r>
          </w:p>
        </w:tc>
      </w:tr>
      <w:tr w14:paraId="6320E68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9D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40C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A06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7C2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62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5.40</w:t>
            </w:r>
            <w:r>
              <w:rPr>
                <w:rFonts w:hint="default" w:ascii="Times New Roman" w:hAnsi="Times New Roman" w:cs="Times New Roman"/>
                <w:color w:val="000000"/>
                <w:sz w:val="20"/>
              </w:rPr>
              <w:t xml:space="preserve"> </w:t>
            </w:r>
          </w:p>
        </w:tc>
      </w:tr>
      <w:tr w14:paraId="19C8479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96F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9F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2EF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126.70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C4BB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B07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70.00</w:t>
            </w:r>
            <w:r>
              <w:rPr>
                <w:rFonts w:hint="default" w:ascii="Times New Roman" w:hAnsi="Times New Roman" w:cs="Times New Roman"/>
                <w:b/>
                <w:color w:val="000000"/>
                <w:sz w:val="20"/>
              </w:rPr>
              <w:t xml:space="preserve"> </w:t>
            </w:r>
          </w:p>
        </w:tc>
      </w:tr>
      <w:tr w14:paraId="762DD74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E6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CB0D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68F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61BF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56.70</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B7C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5C2FB7F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793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8076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70C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51.70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22B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51.70</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19E0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1F824A4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049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AE8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9F3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A8CC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C49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7F74260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AA5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611B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1AD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CB2C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028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70.00</w:t>
            </w:r>
            <w:r>
              <w:rPr>
                <w:rFonts w:hint="default" w:ascii="Times New Roman" w:hAnsi="Times New Roman" w:cs="Times New Roman"/>
                <w:b/>
                <w:color w:val="000000"/>
                <w:sz w:val="20"/>
              </w:rPr>
              <w:t xml:space="preserve"> </w:t>
            </w:r>
          </w:p>
        </w:tc>
      </w:tr>
      <w:tr w14:paraId="3F5385A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D42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3C1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体育场馆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7F4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79A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41D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rPr>
              <w:t xml:space="preserve"> </w:t>
            </w:r>
          </w:p>
        </w:tc>
      </w:tr>
      <w:tr w14:paraId="7614F5E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CE2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5CFE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C0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352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536A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rPr>
              <w:t xml:space="preserve"> </w:t>
            </w:r>
          </w:p>
        </w:tc>
      </w:tr>
      <w:tr w14:paraId="6FB4D4C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6F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620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497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338.13</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8A1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237.64</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6CA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100.49</w:t>
            </w:r>
            <w:r>
              <w:rPr>
                <w:rFonts w:hint="default" w:ascii="Times New Roman" w:hAnsi="Times New Roman" w:cs="Times New Roman"/>
                <w:b/>
                <w:color w:val="000000"/>
                <w:sz w:val="20"/>
              </w:rPr>
              <w:t xml:space="preserve"> </w:t>
            </w:r>
          </w:p>
        </w:tc>
      </w:tr>
      <w:tr w14:paraId="59D7062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48B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B4D4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53D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50.32</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A51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50.32</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2D9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7317296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929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12AB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8C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50.32</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C71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50.32</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D2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2CDA393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473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38A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1CB9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18.50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B7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18.42</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DAFF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rPr>
              <w:t xml:space="preserve"> </w:t>
            </w:r>
          </w:p>
        </w:tc>
      </w:tr>
      <w:tr w14:paraId="4561413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4F2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5ED3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410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542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18.42</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FAE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rPr>
              <w:t xml:space="preserve"> </w:t>
            </w:r>
          </w:p>
        </w:tc>
      </w:tr>
      <w:tr w14:paraId="48E7E8F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F8F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3EDE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D16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143.17</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021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143.17</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93F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70A98C7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67E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336E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D3EE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80.01</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89C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80.01</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CE9B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115E5A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83E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9F09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442C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60.90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FEF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60.90</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271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40EE8CF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681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5A6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35AF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2.27</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8C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2.27</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E7E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5B8741A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BA4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3F2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D58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73.44</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7FA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6D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73.44</w:t>
            </w:r>
            <w:r>
              <w:rPr>
                <w:rFonts w:hint="default" w:ascii="Times New Roman" w:hAnsi="Times New Roman" w:cs="Times New Roman"/>
                <w:b/>
                <w:color w:val="000000"/>
                <w:sz w:val="20"/>
              </w:rPr>
              <w:t xml:space="preserve"> </w:t>
            </w:r>
          </w:p>
        </w:tc>
      </w:tr>
      <w:tr w14:paraId="2AF2D08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EA1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FD2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F36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73.44</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193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FE13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73.44</w:t>
            </w:r>
            <w:r>
              <w:rPr>
                <w:rFonts w:hint="default" w:ascii="Times New Roman" w:hAnsi="Times New Roman" w:cs="Times New Roman"/>
                <w:color w:val="000000"/>
                <w:sz w:val="20"/>
              </w:rPr>
              <w:t xml:space="preserve"> </w:t>
            </w:r>
          </w:p>
        </w:tc>
      </w:tr>
      <w:tr w14:paraId="3CA6330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210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AFB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21E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3C7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3E0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w:t>
            </w:r>
            <w:r>
              <w:rPr>
                <w:rFonts w:hint="default" w:ascii="Times New Roman" w:hAnsi="Times New Roman" w:cs="Times New Roman"/>
                <w:b/>
                <w:color w:val="000000"/>
                <w:sz w:val="20"/>
              </w:rPr>
              <w:t xml:space="preserve"> </w:t>
            </w:r>
          </w:p>
        </w:tc>
      </w:tr>
      <w:tr w14:paraId="42D9A21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B0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BE96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81B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9E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AD7F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19.50</w:t>
            </w:r>
            <w:r>
              <w:rPr>
                <w:rFonts w:hint="default" w:ascii="Times New Roman" w:hAnsi="Times New Roman" w:cs="Times New Roman"/>
                <w:color w:val="000000"/>
                <w:sz w:val="20"/>
              </w:rPr>
              <w:t xml:space="preserve"> </w:t>
            </w:r>
          </w:p>
        </w:tc>
      </w:tr>
      <w:tr w14:paraId="4B0F2AD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A6E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3B00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DB2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0EB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86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r>
      <w:tr w14:paraId="5B597D9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F30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E1B7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残疾人康复</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5C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020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4D7C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r>
      <w:tr w14:paraId="78BD3BC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922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9104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67D9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25.73</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C1E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25.73</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C0F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3CDFA4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12D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81CC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70E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25.73</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E29F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25.73</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199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03AF201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1BF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49C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860A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DEB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3EB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5B06AFF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668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64C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4485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42C3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47.59</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CDB8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4798A13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9C5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D90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D69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14.22</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662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14.22</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20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248FC41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582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1017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F455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14.89</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ED34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14.89</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7652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6C3885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673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79C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9F01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18.48</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22B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18.48</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B69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6B1E895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471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6C6D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D5DC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798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EE8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4559B7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B8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7F5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59C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5F1E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52.52</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8CEA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47739F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CC6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213E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118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52.52</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FAA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52.52</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D9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A69ED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CF4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375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E94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1,101.17</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77F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354.94</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7FEF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746.23</w:t>
            </w:r>
            <w:r>
              <w:rPr>
                <w:rFonts w:hint="default" w:ascii="Times New Roman" w:hAnsi="Times New Roman" w:cs="Times New Roman"/>
                <w:b/>
                <w:color w:val="000000"/>
                <w:sz w:val="20"/>
              </w:rPr>
              <w:t xml:space="preserve"> </w:t>
            </w:r>
          </w:p>
        </w:tc>
      </w:tr>
      <w:tr w14:paraId="08E53E4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824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13A7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75A4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388.21</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B256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302.25</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275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85.96</w:t>
            </w:r>
            <w:r>
              <w:rPr>
                <w:rFonts w:hint="default" w:ascii="Times New Roman" w:hAnsi="Times New Roman" w:cs="Times New Roman"/>
                <w:b/>
                <w:color w:val="000000"/>
                <w:sz w:val="20"/>
              </w:rPr>
              <w:t xml:space="preserve"> </w:t>
            </w:r>
          </w:p>
        </w:tc>
      </w:tr>
      <w:tr w14:paraId="13BAB87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91E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A507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86D3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302.25</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3BC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302.25</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DAED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7FD9EA4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AC7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B5E6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1B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077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A9B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rPr>
              <w:t xml:space="preserve"> </w:t>
            </w:r>
          </w:p>
        </w:tc>
      </w:tr>
      <w:tr w14:paraId="4C387CD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B1C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6872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48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70.38</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F5C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F89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70.38</w:t>
            </w:r>
            <w:r>
              <w:rPr>
                <w:rFonts w:hint="default" w:ascii="Times New Roman" w:hAnsi="Times New Roman" w:cs="Times New Roman"/>
                <w:color w:val="000000"/>
                <w:sz w:val="20"/>
              </w:rPr>
              <w:t xml:space="preserve"> </w:t>
            </w:r>
          </w:p>
        </w:tc>
      </w:tr>
      <w:tr w14:paraId="5C4219F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1AF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6F20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农业资源保护修复与利用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E8D3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51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66E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w:t>
            </w:r>
            <w:r>
              <w:rPr>
                <w:rFonts w:hint="default" w:ascii="Times New Roman" w:hAnsi="Times New Roman" w:cs="Times New Roman"/>
                <w:color w:val="000000"/>
                <w:sz w:val="20"/>
              </w:rPr>
              <w:t xml:space="preserve"> </w:t>
            </w:r>
          </w:p>
        </w:tc>
      </w:tr>
      <w:tr w14:paraId="325BE60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C1F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90B7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BBD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66.61</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94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958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66.61</w:t>
            </w:r>
            <w:r>
              <w:rPr>
                <w:rFonts w:hint="default" w:ascii="Times New Roman" w:hAnsi="Times New Roman" w:cs="Times New Roman"/>
                <w:b/>
                <w:color w:val="000000"/>
                <w:sz w:val="20"/>
              </w:rPr>
              <w:t xml:space="preserve"> </w:t>
            </w:r>
          </w:p>
        </w:tc>
      </w:tr>
      <w:tr w14:paraId="195587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176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8DA1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F3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B16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765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10.54</w:t>
            </w:r>
            <w:r>
              <w:rPr>
                <w:rFonts w:hint="default" w:ascii="Times New Roman" w:hAnsi="Times New Roman" w:cs="Times New Roman"/>
                <w:color w:val="000000"/>
                <w:sz w:val="20"/>
              </w:rPr>
              <w:t xml:space="preserve"> </w:t>
            </w:r>
          </w:p>
        </w:tc>
      </w:tr>
      <w:tr w14:paraId="49AF8AC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ED8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A37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A69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3D7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F6A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46.00</w:t>
            </w:r>
            <w:r>
              <w:rPr>
                <w:rFonts w:hint="default" w:ascii="Times New Roman" w:hAnsi="Times New Roman" w:cs="Times New Roman"/>
                <w:color w:val="000000"/>
                <w:sz w:val="20"/>
              </w:rPr>
              <w:t xml:space="preserve"> </w:t>
            </w:r>
          </w:p>
        </w:tc>
      </w:tr>
      <w:tr w14:paraId="6887342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E0A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D426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C7CB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10.07</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F57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8C47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10.07</w:t>
            </w:r>
            <w:r>
              <w:rPr>
                <w:rFonts w:hint="default" w:ascii="Times New Roman" w:hAnsi="Times New Roman" w:cs="Times New Roman"/>
                <w:color w:val="000000"/>
                <w:sz w:val="20"/>
              </w:rPr>
              <w:t xml:space="preserve"> </w:t>
            </w:r>
          </w:p>
        </w:tc>
      </w:tr>
      <w:tr w14:paraId="598A4B0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D92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3DF7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CD85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9DFF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BD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w:t>
            </w:r>
            <w:r>
              <w:rPr>
                <w:rFonts w:hint="default" w:ascii="Times New Roman" w:hAnsi="Times New Roman" w:cs="Times New Roman"/>
                <w:b/>
                <w:color w:val="000000"/>
                <w:sz w:val="20"/>
              </w:rPr>
              <w:t xml:space="preserve"> </w:t>
            </w:r>
          </w:p>
        </w:tc>
      </w:tr>
      <w:tr w14:paraId="07E1C9E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106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748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802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BBD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F5D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r>
              <w:rPr>
                <w:rFonts w:hint="default" w:ascii="Times New Roman" w:hAnsi="Times New Roman" w:cs="Times New Roman"/>
                <w:color w:val="000000"/>
                <w:sz w:val="20"/>
              </w:rPr>
              <w:t xml:space="preserve"> </w:t>
            </w:r>
          </w:p>
        </w:tc>
      </w:tr>
      <w:tr w14:paraId="3BC1E80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EDA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4601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A914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198.07</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B5E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E8C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198.07</w:t>
            </w:r>
            <w:r>
              <w:rPr>
                <w:rFonts w:hint="default" w:ascii="Times New Roman" w:hAnsi="Times New Roman" w:cs="Times New Roman"/>
                <w:b/>
                <w:color w:val="000000"/>
                <w:sz w:val="20"/>
              </w:rPr>
              <w:t xml:space="preserve"> </w:t>
            </w:r>
          </w:p>
        </w:tc>
      </w:tr>
      <w:tr w14:paraId="38D02B4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DA8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9D9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C2B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26.33</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973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DAE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26.33</w:t>
            </w:r>
            <w:r>
              <w:rPr>
                <w:rFonts w:hint="default" w:ascii="Times New Roman" w:hAnsi="Times New Roman" w:cs="Times New Roman"/>
                <w:color w:val="000000"/>
                <w:sz w:val="20"/>
              </w:rPr>
              <w:t xml:space="preserve"> </w:t>
            </w:r>
          </w:p>
        </w:tc>
      </w:tr>
      <w:tr w14:paraId="46DD79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0F9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4566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7EBC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136.60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AA4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DAD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136.60</w:t>
            </w:r>
            <w:r>
              <w:rPr>
                <w:rFonts w:hint="default" w:ascii="Times New Roman" w:hAnsi="Times New Roman" w:cs="Times New Roman"/>
                <w:color w:val="000000"/>
                <w:sz w:val="20"/>
              </w:rPr>
              <w:t xml:space="preserve"> </w:t>
            </w:r>
          </w:p>
        </w:tc>
      </w:tr>
      <w:tr w14:paraId="6C5C14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AFA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F540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100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23.28</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321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9FD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23.28</w:t>
            </w:r>
            <w:r>
              <w:rPr>
                <w:rFonts w:hint="default" w:ascii="Times New Roman" w:hAnsi="Times New Roman" w:cs="Times New Roman"/>
                <w:color w:val="000000"/>
                <w:sz w:val="20"/>
              </w:rPr>
              <w:t xml:space="preserve"> </w:t>
            </w:r>
          </w:p>
        </w:tc>
      </w:tr>
      <w:tr w14:paraId="738FF30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033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958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default"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434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11.86</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EF29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E155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11.86</w:t>
            </w:r>
            <w:r>
              <w:rPr>
                <w:rFonts w:hint="default" w:ascii="Times New Roman" w:hAnsi="Times New Roman" w:cs="Times New Roman"/>
                <w:color w:val="000000"/>
                <w:sz w:val="20"/>
              </w:rPr>
              <w:t xml:space="preserve"> </w:t>
            </w:r>
          </w:p>
        </w:tc>
      </w:tr>
      <w:tr w14:paraId="1779DFC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D1C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C212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AC1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444.27</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F178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52.69</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41D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391.58</w:t>
            </w:r>
            <w:r>
              <w:rPr>
                <w:rFonts w:hint="default" w:ascii="Times New Roman" w:hAnsi="Times New Roman" w:cs="Times New Roman"/>
                <w:b/>
                <w:color w:val="000000"/>
                <w:sz w:val="20"/>
              </w:rPr>
              <w:t xml:space="preserve"> </w:t>
            </w:r>
          </w:p>
        </w:tc>
      </w:tr>
      <w:tr w14:paraId="6EE9B9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27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08EE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903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B980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C3FE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rPr>
              <w:t xml:space="preserve"> </w:t>
            </w:r>
          </w:p>
        </w:tc>
      </w:tr>
      <w:tr w14:paraId="764A648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B1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60F9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0C0B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438.27</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1BB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52.69</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02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385.58</w:t>
            </w:r>
            <w:r>
              <w:rPr>
                <w:rFonts w:hint="default" w:ascii="Times New Roman" w:hAnsi="Times New Roman" w:cs="Times New Roman"/>
                <w:color w:val="000000"/>
                <w:sz w:val="20"/>
              </w:rPr>
              <w:t xml:space="preserve"> </w:t>
            </w:r>
          </w:p>
        </w:tc>
      </w:tr>
      <w:tr w14:paraId="0848AE7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300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172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3C60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238.72</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40FE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79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238.72</w:t>
            </w:r>
            <w:r>
              <w:rPr>
                <w:rFonts w:hint="default" w:ascii="Times New Roman" w:hAnsi="Times New Roman" w:cs="Times New Roman"/>
                <w:b/>
                <w:color w:val="000000"/>
                <w:sz w:val="20"/>
              </w:rPr>
              <w:t xml:space="preserve"> </w:t>
            </w:r>
          </w:p>
        </w:tc>
      </w:tr>
      <w:tr w14:paraId="199D598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4DE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78A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444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2E4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B09E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228.37</w:t>
            </w:r>
            <w:r>
              <w:rPr>
                <w:rFonts w:hint="default" w:ascii="Times New Roman" w:hAnsi="Times New Roman" w:cs="Times New Roman"/>
                <w:b/>
                <w:color w:val="000000"/>
                <w:sz w:val="20"/>
              </w:rPr>
              <w:t xml:space="preserve"> </w:t>
            </w:r>
          </w:p>
        </w:tc>
      </w:tr>
      <w:tr w14:paraId="170D0BA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71F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AD9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14F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228.37</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9DFD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6930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228.37</w:t>
            </w:r>
            <w:r>
              <w:rPr>
                <w:rFonts w:hint="default" w:ascii="Times New Roman" w:hAnsi="Times New Roman" w:cs="Times New Roman"/>
                <w:color w:val="000000"/>
                <w:sz w:val="20"/>
              </w:rPr>
              <w:t xml:space="preserve"> </w:t>
            </w:r>
          </w:p>
        </w:tc>
      </w:tr>
      <w:tr w14:paraId="090F5C3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30D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98B7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车辆购置税支出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8D97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846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A27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w:t>
            </w:r>
            <w:r>
              <w:rPr>
                <w:rFonts w:hint="default" w:ascii="Times New Roman" w:hAnsi="Times New Roman" w:cs="Times New Roman"/>
                <w:b/>
                <w:color w:val="000000"/>
                <w:sz w:val="20"/>
              </w:rPr>
              <w:t xml:space="preserve"> </w:t>
            </w:r>
          </w:p>
        </w:tc>
      </w:tr>
      <w:tr w14:paraId="5D439E0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7F6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6F91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车辆购置税用于农村公路建设支出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ADDE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10.35</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7C7B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3AD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10.35</w:t>
            </w:r>
            <w:r>
              <w:rPr>
                <w:rFonts w:hint="default" w:ascii="Times New Roman" w:hAnsi="Times New Roman" w:cs="Times New Roman"/>
                <w:color w:val="000000"/>
                <w:sz w:val="20"/>
              </w:rPr>
              <w:t xml:space="preserve"> </w:t>
            </w:r>
          </w:p>
        </w:tc>
      </w:tr>
      <w:tr w14:paraId="785FD2B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985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978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DF1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AF10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D09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553F25D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81A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CF8D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140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2E44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w:t>
            </w:r>
            <w:r>
              <w:rPr>
                <w:rFonts w:hint="default" w:ascii="Times New Roman" w:hAnsi="Times New Roman" w:cs="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CA0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49A1D3B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B37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F32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BED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54.51</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FC7E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54.51</w:t>
            </w: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7621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4FFE8D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E15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9156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1BD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30.17</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F0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52F9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30.17</w:t>
            </w:r>
            <w:r>
              <w:rPr>
                <w:rFonts w:hint="default" w:ascii="Times New Roman" w:hAnsi="Times New Roman" w:cs="Times New Roman"/>
                <w:b/>
                <w:color w:val="000000"/>
                <w:sz w:val="20"/>
              </w:rPr>
              <w:t xml:space="preserve"> </w:t>
            </w:r>
          </w:p>
        </w:tc>
      </w:tr>
      <w:tr w14:paraId="43DB7B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94E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DA60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E5C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177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6022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rPr>
              <w:t xml:space="preserve"> </w:t>
            </w:r>
          </w:p>
        </w:tc>
      </w:tr>
      <w:tr w14:paraId="790CA26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E24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15A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DFCE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0180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8E00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r>
      <w:tr w14:paraId="7629E56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0F6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389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4AC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461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DCC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rPr>
              <w:t xml:space="preserve"> </w:t>
            </w:r>
          </w:p>
        </w:tc>
      </w:tr>
      <w:tr w14:paraId="0D46E2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7A2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FE01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3D1B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64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D84E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4.20</w:t>
            </w:r>
            <w:r>
              <w:rPr>
                <w:rFonts w:hint="default" w:ascii="Times New Roman" w:hAnsi="Times New Roman" w:cs="Times New Roman"/>
                <w:color w:val="000000"/>
                <w:sz w:val="20"/>
              </w:rPr>
              <w:t xml:space="preserve"> </w:t>
            </w:r>
          </w:p>
        </w:tc>
      </w:tr>
      <w:tr w14:paraId="01CE44F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488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F9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40E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9A95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BB8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r>
      <w:tr w14:paraId="35939F7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389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364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7E4E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9.46</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A9D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1EF9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9.46</w:t>
            </w:r>
            <w:r>
              <w:rPr>
                <w:rFonts w:hint="default" w:ascii="Times New Roman" w:hAnsi="Times New Roman" w:cs="Times New Roman"/>
                <w:b/>
                <w:color w:val="000000"/>
                <w:sz w:val="20"/>
              </w:rPr>
              <w:t xml:space="preserve"> </w:t>
            </w:r>
          </w:p>
        </w:tc>
      </w:tr>
      <w:tr w14:paraId="26954AD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914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A2F0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B14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1.46</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4F9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B8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1.46</w:t>
            </w:r>
            <w:r>
              <w:rPr>
                <w:rFonts w:hint="default" w:ascii="Times New Roman" w:hAnsi="Times New Roman" w:cs="Times New Roman"/>
                <w:color w:val="000000"/>
                <w:sz w:val="20"/>
              </w:rPr>
              <w:t xml:space="preserve"> </w:t>
            </w:r>
          </w:p>
        </w:tc>
      </w:tr>
      <w:tr w14:paraId="4559326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305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3EBF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F26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9D73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B62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rPr>
              <w:t xml:space="preserve"> </w:t>
            </w:r>
          </w:p>
        </w:tc>
      </w:tr>
      <w:tr w14:paraId="3B75CA7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441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3EC0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8C6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11.81</w:t>
            </w:r>
            <w:r>
              <w:rPr>
                <w:rFonts w:hint="default" w:ascii="Times New Roman" w:hAnsi="Times New Roman" w:cs="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21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33D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11.81</w:t>
            </w:r>
            <w:r>
              <w:rPr>
                <w:rFonts w:hint="default" w:ascii="Times New Roman" w:hAnsi="Times New Roman" w:cs="Times New Roman"/>
                <w:b/>
                <w:color w:val="000000"/>
                <w:sz w:val="20"/>
              </w:rPr>
              <w:t xml:space="preserve"> </w:t>
            </w:r>
          </w:p>
        </w:tc>
      </w:tr>
      <w:tr w14:paraId="250DD84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BCA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C2E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8FC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11.81</w:t>
            </w:r>
            <w:r>
              <w:rPr>
                <w:rFonts w:hint="default" w:ascii="Times New Roman" w:hAnsi="Times New Roman" w:cs="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5C63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57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11.81</w:t>
            </w:r>
            <w:r>
              <w:rPr>
                <w:rFonts w:hint="default" w:ascii="Times New Roman" w:hAnsi="Times New Roman" w:cs="Times New Roman"/>
                <w:color w:val="000000"/>
                <w:sz w:val="20"/>
              </w:rPr>
              <w:t xml:space="preserve"> </w:t>
            </w:r>
          </w:p>
        </w:tc>
      </w:tr>
    </w:tbl>
    <w:p w14:paraId="19FBF00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7378D90">
      <w:pPr>
        <w:keepNext w:val="0"/>
        <w:keepLines w:val="0"/>
        <w:pageBreakBefore w:val="0"/>
        <w:widowControl/>
        <w:kinsoku/>
        <w:overflowPunct/>
        <w:topLinePunct w:val="0"/>
        <w:autoSpaceDN/>
        <w:bidi w:val="0"/>
        <w:adjustRightInd/>
        <w:spacing w:beforeAutospacing="0" w:afterAutospacing="0" w:line="579" w:lineRule="exact"/>
        <w:ind w:left="0" w:leftChars="0" w:right="0"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4994" w:type="pct"/>
        <w:tblInd w:w="0" w:type="dxa"/>
        <w:tblLayout w:type="fixed"/>
        <w:tblCellMar>
          <w:top w:w="0" w:type="dxa"/>
          <w:left w:w="0" w:type="dxa"/>
          <w:bottom w:w="0" w:type="dxa"/>
          <w:right w:w="0" w:type="dxa"/>
        </w:tblCellMar>
      </w:tblPr>
      <w:tblGrid>
        <w:gridCol w:w="541"/>
        <w:gridCol w:w="2450"/>
        <w:gridCol w:w="1230"/>
        <w:gridCol w:w="748"/>
        <w:gridCol w:w="1719"/>
        <w:gridCol w:w="1481"/>
        <w:gridCol w:w="722"/>
        <w:gridCol w:w="3154"/>
        <w:gridCol w:w="1689"/>
      </w:tblGrid>
      <w:tr w14:paraId="1047982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BBB495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0B2D9BF">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57FFFB7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rPr>
              <w:t>重庆市丰都县保合镇人民政府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69BE0B0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B46D5F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D850A9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3C64B5A">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D5C7A2F">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626FF01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AF814C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6534FA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30B685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F67293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2B306B">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E0456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33629D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AABF74E">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6CCC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85863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50153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D1EEB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F5F0C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5C137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6F2F3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7D1DC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571DC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7F4923B">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01CB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2230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3A204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30A0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6F97D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F0AD0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05D0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7D8AE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9DBEE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18"/>
                <w:szCs w:val="18"/>
              </w:rPr>
            </w:pPr>
          </w:p>
        </w:tc>
      </w:tr>
      <w:tr w14:paraId="19412A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E1C8B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BB2E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1FD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1,097.16</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198C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A459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3EA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330.77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DC9E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3828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822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w:t>
            </w:r>
            <w:r>
              <w:rPr>
                <w:rFonts w:hint="default" w:ascii="Times New Roman" w:hAnsi="Times New Roman" w:cs="Times New Roman"/>
                <w:color w:val="000000"/>
                <w:sz w:val="18"/>
              </w:rPr>
              <w:t xml:space="preserve"> </w:t>
            </w:r>
          </w:p>
        </w:tc>
      </w:tr>
      <w:tr w14:paraId="57850F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BCA06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227C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A1D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250.79</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71B0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21C9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FA3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27.31</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FC04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EA9C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AC3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167F9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0F84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FE1D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FA6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112.87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3897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2149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1F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C951C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AD1C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718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w:t>
            </w:r>
            <w:r>
              <w:rPr>
                <w:rFonts w:hint="default" w:ascii="Times New Roman" w:hAnsi="Times New Roman" w:cs="Times New Roman"/>
                <w:color w:val="000000"/>
                <w:sz w:val="18"/>
              </w:rPr>
              <w:t xml:space="preserve"> </w:t>
            </w:r>
          </w:p>
        </w:tc>
      </w:tr>
      <w:tr w14:paraId="2E2BB5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584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911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B3D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152.52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086D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761A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581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2C695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4D8B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AD3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2CEEE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E6619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221C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C9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0B759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5B79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F85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D5138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9A7D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678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EC6FC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D42F6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BC4D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A6E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253.18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78CC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DFF6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FA7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E33D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72F4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87F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813CE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927B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14D7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EB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93.09</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7B2B0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2A7D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C34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5.58</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42EF4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6C855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64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36EE4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A95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E309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904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70.82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80F9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E8AE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AFA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15.52</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FBD7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59FF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455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99282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827D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4F8A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32F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37.83</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5294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CB0C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65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CC9F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80FF7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4FD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46F1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7433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81E7F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2A2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EC17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1A15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E3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61BE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E677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633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FE65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A2C2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060B8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DB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17.14</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399C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38B3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76B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55.66</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EBAD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77096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585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65665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D86B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F003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25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61.97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9403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CE3F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373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F0A8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E21F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9CA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51822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04F8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504E5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9AC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4238D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5BFB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E7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0.21</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BC08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E21E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96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837E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C9D6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00BC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EE8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02CC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E339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305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C3AA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57D4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32B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F810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B8E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BF1C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14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121.20</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8663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2280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7AE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F8A9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8BDF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87C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60A8E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7E6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72B5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5B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52D3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6E95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719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031E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8A431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5CC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90AA6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E7D5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5CC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CD9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11A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1A6F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618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3675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48F2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331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E0D8B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1EAA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FC95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931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8F1D0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5D8F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EB4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C276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6E51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C04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5308B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2E309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7032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8E0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4BFF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7A46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163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D1B5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9A7D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D28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658E1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95AC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7D2E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3B2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92.64</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8B0A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7CD9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5B5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A7DA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A2495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170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ADE18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B4D0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DB5F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200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5BFB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F9B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272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47.06</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0580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6775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55C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4CFD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A9F7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1070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558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26.29</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E53C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98B31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0C0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A8AE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403E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F9E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FF2A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5627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A220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FB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8090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EF29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590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23.46</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0D30A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6DDA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063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AA2B6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3EB3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2ED0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1E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37A0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5838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FE9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B31D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5D1F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176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FF2A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CFBD3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F451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BA0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07A1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4231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37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12.68</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8BBC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886A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098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E09A2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652D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006A6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949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0FD2C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3479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BF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14EA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FC18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6D5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B6F2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8CA5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BBAE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A64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9EAD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F87F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43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3DCA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9891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F52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8CB32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D667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7F04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D994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52801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7F2D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041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87.33</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6F9F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2B83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D46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5EA8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DFB1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B23D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D4DE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0FB0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620D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D5F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7F9D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71D5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F20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3C360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E8C9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7BE9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C1E3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729E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EB90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4EE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21F5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8E49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E9F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r>
      <w:tr w14:paraId="17D7F27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AF54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D586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B213C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A813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871C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544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9FB3D">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01346">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6A7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r>
      <w:tr w14:paraId="074BFF3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AD86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478A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9CA47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A727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BF75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456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94AA9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6794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D00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r>
      <w:tr w14:paraId="0DE1D0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CF8A3">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C890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49B86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E008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5181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69E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30D75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E6777">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7FA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sz w:val="18"/>
                <w:szCs w:val="18"/>
              </w:rPr>
            </w:pPr>
          </w:p>
        </w:tc>
      </w:tr>
      <w:tr w14:paraId="7ADF3C07">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03073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10243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1,218.36</w:t>
            </w:r>
            <w:r>
              <w:rPr>
                <w:rFonts w:hint="default" w:ascii="Times New Roman" w:hAnsi="Times New Roman" w:cs="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DE761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A25B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333.72</w:t>
            </w:r>
            <w:r>
              <w:rPr>
                <w:rFonts w:hint="default" w:ascii="Times New Roman" w:hAnsi="Times New Roman" w:cs="Times New Roman"/>
                <w:color w:val="000000"/>
                <w:sz w:val="18"/>
              </w:rPr>
              <w:t xml:space="preserve"> </w:t>
            </w:r>
          </w:p>
        </w:tc>
      </w:tr>
    </w:tbl>
    <w:p w14:paraId="1E60E98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5000" w:type="pct"/>
        <w:tblInd w:w="0" w:type="dxa"/>
        <w:tblLayout w:type="autofit"/>
        <w:tblCellMar>
          <w:top w:w="0" w:type="dxa"/>
          <w:left w:w="0" w:type="dxa"/>
          <w:bottom w:w="0" w:type="dxa"/>
          <w:right w:w="0" w:type="dxa"/>
        </w:tblCellMar>
      </w:tblPr>
      <w:tblGrid>
        <w:gridCol w:w="1534"/>
        <w:gridCol w:w="3630"/>
        <w:gridCol w:w="1402"/>
        <w:gridCol w:w="1402"/>
        <w:gridCol w:w="1402"/>
        <w:gridCol w:w="1402"/>
        <w:gridCol w:w="1460"/>
        <w:gridCol w:w="1519"/>
      </w:tblGrid>
      <w:tr w14:paraId="21D17FE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D911A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9C4777C">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2F1E303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rPr>
              <w:t>重庆市丰都县保合镇人民政府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00C9DCF0">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4281F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9F9EEC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45E379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25A5F18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8C450F7">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5526DFD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19765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CF9B7C">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FE3AA8">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BA853EB">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1384D53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4738C9">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EE69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C2194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08966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E7D957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B9D65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C68C08B">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3B6C3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F7A1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61007E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D7D87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74D28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088E1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EDD55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79931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712B578A">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F68BE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04D80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08108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9EA41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15ADC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A4E2D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75DD4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467B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4A67CF2E">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B1F8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EB1E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FC00D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C136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9882B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A3389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F31E0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5A3CD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23E144C9">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DEC3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645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4.11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3807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48.85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DFD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48.85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0DEA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F7BD">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48.85</w:t>
            </w:r>
            <w:r>
              <w:rPr>
                <w:rFonts w:hint="default" w:ascii="Times New Roman" w:hAnsi="Times New Roman" w:cs="Times New Roman"/>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2F10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4.11</w:t>
            </w:r>
            <w:r>
              <w:rPr>
                <w:rFonts w:hint="default" w:ascii="Times New Roman" w:hAnsi="Times New Roman" w:cs="Times New Roman"/>
                <w:b/>
                <w:color w:val="000000"/>
                <w:sz w:val="20"/>
              </w:rPr>
              <w:t xml:space="preserve"> </w:t>
            </w:r>
          </w:p>
        </w:tc>
      </w:tr>
      <w:tr w14:paraId="4D730078">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FE94">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A1B2A">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AB74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544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D67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234B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11A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3E8F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4.11</w:t>
            </w:r>
            <w:r>
              <w:rPr>
                <w:rFonts w:hint="default" w:ascii="Times New Roman" w:hAnsi="Times New Roman" w:cs="Times New Roman"/>
                <w:b/>
                <w:color w:val="000000"/>
                <w:sz w:val="20"/>
              </w:rPr>
              <w:t xml:space="preserve"> </w:t>
            </w:r>
          </w:p>
        </w:tc>
      </w:tr>
      <w:tr w14:paraId="2D928489">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6605">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1435">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0729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5F62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C4F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595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4991C">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27.85</w:t>
            </w:r>
            <w:r>
              <w:rPr>
                <w:rFonts w:hint="default" w:ascii="Times New Roman" w:hAnsi="Times New Roman" w:cs="Times New Roman"/>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50B7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2.31</w:t>
            </w:r>
            <w:r>
              <w:rPr>
                <w:rFonts w:hint="default" w:ascii="Times New Roman" w:hAnsi="Times New Roman" w:cs="Times New Roman"/>
                <w:b/>
                <w:color w:val="000000"/>
                <w:sz w:val="20"/>
              </w:rPr>
              <w:t xml:space="preserve"> </w:t>
            </w:r>
          </w:p>
        </w:tc>
      </w:tr>
      <w:tr w14:paraId="55038B4B">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1914">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6931">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D135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2.31</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23C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27.85</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32F08">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27.85</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5CA7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1F7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27.85</w:t>
            </w:r>
            <w:r>
              <w:rPr>
                <w:rFonts w:hint="default" w:ascii="Times New Roman" w:hAnsi="Times New Roman" w:cs="Times New Roman"/>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40C6">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2.31</w:t>
            </w:r>
            <w:r>
              <w:rPr>
                <w:rFonts w:hint="default" w:ascii="Times New Roman" w:hAnsi="Times New Roman" w:cs="Times New Roman"/>
                <w:color w:val="000000"/>
                <w:sz w:val="20"/>
              </w:rPr>
              <w:t xml:space="preserve"> </w:t>
            </w:r>
          </w:p>
        </w:tc>
      </w:tr>
      <w:tr w14:paraId="7A6F692F">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E745">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0619D">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农业土地开发资金安排的支出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4E9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F289">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396A">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E88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7EB13">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3285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rPr>
              <w:t xml:space="preserve"> </w:t>
            </w:r>
          </w:p>
        </w:tc>
      </w:tr>
      <w:tr w14:paraId="4DAAF931">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2A04">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9295">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2361">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A5F2">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C387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72F4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5C4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24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4AD364A6">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30F3">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8EE23">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FA88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8A19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722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9C6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3CF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C68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r w14:paraId="37B32906">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A75F">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49624">
            <w:pPr>
              <w:keepNext w:val="0"/>
              <w:keepLines w:val="0"/>
              <w:pageBreakBefore w:val="0"/>
              <w:widowControl/>
              <w:kinsoku/>
              <w:overflowPunct/>
              <w:topLinePunct w:val="0"/>
              <w:autoSpaceDN/>
              <w:bidi w:val="0"/>
              <w:adjustRightInd/>
              <w:spacing w:beforeAutospacing="0" w:afterAutospacing="0" w:line="579" w:lineRule="exact"/>
              <w:ind w:left="0" w:leftChars="0" w:right="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F30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2F734">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3175B">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8E0E">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ED85">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3B917">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rPr>
              <w:t xml:space="preserve"> </w:t>
            </w:r>
          </w:p>
        </w:tc>
      </w:tr>
    </w:tbl>
    <w:p w14:paraId="2AA6F2E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0964A1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5000" w:type="pct"/>
        <w:tblInd w:w="0" w:type="dxa"/>
        <w:tblLayout w:type="autofit"/>
        <w:tblCellMar>
          <w:top w:w="0" w:type="dxa"/>
          <w:left w:w="0" w:type="dxa"/>
          <w:bottom w:w="0" w:type="dxa"/>
          <w:right w:w="0" w:type="dxa"/>
        </w:tblCellMar>
      </w:tblPr>
      <w:tblGrid>
        <w:gridCol w:w="1683"/>
        <w:gridCol w:w="2736"/>
        <w:gridCol w:w="2929"/>
        <w:gridCol w:w="179"/>
        <w:gridCol w:w="3108"/>
        <w:gridCol w:w="69"/>
        <w:gridCol w:w="3047"/>
      </w:tblGrid>
      <w:tr w14:paraId="1C86EE8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2C2A91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6CA675D">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4D686F3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rPr>
              <w:t>重庆市丰都县保合镇人民政府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3C27792">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C96B8E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4FE4F20">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66F81FC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1CC0F69">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D0A0FB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1E3C848">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073072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C830EF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32F1F92">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34BC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08AE6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50D80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79E70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5920C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E79000F">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5FF9F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F402A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4CC1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DBD3B1">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05D91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4237E3B3">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2A6ED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AA551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3A6DB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514A6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120FD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2C7D86FC">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DE4E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B6117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B2C72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B7420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B6C91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b/>
                <w:color w:val="000000"/>
                <w:sz w:val="20"/>
                <w:szCs w:val="20"/>
              </w:rPr>
            </w:pPr>
          </w:p>
        </w:tc>
      </w:tr>
      <w:tr w14:paraId="38FC1E9E">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0C228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7C80">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AE87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BB4BF">
            <w:pPr>
              <w:keepNext w:val="0"/>
              <w:keepLines w:val="0"/>
              <w:pageBreakBefore w:val="0"/>
              <w:widowControl/>
              <w:kinsoku/>
              <w:wordWrap w:val="0"/>
              <w:overflowPunct/>
              <w:topLinePunct w:val="0"/>
              <w:autoSpaceDN/>
              <w:bidi w:val="0"/>
              <w:adjustRightInd/>
              <w:spacing w:beforeAutospacing="0" w:afterAutospacing="0" w:line="579" w:lineRule="exact"/>
              <w:ind w:left="0" w:leftChars="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rPr>
              <w:t xml:space="preserve"> </w:t>
            </w:r>
          </w:p>
        </w:tc>
      </w:tr>
    </w:tbl>
    <w:p w14:paraId="5AA90F37">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18C83FF">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4850" w:type="pct"/>
        <w:tblInd w:w="0" w:type="dxa"/>
        <w:tblLayout w:type="fixed"/>
        <w:tblCellMar>
          <w:top w:w="0" w:type="dxa"/>
          <w:left w:w="170" w:type="dxa"/>
          <w:bottom w:w="0" w:type="dxa"/>
          <w:right w:w="170" w:type="dxa"/>
        </w:tblCellMar>
      </w:tblPr>
      <w:tblGrid>
        <w:gridCol w:w="3593"/>
        <w:gridCol w:w="1926"/>
        <w:gridCol w:w="1878"/>
        <w:gridCol w:w="4022"/>
        <w:gridCol w:w="1918"/>
      </w:tblGrid>
      <w:tr w14:paraId="5308DF5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908799A">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A3FCFDB">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4B5703C4">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kern w:val="2"/>
                <w:sz w:val="20"/>
                <w:szCs w:val="20"/>
              </w:rPr>
            </w:pPr>
          </w:p>
        </w:tc>
        <w:tc>
          <w:tcPr>
            <w:tcW w:w="722" w:type="pct"/>
            <w:shd w:val="clear" w:color="auto" w:fill="auto"/>
            <w:noWrap/>
            <w:tcMar>
              <w:top w:w="15" w:type="dxa"/>
              <w:left w:w="15" w:type="dxa"/>
              <w:right w:w="15" w:type="dxa"/>
            </w:tcMar>
            <w:vAlign w:val="bottom"/>
          </w:tcPr>
          <w:p w14:paraId="51F86FEC">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rPr>
                <w:rFonts w:hint="default" w:ascii="Times New Roman" w:hAnsi="Times New Roman" w:cs="Times New Roman"/>
                <w:color w:val="000000"/>
                <w:kern w:val="2"/>
                <w:sz w:val="20"/>
                <w:szCs w:val="20"/>
              </w:rPr>
            </w:pPr>
          </w:p>
        </w:tc>
        <w:tc>
          <w:tcPr>
            <w:tcW w:w="704" w:type="pct"/>
            <w:shd w:val="clear" w:color="auto" w:fill="auto"/>
            <w:noWrap/>
            <w:tcMar>
              <w:top w:w="15" w:type="dxa"/>
              <w:left w:w="15" w:type="dxa"/>
              <w:right w:w="15" w:type="dxa"/>
            </w:tcMar>
            <w:vAlign w:val="bottom"/>
          </w:tcPr>
          <w:p w14:paraId="71FB448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kern w:val="2"/>
                <w:sz w:val="20"/>
                <w:szCs w:val="20"/>
              </w:rPr>
            </w:pPr>
          </w:p>
        </w:tc>
        <w:tc>
          <w:tcPr>
            <w:tcW w:w="1508" w:type="pct"/>
            <w:shd w:val="clear" w:color="auto" w:fill="auto"/>
            <w:noWrap/>
            <w:tcMar>
              <w:top w:w="15" w:type="dxa"/>
              <w:left w:w="15" w:type="dxa"/>
              <w:right w:w="15" w:type="dxa"/>
            </w:tcMar>
            <w:vAlign w:val="bottom"/>
          </w:tcPr>
          <w:p w14:paraId="12C0F42E">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kern w:val="2"/>
                <w:sz w:val="20"/>
                <w:szCs w:val="20"/>
              </w:rPr>
            </w:pPr>
          </w:p>
        </w:tc>
        <w:tc>
          <w:tcPr>
            <w:tcW w:w="719" w:type="pct"/>
            <w:shd w:val="clear" w:color="auto" w:fill="auto"/>
            <w:noWrap/>
            <w:tcMar>
              <w:top w:w="15" w:type="dxa"/>
              <w:left w:w="15" w:type="dxa"/>
              <w:right w:w="15" w:type="dxa"/>
            </w:tcMar>
            <w:vAlign w:val="bottom"/>
          </w:tcPr>
          <w:p w14:paraId="54C8C16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4677D07">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4060F3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公开部门</w:t>
            </w:r>
            <w:r>
              <w:rPr>
                <w:rFonts w:hint="default" w:ascii="Times New Roman" w:hAnsi="Times New Roman" w:cs="Times New Roman"/>
                <w:color w:val="000000"/>
                <w:kern w:val="2"/>
                <w:sz w:val="20"/>
                <w:szCs w:val="20"/>
              </w:rPr>
              <w:t xml:space="preserve">： </w:t>
            </w:r>
            <w:r>
              <w:rPr>
                <w:rFonts w:hint="default" w:ascii="Times New Roman" w:hAnsi="Times New Roman" w:cs="Times New Roman"/>
                <w:color w:val="000000"/>
                <w:sz w:val="20"/>
              </w:rPr>
              <w:t>重庆市丰都县保合镇人民政府</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099E28B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73A5F43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0898DCC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4E705E1">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F7D9D9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0E1852F">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D196154">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54235C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BB5070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F2A7FE5">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C2BCD8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586A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6B0F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7B63C8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5F98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84.84</w:t>
            </w:r>
            <w:r>
              <w:rPr>
                <w:rFonts w:hint="default" w:ascii="Times New Roman" w:hAnsi="Times New Roman" w:cs="Times New Roman"/>
                <w:color w:val="000000"/>
                <w:sz w:val="16"/>
              </w:rPr>
              <w:t xml:space="preserve"> </w:t>
            </w:r>
          </w:p>
        </w:tc>
      </w:tr>
      <w:tr w14:paraId="4995294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F68D34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7A7FA">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20.66</w:t>
            </w:r>
            <w:r>
              <w:rPr>
                <w:rFonts w:hint="default" w:ascii="Times New Roman" w:hAnsi="Times New Roman" w:cs="Times New Roman"/>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83CC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20.66</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6BDA3D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F47D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84.84</w:t>
            </w:r>
            <w:r>
              <w:rPr>
                <w:rFonts w:hint="default" w:ascii="Times New Roman" w:hAnsi="Times New Roman" w:cs="Times New Roman"/>
                <w:color w:val="000000"/>
                <w:sz w:val="16"/>
              </w:rPr>
              <w:t xml:space="preserve"> </w:t>
            </w:r>
          </w:p>
        </w:tc>
      </w:tr>
      <w:tr w14:paraId="1145625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0C4CD7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9B9E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FCD0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10D503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0AE2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01C1296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4BFF8B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D2951">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12.68</w:t>
            </w:r>
            <w:r>
              <w:rPr>
                <w:rFonts w:hint="default" w:ascii="Times New Roman" w:hAnsi="Times New Roman" w:cs="Times New Roman"/>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78C9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12.68</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5224B7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004C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14:paraId="523819C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B7BCB9A">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AF8B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4AEB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8D8965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CC354">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4</w:t>
            </w:r>
            <w:r>
              <w:rPr>
                <w:rFonts w:hint="default" w:ascii="Times New Roman" w:hAnsi="Times New Roman" w:cs="Times New Roman"/>
                <w:color w:val="000000"/>
                <w:sz w:val="16"/>
              </w:rPr>
              <w:t xml:space="preserve">   </w:t>
            </w:r>
          </w:p>
        </w:tc>
      </w:tr>
      <w:tr w14:paraId="33A95CD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AC048A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A3B3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12.68</w:t>
            </w:r>
            <w:r>
              <w:rPr>
                <w:rFonts w:hint="default" w:ascii="Times New Roman" w:hAnsi="Times New Roman" w:cs="Times New Roman"/>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68EA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12.68</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AE6EC6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EDFA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6CCF0CB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24099A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9AEF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7.98</w:t>
            </w:r>
            <w:r>
              <w:rPr>
                <w:rFonts w:hint="default" w:ascii="Times New Roman" w:hAnsi="Times New Roman" w:cs="Times New Roman"/>
                <w:color w:val="000000"/>
                <w:sz w:val="16"/>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F1B6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7.98</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A921C8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6380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470891A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CB230F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39C38">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C5D1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7.98</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CCA7EF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11C59">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4F532DE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E6A5DE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809B6">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76C8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9ACB5F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6819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4</w:t>
            </w:r>
            <w:r>
              <w:rPr>
                <w:rFonts w:hint="default" w:ascii="Times New Roman" w:hAnsi="Times New Roman" w:cs="Times New Roman"/>
                <w:color w:val="000000"/>
                <w:sz w:val="16"/>
              </w:rPr>
              <w:t xml:space="preserve"> </w:t>
            </w:r>
          </w:p>
        </w:tc>
      </w:tr>
      <w:tr w14:paraId="4C6719F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9FD557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F93E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73B2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D14978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0FE7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10D7594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BE1BD0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8C53E">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1CC0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DF077B9">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3CAA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15EA944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3B92016">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7BD7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17AAE9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8EEA572">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B198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2468FFC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FE3FF7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7B5D9">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99044A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884E6A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4192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5E03662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3BDE49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6894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A447CC6">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E032CC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CC7E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2EF9108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C71F34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501C0">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515D3A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4</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CD647DB">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5CFFB">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14:paraId="07398CD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2AA0CFF">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1EB9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89DCF2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265</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C94C0D4">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BF8C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70B2068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9BE1C25">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2CEB2">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9151B18">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A7B07EC">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3A93F">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0D09620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86D1348">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7CAE7">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A5D4EBC">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1,320</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C0699E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9C2F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18A95DF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1367FEE">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3606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62631C1">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671210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462F2">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2633A3A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5E6F72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C146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847788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18F7D43">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98B3E">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2611B5C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557DDF0">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477CD">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F65A8FB">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F8C457D">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4968D">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rPr>
              <w:t xml:space="preserve"> </w:t>
            </w:r>
          </w:p>
        </w:tc>
      </w:tr>
      <w:tr w14:paraId="3CE4821A">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3D8D157">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49EA5">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A1840">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0.06</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7B2A891">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AE855">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kern w:val="2"/>
                <w:sz w:val="16"/>
                <w:szCs w:val="16"/>
              </w:rPr>
            </w:pPr>
          </w:p>
        </w:tc>
      </w:tr>
      <w:tr w14:paraId="4B63FC77">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C1FF671">
            <w:pPr>
              <w:keepNext w:val="0"/>
              <w:keepLines w:val="0"/>
              <w:pageBreakBefore w:val="0"/>
              <w:widowControl/>
              <w:kinsoku/>
              <w:overflowPunct/>
              <w:topLinePunct w:val="0"/>
              <w:autoSpaceDN/>
              <w:bidi w:val="0"/>
              <w:adjustRightInd/>
              <w:spacing w:beforeAutospacing="0" w:afterAutospacing="0" w:line="579" w:lineRule="exact"/>
              <w:ind w:left="0" w:leftChars="0" w:right="0"/>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FFF03">
            <w:pPr>
              <w:keepNext w:val="0"/>
              <w:keepLines w:val="0"/>
              <w:pageBreakBefore w:val="0"/>
              <w:widowControl/>
              <w:kinsoku/>
              <w:overflowPunct/>
              <w:topLinePunct w:val="0"/>
              <w:autoSpaceDN/>
              <w:bidi w:val="0"/>
              <w:adjustRightInd/>
              <w:spacing w:beforeAutospacing="0" w:afterAutospacing="0" w:line="579" w:lineRule="exact"/>
              <w:ind w:left="0" w:leftChars="0" w:right="0"/>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45543">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0.02</w:t>
            </w:r>
            <w:r>
              <w:rPr>
                <w:rFonts w:hint="default" w:ascii="Times New Roman" w:hAnsi="Times New Roman" w:cs="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C973AE5">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018A7">
            <w:pPr>
              <w:keepNext w:val="0"/>
              <w:keepLines w:val="0"/>
              <w:pageBreakBefore w:val="0"/>
              <w:widowControl/>
              <w:kinsoku/>
              <w:overflowPunct/>
              <w:topLinePunct w:val="0"/>
              <w:autoSpaceDN/>
              <w:bidi w:val="0"/>
              <w:adjustRightInd/>
              <w:spacing w:beforeAutospacing="0" w:afterAutospacing="0" w:line="579" w:lineRule="exact"/>
              <w:ind w:left="0" w:leftChars="0" w:right="0"/>
              <w:jc w:val="right"/>
              <w:rPr>
                <w:rFonts w:hint="default" w:ascii="Times New Roman" w:hAnsi="Times New Roman" w:cs="Times New Roman"/>
                <w:color w:val="000000"/>
                <w:kern w:val="2"/>
                <w:sz w:val="16"/>
                <w:szCs w:val="16"/>
              </w:rPr>
            </w:pPr>
          </w:p>
        </w:tc>
      </w:tr>
    </w:tbl>
    <w:p w14:paraId="7776DF5A">
      <w:pPr>
        <w:keepNext w:val="0"/>
        <w:keepLines w:val="0"/>
        <w:pageBreakBefore w:val="0"/>
        <w:widowControl/>
        <w:kinsoku/>
        <w:overflowPunct/>
        <w:topLinePunct w:val="0"/>
        <w:autoSpaceDN/>
        <w:bidi w:val="0"/>
        <w:adjustRightInd/>
        <w:spacing w:beforeAutospacing="0" w:afterAutospacing="0" w:line="579" w:lineRule="exact"/>
        <w:ind w:left="0" w:leftChars="0" w:right="0"/>
        <w:rPr>
          <w:rFonts w:hint="default" w:ascii="Times New Roman" w:hAnsi="Times New Roman" w:cs="Times New Roman"/>
        </w:rPr>
      </w:pPr>
      <w:r>
        <w:rPr>
          <w:rFonts w:hint="default" w:ascii="Times New Roman" w:hAnsi="Times New Roman" w:cs="Times New Roman"/>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783" w:h="11850" w:orient="landscape"/>
      <w:pgMar w:top="2098" w:right="1531" w:bottom="1984" w:left="1531" w:header="850" w:footer="1474" w:gutter="0"/>
      <w:pgNumType w:fmt="numberInDash"/>
      <w:cols w:space="0" w:num="1"/>
      <w:rtlGutter w:val="0"/>
      <w:docGrid w:type="lines" w:linePitch="5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8882">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790ACD">
                          <w:pPr>
                            <w:pStyle w:val="6"/>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7790ACD">
                    <w:pPr>
                      <w:pStyle w:val="6"/>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E6126">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15BDB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15BDB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1A5FB2">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1A5FB2">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C4CF">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267"/>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MTM1MGQ4OGM0NzYzNjM2MzBjZTZkNGI3YjAxZDEifQ=="/>
  </w:docVars>
  <w:rsids>
    <w:rsidRoot w:val="00B03CCD"/>
    <w:rsid w:val="000A1353"/>
    <w:rsid w:val="000C01CC"/>
    <w:rsid w:val="000C34D8"/>
    <w:rsid w:val="000D7702"/>
    <w:rsid w:val="001123A7"/>
    <w:rsid w:val="001E21B6"/>
    <w:rsid w:val="001F05D6"/>
    <w:rsid w:val="00201ECD"/>
    <w:rsid w:val="002D0E5A"/>
    <w:rsid w:val="002E5443"/>
    <w:rsid w:val="003669DF"/>
    <w:rsid w:val="003917FD"/>
    <w:rsid w:val="00494756"/>
    <w:rsid w:val="004C12FF"/>
    <w:rsid w:val="00521AC8"/>
    <w:rsid w:val="00550ABE"/>
    <w:rsid w:val="005B023C"/>
    <w:rsid w:val="006137D7"/>
    <w:rsid w:val="00634FA8"/>
    <w:rsid w:val="0063613A"/>
    <w:rsid w:val="00792285"/>
    <w:rsid w:val="007A0D2E"/>
    <w:rsid w:val="007A3314"/>
    <w:rsid w:val="007B419D"/>
    <w:rsid w:val="007F2672"/>
    <w:rsid w:val="00810F13"/>
    <w:rsid w:val="00944711"/>
    <w:rsid w:val="00984852"/>
    <w:rsid w:val="009B67B8"/>
    <w:rsid w:val="00A03B1E"/>
    <w:rsid w:val="00A67739"/>
    <w:rsid w:val="00A820B7"/>
    <w:rsid w:val="00AC5566"/>
    <w:rsid w:val="00B03CCD"/>
    <w:rsid w:val="00B20D79"/>
    <w:rsid w:val="00B40138"/>
    <w:rsid w:val="00BF5A85"/>
    <w:rsid w:val="00C307F6"/>
    <w:rsid w:val="00C57326"/>
    <w:rsid w:val="00C96B11"/>
    <w:rsid w:val="00CC6B99"/>
    <w:rsid w:val="00D16939"/>
    <w:rsid w:val="00D63EA4"/>
    <w:rsid w:val="00DD13D1"/>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4B2171E"/>
    <w:rsid w:val="05BC6D49"/>
    <w:rsid w:val="06194FF1"/>
    <w:rsid w:val="06A2550B"/>
    <w:rsid w:val="06F80EE2"/>
    <w:rsid w:val="07001CCA"/>
    <w:rsid w:val="075678DB"/>
    <w:rsid w:val="079D7CC7"/>
    <w:rsid w:val="08033CE1"/>
    <w:rsid w:val="08051BCA"/>
    <w:rsid w:val="08204893"/>
    <w:rsid w:val="08395955"/>
    <w:rsid w:val="086519EB"/>
    <w:rsid w:val="086C12F4"/>
    <w:rsid w:val="08BA052C"/>
    <w:rsid w:val="08DB07BA"/>
    <w:rsid w:val="0969353F"/>
    <w:rsid w:val="098305D0"/>
    <w:rsid w:val="098A0877"/>
    <w:rsid w:val="0A5C4B69"/>
    <w:rsid w:val="0A86124A"/>
    <w:rsid w:val="0AB54CC0"/>
    <w:rsid w:val="0B602507"/>
    <w:rsid w:val="0B9335CE"/>
    <w:rsid w:val="0C7927C4"/>
    <w:rsid w:val="0C9B098C"/>
    <w:rsid w:val="0D61184A"/>
    <w:rsid w:val="0D673E11"/>
    <w:rsid w:val="0DDA54E4"/>
    <w:rsid w:val="0E1C3D4F"/>
    <w:rsid w:val="0E3A5F83"/>
    <w:rsid w:val="0E74421A"/>
    <w:rsid w:val="0E9438E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665D24"/>
    <w:rsid w:val="14A32AD4"/>
    <w:rsid w:val="14D013EF"/>
    <w:rsid w:val="157D50D3"/>
    <w:rsid w:val="15BF56EC"/>
    <w:rsid w:val="163A6CEE"/>
    <w:rsid w:val="173708E3"/>
    <w:rsid w:val="17A929BE"/>
    <w:rsid w:val="17C374FC"/>
    <w:rsid w:val="189079DC"/>
    <w:rsid w:val="189B0D0B"/>
    <w:rsid w:val="18B43F7C"/>
    <w:rsid w:val="1910625E"/>
    <w:rsid w:val="192D6E10"/>
    <w:rsid w:val="194A1770"/>
    <w:rsid w:val="19B906A4"/>
    <w:rsid w:val="1AAF4FD3"/>
    <w:rsid w:val="1B46240B"/>
    <w:rsid w:val="1B6F15B6"/>
    <w:rsid w:val="1BAA0BEC"/>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933745"/>
    <w:rsid w:val="1FBB35CD"/>
    <w:rsid w:val="1FCD26AF"/>
    <w:rsid w:val="203A31DA"/>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BE047C7"/>
    <w:rsid w:val="2C6762A3"/>
    <w:rsid w:val="2EBF7B3E"/>
    <w:rsid w:val="2EDE1934"/>
    <w:rsid w:val="2FCA4B37"/>
    <w:rsid w:val="2FE029D7"/>
    <w:rsid w:val="2FF06E00"/>
    <w:rsid w:val="30085A89"/>
    <w:rsid w:val="30562E26"/>
    <w:rsid w:val="30586FEC"/>
    <w:rsid w:val="30EC7046"/>
    <w:rsid w:val="31496090"/>
    <w:rsid w:val="315F0B22"/>
    <w:rsid w:val="319D022C"/>
    <w:rsid w:val="31C90022"/>
    <w:rsid w:val="31D84415"/>
    <w:rsid w:val="32285F6F"/>
    <w:rsid w:val="32770556"/>
    <w:rsid w:val="32963820"/>
    <w:rsid w:val="329C0913"/>
    <w:rsid w:val="32AA0460"/>
    <w:rsid w:val="32C91500"/>
    <w:rsid w:val="3337290D"/>
    <w:rsid w:val="33E31118"/>
    <w:rsid w:val="33EF7674"/>
    <w:rsid w:val="342D7BC6"/>
    <w:rsid w:val="352930DB"/>
    <w:rsid w:val="35573069"/>
    <w:rsid w:val="355F6038"/>
    <w:rsid w:val="358C217E"/>
    <w:rsid w:val="35937598"/>
    <w:rsid w:val="36C9128A"/>
    <w:rsid w:val="36D5028F"/>
    <w:rsid w:val="37272C99"/>
    <w:rsid w:val="372E3953"/>
    <w:rsid w:val="37841E99"/>
    <w:rsid w:val="3787198A"/>
    <w:rsid w:val="37BF1123"/>
    <w:rsid w:val="383C3F15"/>
    <w:rsid w:val="38BE4696"/>
    <w:rsid w:val="3939115E"/>
    <w:rsid w:val="399F2FBB"/>
    <w:rsid w:val="39B82A39"/>
    <w:rsid w:val="39C42CA8"/>
    <w:rsid w:val="39DC4FD6"/>
    <w:rsid w:val="39F03D7A"/>
    <w:rsid w:val="39F33306"/>
    <w:rsid w:val="3A2C1C67"/>
    <w:rsid w:val="3B056CDE"/>
    <w:rsid w:val="3B1705E5"/>
    <w:rsid w:val="3B18334B"/>
    <w:rsid w:val="3B211535"/>
    <w:rsid w:val="3B36794F"/>
    <w:rsid w:val="3B9F54F4"/>
    <w:rsid w:val="3C566AD6"/>
    <w:rsid w:val="3C6A5B02"/>
    <w:rsid w:val="3D2757A1"/>
    <w:rsid w:val="3D3D4FC4"/>
    <w:rsid w:val="3D465919"/>
    <w:rsid w:val="3DDF3AB1"/>
    <w:rsid w:val="3E1D0952"/>
    <w:rsid w:val="3E42660A"/>
    <w:rsid w:val="3E7555B1"/>
    <w:rsid w:val="3E787ED9"/>
    <w:rsid w:val="3EEC37F3"/>
    <w:rsid w:val="3F032E93"/>
    <w:rsid w:val="3F0527E5"/>
    <w:rsid w:val="3F694D83"/>
    <w:rsid w:val="3F885DCC"/>
    <w:rsid w:val="3FCD675E"/>
    <w:rsid w:val="4004000C"/>
    <w:rsid w:val="40152228"/>
    <w:rsid w:val="411B6CE5"/>
    <w:rsid w:val="412070D7"/>
    <w:rsid w:val="41314E40"/>
    <w:rsid w:val="41E0734B"/>
    <w:rsid w:val="426554D0"/>
    <w:rsid w:val="426C1EA8"/>
    <w:rsid w:val="42736402"/>
    <w:rsid w:val="42DC527F"/>
    <w:rsid w:val="42E86A87"/>
    <w:rsid w:val="43307B09"/>
    <w:rsid w:val="438D0E97"/>
    <w:rsid w:val="43BB152F"/>
    <w:rsid w:val="44C37687"/>
    <w:rsid w:val="45CB699A"/>
    <w:rsid w:val="465B470D"/>
    <w:rsid w:val="46816795"/>
    <w:rsid w:val="469D6AD4"/>
    <w:rsid w:val="471E6C84"/>
    <w:rsid w:val="4748792B"/>
    <w:rsid w:val="475D719D"/>
    <w:rsid w:val="47674801"/>
    <w:rsid w:val="47C167F2"/>
    <w:rsid w:val="48225EF7"/>
    <w:rsid w:val="488F422B"/>
    <w:rsid w:val="48E36915"/>
    <w:rsid w:val="495C4A24"/>
    <w:rsid w:val="497135DF"/>
    <w:rsid w:val="49851ACC"/>
    <w:rsid w:val="4A263DF2"/>
    <w:rsid w:val="4A6F6675"/>
    <w:rsid w:val="4B0502DF"/>
    <w:rsid w:val="4B135857"/>
    <w:rsid w:val="4B7951CB"/>
    <w:rsid w:val="4B7C315C"/>
    <w:rsid w:val="4DAC4ACA"/>
    <w:rsid w:val="4DBE01D2"/>
    <w:rsid w:val="4EFC6D10"/>
    <w:rsid w:val="4F0C6BA3"/>
    <w:rsid w:val="4F10477D"/>
    <w:rsid w:val="4F186D58"/>
    <w:rsid w:val="4FEA65B7"/>
    <w:rsid w:val="50F06B6E"/>
    <w:rsid w:val="51624BA2"/>
    <w:rsid w:val="51D05FAF"/>
    <w:rsid w:val="52234D33"/>
    <w:rsid w:val="522F6E0C"/>
    <w:rsid w:val="52463BA1"/>
    <w:rsid w:val="52F163D4"/>
    <w:rsid w:val="531A2DB4"/>
    <w:rsid w:val="538A6ABE"/>
    <w:rsid w:val="53915C12"/>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EEB7A5F"/>
    <w:rsid w:val="5F2D4A41"/>
    <w:rsid w:val="60C74F6C"/>
    <w:rsid w:val="61025A59"/>
    <w:rsid w:val="613D5BBC"/>
    <w:rsid w:val="61536C39"/>
    <w:rsid w:val="62255EA3"/>
    <w:rsid w:val="62944DD7"/>
    <w:rsid w:val="6319381F"/>
    <w:rsid w:val="63236436"/>
    <w:rsid w:val="63C25DC5"/>
    <w:rsid w:val="63C62057"/>
    <w:rsid w:val="64571EF5"/>
    <w:rsid w:val="64A70DF2"/>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601CFA"/>
    <w:rsid w:val="6BBF53FD"/>
    <w:rsid w:val="6C560CAE"/>
    <w:rsid w:val="6C576495"/>
    <w:rsid w:val="6C8B0FF9"/>
    <w:rsid w:val="6CA67BE1"/>
    <w:rsid w:val="6D0F39D8"/>
    <w:rsid w:val="6D903FF5"/>
    <w:rsid w:val="6DA955B8"/>
    <w:rsid w:val="6DE346AB"/>
    <w:rsid w:val="6DE5391A"/>
    <w:rsid w:val="6EFD1324"/>
    <w:rsid w:val="6F5A53AC"/>
    <w:rsid w:val="6FAC003D"/>
    <w:rsid w:val="6FE55E12"/>
    <w:rsid w:val="6FFB2E76"/>
    <w:rsid w:val="708F6F7F"/>
    <w:rsid w:val="70BC3E77"/>
    <w:rsid w:val="70D94BD3"/>
    <w:rsid w:val="70DC0B34"/>
    <w:rsid w:val="71C34D91"/>
    <w:rsid w:val="72DB435C"/>
    <w:rsid w:val="72E2613A"/>
    <w:rsid w:val="72F771F4"/>
    <w:rsid w:val="736650B0"/>
    <w:rsid w:val="73934AD2"/>
    <w:rsid w:val="750837F0"/>
    <w:rsid w:val="754758CF"/>
    <w:rsid w:val="764F62AB"/>
    <w:rsid w:val="765C45EC"/>
    <w:rsid w:val="768A7619"/>
    <w:rsid w:val="76E539FB"/>
    <w:rsid w:val="772E1EBA"/>
    <w:rsid w:val="77E605E9"/>
    <w:rsid w:val="77EB79F7"/>
    <w:rsid w:val="796D60A4"/>
    <w:rsid w:val="79A031D5"/>
    <w:rsid w:val="7A1525F7"/>
    <w:rsid w:val="7AFE28E3"/>
    <w:rsid w:val="7B420052"/>
    <w:rsid w:val="7B861484"/>
    <w:rsid w:val="7BD06A28"/>
    <w:rsid w:val="7C3A7C0B"/>
    <w:rsid w:val="7C5248E4"/>
    <w:rsid w:val="7C566698"/>
    <w:rsid w:val="7C5866A3"/>
    <w:rsid w:val="7D7406BB"/>
    <w:rsid w:val="7DDF2F52"/>
    <w:rsid w:val="7DE94331"/>
    <w:rsid w:val="7E254690"/>
    <w:rsid w:val="7E2F225A"/>
    <w:rsid w:val="7F446A19"/>
    <w:rsid w:val="7F7452B9"/>
    <w:rsid w:val="7F9F2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880" w:firstLineChars="200"/>
      <w:outlineLvl w:val="0"/>
    </w:pPr>
    <w:rPr>
      <w:rFonts w:eastAsia="方正楷体_GBK"/>
      <w:kern w:val="44"/>
      <w:sz w:val="32"/>
    </w:rPr>
  </w:style>
  <w:style w:type="paragraph" w:styleId="3">
    <w:name w:val="heading 2"/>
    <w:basedOn w:val="1"/>
    <w:next w:val="1"/>
    <w:semiHidden/>
    <w:unhideWhenUsed/>
    <w:qFormat/>
    <w:uiPriority w:val="0"/>
    <w:pPr>
      <w:keepNext/>
      <w:keepLines/>
      <w:spacing w:beforeLines="0" w:beforeAutospacing="0" w:afterLines="0" w:afterAutospacing="0" w:line="579" w:lineRule="exact"/>
      <w:ind w:firstLine="880" w:firstLineChars="200"/>
      <w:outlineLvl w:val="1"/>
    </w:pPr>
    <w:rPr>
      <w:rFonts w:ascii="Arial" w:hAnsi="Arial" w:eastAsia="方正楷体_GBK"/>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paragraph" w:styleId="10">
    <w:name w:val="annotation subject"/>
    <w:basedOn w:val="4"/>
    <w:next w:val="4"/>
    <w:link w:val="23"/>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annotation reference"/>
    <w:basedOn w:val="13"/>
    <w:qFormat/>
    <w:uiPriority w:val="0"/>
    <w:rPr>
      <w:sz w:val="21"/>
      <w:szCs w:val="21"/>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3"/>
    <w:link w:val="5"/>
    <w:qFormat/>
    <w:uiPriority w:val="0"/>
    <w:rPr>
      <w:rFonts w:ascii="宋体" w:hAnsi="宋体"/>
      <w:sz w:val="18"/>
      <w:szCs w:val="18"/>
    </w:rPr>
  </w:style>
  <w:style w:type="character" w:customStyle="1" w:styleId="21">
    <w:name w:val="15"/>
    <w:qFormat/>
    <w:uiPriority w:val="0"/>
    <w:rPr>
      <w:rFonts w:hint="default" w:ascii="Times New Roman" w:hAnsi="Times New Roman" w:cs="Times New Roman"/>
      <w:b/>
    </w:rPr>
  </w:style>
  <w:style w:type="character" w:customStyle="1" w:styleId="22">
    <w:name w:val="批注文字 Char"/>
    <w:basedOn w:val="13"/>
    <w:link w:val="4"/>
    <w:qFormat/>
    <w:uiPriority w:val="0"/>
    <w:rPr>
      <w:rFonts w:ascii="宋体" w:hAnsi="宋体"/>
      <w:sz w:val="24"/>
      <w:szCs w:val="24"/>
    </w:rPr>
  </w:style>
  <w:style w:type="character" w:customStyle="1" w:styleId="23">
    <w:name w:val="批注主题 Char"/>
    <w:basedOn w:val="22"/>
    <w:link w:val="10"/>
    <w:qFormat/>
    <w:uiPriority w:val="0"/>
    <w:rPr>
      <w:rFonts w:ascii="宋体" w:hAnsi="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12802</Words>
  <Characters>18166</Characters>
  <Lines>187</Lines>
  <Paragraphs>52</Paragraphs>
  <TotalTime>9</TotalTime>
  <ScaleCrop>false</ScaleCrop>
  <LinksUpToDate>false</LinksUpToDate>
  <CharactersWithSpaces>20505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少年郎</cp:lastModifiedBy>
  <dcterms:modified xsi:type="dcterms:W3CDTF">2024-09-29T08:13:06Z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895355E164C4479787B307A5B7B1FC82_13</vt:lpwstr>
  </property>
</Properties>
</file>