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left"/>
        <w:textAlignment w:val="auto"/>
        <w:rPr>
          <w:rFonts w:hint="eastAsia" w:ascii="方正仿宋_GBK" w:hAnsi="仿宋_GB2312" w:eastAsia="方正仿宋_GBK" w:cs="仿宋_GB2312"/>
          <w:szCs w:val="32"/>
        </w:rPr>
      </w:pPr>
      <w:r>
        <w:rPr>
          <w:rFonts w:hint="default" w:ascii="Times New Roman" w:hAnsi="Times New Roman" w:eastAsia="方正小标宋_GBK" w:cs="Times New Roman"/>
        </w:rPr>
        <w:pict>
          <v:shape id="_x0000_s2050" o:spid="_x0000_s2050" o:spt="136" type="#_x0000_t136" style="position:absolute;left:0pt;margin-left:99.3pt;margin-top:22pt;height:71pt;width:316.95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丰 都 县 财 政 局" style="font-family:方正小标宋_GBK;font-size:36pt;v-text-align:center;"/>
          </v:shape>
        </w:pict>
      </w: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r>
        <w:rPr>
          <w:rFonts w:hint="default" w:ascii="Times New Roman" w:hAnsi="Times New Roman" w:eastAsia="方正小标宋_GBK" w:cs="Times New Roman"/>
        </w:rPr>
        <w:pict>
          <v:shape id="_x0000_s2053" o:spid="_x0000_s2053" o:spt="136" type="#_x0000_t136" style="position:absolute;left:0pt;margin-left:434.7pt;margin-top:46.3pt;height:83.3pt;width:76.3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v-text-align:center;"/>
          </v:shape>
        </w:pict>
      </w: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r>
        <w:rPr>
          <w:rFonts w:hint="default" w:ascii="Times New Roman" w:hAnsi="Times New Roman" w:eastAsia="方正小标宋_GBK" w:cs="Times New Roman"/>
        </w:rPr>
        <w:pict>
          <v:shape id="_x0000_s2051" o:spid="_x0000_s2051" o:spt="136" type="#_x0000_t136" style="position:absolute;left:0pt;margin-left:102.2pt;margin-top:100.2pt;height:48.05pt;width:319.3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丰都县乡村振兴局" style="font-family:方正小标宋_GBK;font-size:36pt;v-text-align:center;"/>
          </v:shape>
        </w:pict>
      </w: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bookmarkStart w:id="0" w:name="_GoBack"/>
      <w:bookmarkEnd w:id="0"/>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丰财建</w:t>
      </w:r>
      <w:r>
        <w:rPr>
          <w:rFonts w:hint="eastAsia"/>
          <w:szCs w:val="32"/>
        </w:rPr>
        <w:t>〔20</w:t>
      </w:r>
      <w:r>
        <w:rPr>
          <w:szCs w:val="32"/>
        </w:rPr>
        <w:t>22</w:t>
      </w:r>
      <w:r>
        <w:rPr>
          <w:rFonts w:hint="eastAsia"/>
          <w:szCs w:val="32"/>
        </w:rPr>
        <w:t>〕</w:t>
      </w:r>
      <w:r>
        <w:rPr>
          <w:szCs w:val="32"/>
        </w:rPr>
        <w:t>46</w:t>
      </w:r>
      <w:r>
        <w:rPr>
          <w:rFonts w:hint="eastAsia" w:ascii="方正仿宋_GBK" w:hAnsi="仿宋_GB2312" w:eastAsia="方正仿宋_GBK" w:cs="仿宋_GB2312"/>
          <w:szCs w:val="32"/>
        </w:rPr>
        <w:t>号</w:t>
      </w: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962025</wp:posOffset>
                </wp:positionH>
                <wp:positionV relativeFrom="margin">
                  <wp:posOffset>2928620</wp:posOffset>
                </wp:positionV>
                <wp:extent cx="5710555" cy="635"/>
                <wp:effectExtent l="0" t="19050" r="4445" b="31115"/>
                <wp:wrapNone/>
                <wp:docPr id="1" name="直接连接符 1"/>
                <wp:cNvGraphicFramePr/>
                <a:graphic xmlns:a="http://schemas.openxmlformats.org/drawingml/2006/main">
                  <a:graphicData uri="http://schemas.microsoft.com/office/word/2010/wordprocessingShape">
                    <wps:wsp>
                      <wps:cNvSpPr/>
                      <wps:spPr>
                        <a:xfrm flipV="1">
                          <a:off x="0" y="0"/>
                          <a:ext cx="5710555" cy="635"/>
                        </a:xfrm>
                        <a:prstGeom prst="line">
                          <a:avLst/>
                        </a:prstGeom>
                        <a:ln w="3810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75.75pt;margin-top:230.6pt;height:0.05pt;width:449.65pt;mso-position-horizontal-relative:page;mso-position-vertical-relative:margin;z-index:251661312;mso-width-relative:page;mso-height-relative:page;" filled="f" stroked="t" coordsize="21600,21600" o:gfxdata="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MbVPdkAAAAMAQAADwAAAAAAAAABACAAAAAiAAAAZHJz&#10;L2Rvd25yZXYueG1sUEsBAhQAFAAAAAgAh07iQJdKIEkDAgAA+wMAAA4AAAAAAAAAAQAgAAAAKAEA&#10;AGRycy9lMm9Eb2MueG1sUEsFBgAAAAAGAAYAWQEAAJ0FAAAAAA==&#10;">
                <v:path arrowok="t"/>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bidi w:val="0"/>
        <w:snapToGrid/>
        <w:spacing w:line="560" w:lineRule="exact"/>
        <w:ind w:left="0" w:leftChars="0" w:right="0" w:rightChars="0"/>
        <w:jc w:val="center"/>
        <w:textAlignment w:val="auto"/>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丰都县财政局</w:t>
      </w:r>
    </w:p>
    <w:p>
      <w:pPr>
        <w:keepNext w:val="0"/>
        <w:keepLines w:val="0"/>
        <w:pageBreakBefore w:val="0"/>
        <w:widowControl w:val="0"/>
        <w:kinsoku/>
        <w:wordWrap/>
        <w:overflowPunct/>
        <w:topLinePunct w:val="0"/>
        <w:autoSpaceDE/>
        <w:bidi w:val="0"/>
        <w:snapToGrid/>
        <w:spacing w:line="560" w:lineRule="exact"/>
        <w:ind w:left="0" w:leftChars="0" w:right="0" w:rightChars="0"/>
        <w:jc w:val="center"/>
        <w:textAlignment w:val="auto"/>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丰都县乡村振兴局</w:t>
      </w:r>
    </w:p>
    <w:p>
      <w:pPr>
        <w:keepNext w:val="0"/>
        <w:keepLines w:val="0"/>
        <w:pageBreakBefore w:val="0"/>
        <w:widowControl w:val="0"/>
        <w:kinsoku/>
        <w:wordWrap/>
        <w:overflowPunct/>
        <w:topLinePunct w:val="0"/>
        <w:autoSpaceDE/>
        <w:bidi w:val="0"/>
        <w:snapToGrid/>
        <w:spacing w:line="560" w:lineRule="exact"/>
        <w:ind w:left="0" w:leftChars="0" w:right="0" w:rightChars="0"/>
        <w:jc w:val="center"/>
        <w:textAlignment w:val="auto"/>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关于下达</w:t>
      </w:r>
      <w:r>
        <w:rPr>
          <w:rFonts w:ascii="方正小标宋_GBK" w:hAnsi="方正小标宋简体" w:eastAsia="方正小标宋_GBK" w:cs="方正小标宋简体"/>
          <w:sz w:val="44"/>
          <w:szCs w:val="44"/>
        </w:rPr>
        <w:t>2022</w:t>
      </w:r>
      <w:r>
        <w:rPr>
          <w:rFonts w:hint="eastAsia" w:ascii="方正小标宋_GBK" w:hAnsi="方正小标宋简体" w:eastAsia="方正小标宋_GBK" w:cs="方正小标宋简体"/>
          <w:sz w:val="44"/>
          <w:szCs w:val="44"/>
        </w:rPr>
        <w:t>年农村危房改造项目补助</w:t>
      </w: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r>
        <w:rPr>
          <w:rFonts w:hint="eastAsia" w:ascii="方正小标宋_GBK" w:hAnsi="方正小标宋简体" w:eastAsia="方正小标宋_GBK" w:cs="方正小标宋简体"/>
          <w:sz w:val="44"/>
          <w:szCs w:val="44"/>
        </w:rPr>
        <w:t>资金计划的通知</w:t>
      </w: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left"/>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autoSpaceDN w:val="0"/>
        <w:bidi w:val="0"/>
        <w:adjustRightInd w:val="0"/>
        <w:snapToGrid/>
        <w:spacing w:line="560" w:lineRule="exact"/>
        <w:ind w:left="0" w:leftChars="0" w:right="0" w:rightChars="0"/>
        <w:jc w:val="left"/>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各相关乡镇人民政府、县住建委：</w:t>
      </w:r>
    </w:p>
    <w:p>
      <w:pPr>
        <w:keepNext w:val="0"/>
        <w:keepLines w:val="0"/>
        <w:pageBreakBefore w:val="0"/>
        <w:widowControl w:val="0"/>
        <w:kinsoku/>
        <w:wordWrap/>
        <w:overflowPunct/>
        <w:topLinePunct w:val="0"/>
        <w:autoSpaceDE/>
        <w:bidi w:val="0"/>
        <w:snapToGrid/>
        <w:spacing w:line="560" w:lineRule="exact"/>
        <w:ind w:left="0" w:leftChars="0" w:right="0" w:rightChars="0" w:firstLine="628" w:firstLineChars="20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根据重庆市财政局《关于下达</w:t>
      </w:r>
      <w:r>
        <w:rPr>
          <w:rFonts w:hint="eastAsia"/>
          <w:szCs w:val="32"/>
        </w:rPr>
        <w:t>2</w:t>
      </w:r>
      <w:r>
        <w:rPr>
          <w:szCs w:val="32"/>
        </w:rPr>
        <w:t>022</w:t>
      </w:r>
      <w:r>
        <w:rPr>
          <w:rFonts w:hint="eastAsia" w:ascii="方正仿宋_GBK" w:hAnsi="仿宋_GB2312" w:eastAsia="方正仿宋_GBK" w:cs="仿宋_GB2312"/>
          <w:szCs w:val="32"/>
        </w:rPr>
        <w:t>年中央农村综合改革转移支付预算的通知》（渝财农〔</w:t>
      </w:r>
      <w:r>
        <w:rPr>
          <w:szCs w:val="32"/>
        </w:rPr>
        <w:t>2022</w:t>
      </w:r>
      <w:r>
        <w:rPr>
          <w:rFonts w:hint="eastAsia" w:ascii="方正仿宋_GBK" w:hAnsi="仿宋_GB2312" w:eastAsia="方正仿宋_GBK" w:cs="仿宋_GB2312"/>
          <w:szCs w:val="32"/>
        </w:rPr>
        <w:t>〕</w:t>
      </w:r>
      <w:r>
        <w:rPr>
          <w:szCs w:val="32"/>
        </w:rPr>
        <w:t>67</w:t>
      </w:r>
      <w:r>
        <w:rPr>
          <w:rFonts w:hint="eastAsia" w:ascii="方正仿宋_GBK" w:hAnsi="仿宋_GB2312" w:eastAsia="方正仿宋_GBK" w:cs="仿宋_GB2312"/>
          <w:szCs w:val="32"/>
        </w:rPr>
        <w:t>号）、《关于下达</w:t>
      </w:r>
      <w:r>
        <w:rPr>
          <w:szCs w:val="32"/>
        </w:rPr>
        <w:t>2022</w:t>
      </w:r>
      <w:r>
        <w:rPr>
          <w:rFonts w:hint="eastAsia" w:ascii="方正仿宋_GBK" w:hAnsi="仿宋_GB2312" w:eastAsia="方正仿宋_GBK" w:cs="仿宋_GB2312"/>
          <w:szCs w:val="32"/>
        </w:rPr>
        <w:t>年农村危房改造补助资金预算的通知》（渝财建〔</w:t>
      </w:r>
      <w:r>
        <w:rPr>
          <w:szCs w:val="32"/>
        </w:rPr>
        <w:t>2022</w:t>
      </w:r>
      <w:r>
        <w:rPr>
          <w:rFonts w:hint="eastAsia" w:ascii="方正仿宋_GBK" w:hAnsi="仿宋_GB2312" w:eastAsia="方正仿宋_GBK" w:cs="仿宋_GB2312"/>
          <w:szCs w:val="32"/>
        </w:rPr>
        <w:t>〕</w:t>
      </w:r>
      <w:r>
        <w:rPr>
          <w:rFonts w:hint="eastAsia"/>
          <w:szCs w:val="32"/>
        </w:rPr>
        <w:t>7</w:t>
      </w:r>
      <w:r>
        <w:rPr>
          <w:szCs w:val="32"/>
        </w:rPr>
        <w:t>9</w:t>
      </w:r>
      <w:r>
        <w:rPr>
          <w:rFonts w:hint="eastAsia" w:ascii="方正仿宋_GBK" w:hAnsi="仿宋_GB2312" w:eastAsia="方正仿宋_GBK" w:cs="仿宋_GB2312"/>
          <w:szCs w:val="32"/>
        </w:rPr>
        <w:t>号）及中共丰都县委农村工作暨实施乡村振兴战略领导小组《关于分配下达</w:t>
      </w:r>
      <w:r>
        <w:rPr>
          <w:szCs w:val="32"/>
        </w:rPr>
        <w:t>2022</w:t>
      </w:r>
      <w:r>
        <w:rPr>
          <w:rFonts w:hint="eastAsia" w:ascii="方正仿宋_GBK" w:hAnsi="仿宋_GB2312" w:eastAsia="方正仿宋_GBK" w:cs="仿宋_GB2312"/>
          <w:szCs w:val="32"/>
        </w:rPr>
        <w:t>年财政补助资金（第五批）的通知》（丰委农组〔</w:t>
      </w:r>
      <w:r>
        <w:rPr>
          <w:szCs w:val="32"/>
        </w:rPr>
        <w:t>2022</w:t>
      </w:r>
      <w:r>
        <w:rPr>
          <w:rFonts w:hint="eastAsia" w:ascii="方正仿宋_GBK" w:hAnsi="仿宋_GB2312" w:eastAsia="方正仿宋_GBK" w:cs="仿宋_GB2312"/>
          <w:szCs w:val="32"/>
        </w:rPr>
        <w:t>〕</w:t>
      </w:r>
      <w:r>
        <w:rPr>
          <w:szCs w:val="32"/>
        </w:rPr>
        <w:t>10</w:t>
      </w:r>
      <w:r>
        <w:rPr>
          <w:rFonts w:hint="eastAsia" w:ascii="方正仿宋_GBK" w:hAnsi="仿宋_GB2312" w:eastAsia="方正仿宋_GBK" w:cs="仿宋_GB2312"/>
          <w:szCs w:val="32"/>
        </w:rPr>
        <w:t>号）的要求，结合丰都县住房和城乡建设委员会《关于商请下达</w:t>
      </w:r>
      <w:r>
        <w:rPr>
          <w:szCs w:val="32"/>
        </w:rPr>
        <w:t>2022</w:t>
      </w:r>
      <w:r>
        <w:rPr>
          <w:rFonts w:hint="eastAsia" w:ascii="方正仿宋_GBK" w:hAnsi="仿宋_GB2312" w:eastAsia="方正仿宋_GBK" w:cs="仿宋_GB2312"/>
          <w:szCs w:val="32"/>
        </w:rPr>
        <w:t>年财政补助资金（第五批）的函》（丰都住建函〔</w:t>
      </w:r>
      <w:r>
        <w:rPr>
          <w:szCs w:val="32"/>
        </w:rPr>
        <w:t>2022</w:t>
      </w:r>
      <w:r>
        <w:rPr>
          <w:rFonts w:hint="eastAsia" w:ascii="方正仿宋_GBK" w:hAnsi="仿宋_GB2312" w:eastAsia="方正仿宋_GBK" w:cs="仿宋_GB2312"/>
          <w:szCs w:val="32"/>
        </w:rPr>
        <w:t>〕</w:t>
      </w:r>
      <w:r>
        <w:rPr>
          <w:rFonts w:hint="eastAsia"/>
          <w:szCs w:val="32"/>
        </w:rPr>
        <w:t>1</w:t>
      </w:r>
      <w:r>
        <w:rPr>
          <w:szCs w:val="32"/>
        </w:rPr>
        <w:t>92</w:t>
      </w:r>
      <w:r>
        <w:rPr>
          <w:rFonts w:hint="eastAsia" w:ascii="方正仿宋_GBK" w:hAnsi="仿宋_GB2312" w:eastAsia="方正仿宋_GBK" w:cs="仿宋_GB2312"/>
          <w:szCs w:val="32"/>
        </w:rPr>
        <w:t>号），经研究，现将</w:t>
      </w:r>
      <w:r>
        <w:rPr>
          <w:szCs w:val="32"/>
        </w:rPr>
        <w:t>2022</w:t>
      </w:r>
      <w:r>
        <w:rPr>
          <w:rFonts w:hint="eastAsia" w:ascii="方正仿宋_GBK" w:hAnsi="仿宋_GB2312" w:eastAsia="方正仿宋_GBK" w:cs="仿宋_GB2312"/>
          <w:szCs w:val="32"/>
        </w:rPr>
        <w:t>年农村危房改造项目统筹整合资金</w:t>
      </w:r>
      <w:r>
        <w:rPr>
          <w:szCs w:val="32"/>
        </w:rPr>
        <w:t>415</w:t>
      </w:r>
      <w:r>
        <w:rPr>
          <w:rFonts w:hint="eastAsia" w:ascii="方正仿宋_GBK" w:hAnsi="仿宋_GB2312" w:eastAsia="方正仿宋_GBK" w:cs="仿宋_GB2312"/>
          <w:szCs w:val="32"/>
        </w:rPr>
        <w:t>万元下达你们，专项用于农村危旧房改造、农村人居环境改造项目（详见附件</w:t>
      </w:r>
      <w:r>
        <w:rPr>
          <w:rFonts w:ascii="方正仿宋_GBK" w:hAnsi="仿宋_GB2312" w:eastAsia="方正仿宋_GBK" w:cs="仿宋_GB2312"/>
          <w:szCs w:val="32"/>
        </w:rPr>
        <w:t>1</w:t>
      </w:r>
      <w:r>
        <w:rPr>
          <w:rFonts w:hint="eastAsia" w:ascii="方正仿宋_GBK" w:hAnsi="仿宋_GB2312" w:eastAsia="方正仿宋_GBK" w:cs="仿宋_GB2312"/>
          <w:szCs w:val="32"/>
        </w:rPr>
        <w:t>）。</w:t>
      </w: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firstLine="628" w:firstLineChars="20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支出功能科目：</w:t>
      </w:r>
      <w:r>
        <w:rPr>
          <w:rFonts w:hint="cs" w:ascii="方正仿宋_GBK" w:hAnsi="仿宋_GB2312" w:eastAsia="方正仿宋_GBK" w:cs="仿宋_GB2312"/>
          <w:szCs w:val="32"/>
        </w:rPr>
        <w:t>“</w:t>
      </w:r>
      <w:r>
        <w:rPr>
          <w:szCs w:val="32"/>
        </w:rPr>
        <w:t>2210105</w:t>
      </w:r>
      <w:r>
        <w:rPr>
          <w:rFonts w:ascii="方正仿宋_GBK" w:hAnsi="仿宋_GB2312" w:eastAsia="方正仿宋_GBK" w:cs="仿宋_GB2312"/>
          <w:szCs w:val="32"/>
        </w:rPr>
        <w:t xml:space="preserve"> </w:t>
      </w:r>
      <w:r>
        <w:rPr>
          <w:rFonts w:hint="eastAsia" w:ascii="方正仿宋_GBK" w:hAnsi="仿宋_GB2312" w:eastAsia="方正仿宋_GBK" w:cs="仿宋_GB2312"/>
          <w:szCs w:val="32"/>
        </w:rPr>
        <w:t>农村危房改造</w:t>
      </w:r>
      <w:r>
        <w:rPr>
          <w:rFonts w:hint="cs" w:ascii="方正仿宋_GBK" w:hAnsi="仿宋_GB2312" w:eastAsia="方正仿宋_GBK" w:cs="仿宋_GB2312"/>
          <w:szCs w:val="32"/>
        </w:rPr>
        <w:t>”</w:t>
      </w:r>
      <w:r>
        <w:rPr>
          <w:rFonts w:hint="eastAsia" w:ascii="方正仿宋_GBK" w:hAnsi="仿宋_GB2312" w:eastAsia="方正仿宋_GBK" w:cs="仿宋_GB2312"/>
          <w:szCs w:val="32"/>
        </w:rPr>
        <w:t>；支出经济科目据实列报。</w:t>
      </w: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firstLine="628" w:firstLineChars="20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请严格按照《重庆市继续支持脱贫区县统筹整合使用财政涉农资金试点工作实施细则》（渝财农〔</w:t>
      </w:r>
      <w:r>
        <w:rPr>
          <w:szCs w:val="32"/>
        </w:rPr>
        <w:t>2021</w:t>
      </w:r>
      <w:r>
        <w:rPr>
          <w:rFonts w:hint="eastAsia" w:ascii="方正仿宋_GBK" w:hAnsi="仿宋_GB2312" w:eastAsia="方正仿宋_GBK" w:cs="仿宋_GB2312"/>
          <w:szCs w:val="32"/>
        </w:rPr>
        <w:t>〕</w:t>
      </w:r>
      <w:r>
        <w:rPr>
          <w:szCs w:val="32"/>
        </w:rPr>
        <w:t>58</w:t>
      </w:r>
      <w:r>
        <w:rPr>
          <w:rFonts w:hint="eastAsia" w:ascii="方正仿宋_GBK" w:hAnsi="仿宋_GB2312" w:eastAsia="方正仿宋_GBK" w:cs="仿宋_GB2312"/>
          <w:szCs w:val="32"/>
        </w:rPr>
        <w:t>号）的规定执行，专款专用，严禁截留，挤占和挪用资金，加快项目实施和资金使用，确保任务如期完成。同时科学合理设置绩效目标，在预算执行中，对资金运行情况和绩效目标实现程度开展绩效监控，确保绩效目标如期实现。预算执行结束后，应对照确定的绩效目标做好项目资金绩效自评工作，并将绩效自评结果报送县财政局对口业务科室和综合科。县财政局将适时开展该项目资金的重点绩效评价。绩效评价结果作为预算安排、政策调整和改进管理的重要依据。</w:t>
      </w: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firstLine="628" w:firstLineChars="20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附件：</w:t>
      </w:r>
      <w:r>
        <w:rPr>
          <w:rFonts w:hint="eastAsia" w:eastAsia="方正仿宋_GBK"/>
          <w:spacing w:val="0"/>
          <w:szCs w:val="32"/>
        </w:rPr>
        <w:t>1</w:t>
      </w:r>
      <w:r>
        <w:rPr>
          <w:rFonts w:eastAsia="方正仿宋_GBK"/>
          <w:spacing w:val="0"/>
          <w:szCs w:val="32"/>
        </w:rPr>
        <w:t>.</w:t>
      </w:r>
      <w:r>
        <w:rPr>
          <w:rFonts w:hint="eastAsia" w:eastAsia="方正仿宋_GBK"/>
          <w:spacing w:val="0"/>
          <w:szCs w:val="32"/>
        </w:rPr>
        <w:t>2</w:t>
      </w:r>
      <w:r>
        <w:rPr>
          <w:rFonts w:eastAsia="方正仿宋_GBK"/>
          <w:spacing w:val="0"/>
          <w:szCs w:val="32"/>
        </w:rPr>
        <w:t>022</w:t>
      </w:r>
      <w:r>
        <w:rPr>
          <w:rFonts w:hint="eastAsia" w:eastAsia="方正仿宋_GBK"/>
          <w:spacing w:val="0"/>
          <w:szCs w:val="32"/>
        </w:rPr>
        <w:t>年农村危房改造补助资金分配表</w:t>
      </w: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firstLine="1630" w:firstLineChars="500"/>
        <w:textAlignment w:val="auto"/>
        <w:rPr>
          <w:rFonts w:eastAsia="方正仿宋_GBK"/>
          <w:spacing w:val="0"/>
          <w:szCs w:val="32"/>
        </w:rPr>
      </w:pPr>
      <w:r>
        <w:rPr>
          <w:rFonts w:eastAsia="方正仿宋_GBK"/>
          <w:spacing w:val="0"/>
          <w:szCs w:val="32"/>
        </w:rPr>
        <w:t>2.</w:t>
      </w:r>
      <w:r>
        <w:rPr>
          <w:rFonts w:hint="eastAsia" w:eastAsia="方正仿宋_GBK"/>
          <w:spacing w:val="0"/>
          <w:szCs w:val="32"/>
        </w:rPr>
        <w:t>丰都县项目预算绩效目标表</w:t>
      </w: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firstLine="1570" w:firstLineChars="500"/>
        <w:textAlignment w:val="auto"/>
        <w:rPr>
          <w:rFonts w:hint="eastAsia" w:ascii="方正仿宋_GBK" w:hAnsi="仿宋_GB2312" w:eastAsia="方正仿宋_GBK" w:cs="仿宋_GB2312"/>
          <w:szCs w:val="32"/>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5"/>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5" w:type="dxa"/>
            <w:tcBorders>
              <w:tl2br w:val="nil"/>
              <w:tr2bl w:val="nil"/>
            </w:tcBorders>
            <w:vAlign w:val="center"/>
          </w:tcPr>
          <w:p>
            <w:pPr>
              <w:keepNext w:val="0"/>
              <w:keepLines w:val="0"/>
              <w:pageBreakBefore w:val="0"/>
              <w:widowControl w:val="0"/>
              <w:kinsoku/>
              <w:wordWrap/>
              <w:overflowPunct/>
              <w:topLinePunct w:val="0"/>
              <w:autoSpaceDE/>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丰都县财政局</w:t>
            </w: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tc>
        <w:tc>
          <w:tcPr>
            <w:tcW w:w="4419" w:type="dxa"/>
            <w:tcBorders>
              <w:tl2br w:val="nil"/>
              <w:tr2bl w:val="nil"/>
            </w:tcBorders>
            <w:vAlign w:val="center"/>
          </w:tcPr>
          <w:p>
            <w:pPr>
              <w:keepNext w:val="0"/>
              <w:keepLines w:val="0"/>
              <w:pageBreakBefore w:val="0"/>
              <w:widowControl w:val="0"/>
              <w:kinsoku/>
              <w:wordWrap/>
              <w:overflowPunct/>
              <w:topLinePunct w:val="0"/>
              <w:autoSpaceDE/>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jc w:val="center"/>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丰都县乡村振兴局</w:t>
            </w: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firstLine="652" w:firstLineChars="200"/>
              <w:jc w:val="center"/>
              <w:textAlignment w:val="auto"/>
              <w:rPr>
                <w:rFonts w:hint="eastAsia" w:ascii="方正仿宋_GBK" w:hAnsi="仿宋_GB2312" w:eastAsia="方正仿宋_GBK" w:cs="仿宋_GB2312"/>
                <w:szCs w:val="32"/>
              </w:rPr>
            </w:pPr>
            <w:r>
              <w:rPr>
                <w:rFonts w:hint="eastAsia" w:eastAsia="方正仿宋_GBK"/>
                <w:spacing w:val="0"/>
                <w:szCs w:val="32"/>
              </w:rPr>
              <w:t>20</w:t>
            </w:r>
            <w:r>
              <w:rPr>
                <w:rFonts w:eastAsia="方正仿宋_GBK"/>
                <w:spacing w:val="0"/>
                <w:szCs w:val="32"/>
              </w:rPr>
              <w:t>22</w:t>
            </w:r>
            <w:r>
              <w:rPr>
                <w:rFonts w:hint="eastAsia" w:ascii="方正仿宋_GBK" w:hAnsi="仿宋_GB2312" w:eastAsia="方正仿宋_GBK" w:cs="仿宋_GB2312"/>
                <w:szCs w:val="32"/>
              </w:rPr>
              <w:t>年</w:t>
            </w:r>
            <w:r>
              <w:rPr>
                <w:rFonts w:eastAsia="方正仿宋_GBK"/>
                <w:spacing w:val="0"/>
                <w:szCs w:val="32"/>
              </w:rPr>
              <w:t>9</w:t>
            </w:r>
            <w:r>
              <w:rPr>
                <w:rFonts w:hint="eastAsia" w:ascii="方正仿宋_GBK" w:hAnsi="仿宋_GB2312" w:eastAsia="方正仿宋_GBK" w:cs="仿宋_GB2312"/>
                <w:szCs w:val="32"/>
              </w:rPr>
              <w:t>月</w:t>
            </w:r>
            <w:r>
              <w:rPr>
                <w:rFonts w:eastAsia="方正仿宋_GBK"/>
                <w:spacing w:val="0"/>
                <w:szCs w:val="32"/>
              </w:rPr>
              <w:t>15</w:t>
            </w:r>
            <w:r>
              <w:rPr>
                <w:rFonts w:hint="eastAsia" w:ascii="方正仿宋_GBK" w:hAnsi="仿宋_GB2312" w:eastAsia="方正仿宋_GBK" w:cs="仿宋_GB2312"/>
                <w:szCs w:val="32"/>
              </w:rPr>
              <w:t>日</w:t>
            </w:r>
          </w:p>
          <w:p>
            <w:pPr>
              <w:keepNext w:val="0"/>
              <w:keepLines w:val="0"/>
              <w:pageBreakBefore w:val="0"/>
              <w:widowControl w:val="0"/>
              <w:kinsoku/>
              <w:wordWrap/>
              <w:overflowPunct/>
              <w:topLinePunct w:val="0"/>
              <w:autoSpaceDE/>
              <w:bidi w:val="0"/>
              <w:adjustRightInd w:val="0"/>
              <w:snapToGrid/>
              <w:spacing w:line="560" w:lineRule="exact"/>
              <w:ind w:left="0" w:leftChars="0" w:right="0" w:rightChars="0"/>
              <w:jc w:val="center"/>
              <w:textAlignment w:val="auto"/>
              <w:rPr>
                <w:rFonts w:ascii="仿宋_GB2312" w:hAnsi="仿宋_GB2312" w:cs="仿宋_GB2312"/>
                <w:szCs w:val="32"/>
              </w:rPr>
            </w:pPr>
          </w:p>
        </w:tc>
      </w:tr>
    </w:tbl>
    <w:p>
      <w:pPr>
        <w:keepNext w:val="0"/>
        <w:keepLines w:val="0"/>
        <w:pageBreakBefore w:val="0"/>
        <w:widowControl w:val="0"/>
        <w:kinsoku/>
        <w:wordWrap/>
        <w:overflowPunct/>
        <w:topLinePunct w:val="0"/>
        <w:autoSpaceDE/>
        <w:autoSpaceDN w:val="0"/>
        <w:bidi w:val="0"/>
        <w:snapToGrid/>
        <w:spacing w:line="560" w:lineRule="exact"/>
        <w:ind w:left="0" w:leftChars="0" w:right="0" w:rightChars="0" w:firstLine="628" w:firstLineChars="200"/>
        <w:jc w:val="left"/>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（此件依申请公开）</w:t>
      </w:r>
    </w:p>
    <w:p>
      <w:pPr>
        <w:keepNext w:val="0"/>
        <w:keepLines w:val="0"/>
        <w:pageBreakBefore w:val="0"/>
        <w:widowControl w:val="0"/>
        <w:kinsoku/>
        <w:wordWrap/>
        <w:overflowPunct/>
        <w:topLinePunct w:val="0"/>
        <w:autoSpaceDE/>
        <w:autoSpaceDN w:val="0"/>
        <w:bidi w:val="0"/>
        <w:snapToGrid/>
        <w:spacing w:line="560" w:lineRule="exact"/>
        <w:ind w:left="0" w:leftChars="0" w:right="0" w:rightChars="0" w:firstLine="628" w:firstLineChars="200"/>
        <w:jc w:val="left"/>
        <w:textAlignment w:val="auto"/>
        <w:rPr>
          <w:rFonts w:ascii="仿宋_GB2312" w:hAnsi="仿宋_GB2312" w:cs="仿宋_GB2312"/>
          <w:szCs w:val="32"/>
        </w:rPr>
      </w:pPr>
    </w:p>
    <w:p>
      <w:pPr>
        <w:keepNext w:val="0"/>
        <w:keepLines w:val="0"/>
        <w:pageBreakBefore w:val="0"/>
        <w:widowControl w:val="0"/>
        <w:kinsoku/>
        <w:wordWrap/>
        <w:overflowPunct/>
        <w:topLinePunct w:val="0"/>
        <w:autoSpaceDE/>
        <w:bidi w:val="0"/>
        <w:snapToGrid/>
        <w:spacing w:line="560" w:lineRule="exact"/>
        <w:ind w:left="0" w:leftChars="0" w:right="0" w:rightChars="0"/>
        <w:textAlignment w:val="auto"/>
        <w:rPr>
          <w:rFonts w:ascii="仿宋_GB2312" w:hAnsi="仿宋_GB2312" w:cs="仿宋_GB2312"/>
          <w:szCs w:val="32"/>
        </w:rPr>
      </w:pPr>
    </w:p>
    <w:tbl>
      <w:tblPr>
        <w:tblStyle w:val="4"/>
        <w:tblpPr w:leftFromText="181" w:rightFromText="181" w:horzAnchor="page" w:tblpX="1577" w:tblpYSpec="bottom"/>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4408" w:type="dxa"/>
            <w:tcBorders>
              <w:top w:val="single" w:color="auto" w:sz="6" w:space="0"/>
              <w:bottom w:val="single" w:color="auto" w:sz="8" w:space="0"/>
            </w:tcBorders>
            <w:vAlign w:val="center"/>
          </w:tcPr>
          <w:p>
            <w:pPr>
              <w:keepNext w:val="0"/>
              <w:keepLines w:val="0"/>
              <w:pageBreakBefore w:val="0"/>
              <w:widowControl w:val="0"/>
              <w:kinsoku/>
              <w:wordWrap/>
              <w:overflowPunct/>
              <w:topLinePunct w:val="0"/>
              <w:autoSpaceDE/>
              <w:autoSpaceDN w:val="0"/>
              <w:bidi w:val="0"/>
              <w:snapToGrid/>
              <w:spacing w:line="560" w:lineRule="exact"/>
              <w:ind w:left="0" w:leftChars="0" w:right="0" w:rightChars="0"/>
              <w:jc w:val="left"/>
              <w:textAlignment w:val="auto"/>
              <w:rPr>
                <w:rFonts w:hint="eastAsia" w:ascii="方正仿宋_GBK" w:hAnsi="仿宋_GB2312" w:eastAsia="方正仿宋_GBK" w:cs="仿宋_GB2312"/>
                <w:sz w:val="28"/>
                <w:szCs w:val="28"/>
              </w:rPr>
            </w:pPr>
            <w:r>
              <w:rPr>
                <w:rFonts w:hint="eastAsia" w:ascii="方正仿宋_GBK" w:hAnsi="微软雅黑" w:eastAsia="方正仿宋_GBK" w:cs="微软雅黑"/>
                <w:sz w:val="28"/>
                <w:szCs w:val="28"/>
              </w:rPr>
              <w:t>丰都县财政局办公室</w:t>
            </w:r>
          </w:p>
        </w:tc>
        <w:tc>
          <w:tcPr>
            <w:tcW w:w="4436" w:type="dxa"/>
            <w:tcBorders>
              <w:top w:val="single" w:color="auto" w:sz="6" w:space="0"/>
              <w:bottom w:val="single" w:color="auto" w:sz="8" w:space="0"/>
            </w:tcBorders>
            <w:vAlign w:val="center"/>
          </w:tcPr>
          <w:p>
            <w:pPr>
              <w:keepNext w:val="0"/>
              <w:keepLines w:val="0"/>
              <w:pageBreakBefore w:val="0"/>
              <w:widowControl w:val="0"/>
              <w:kinsoku/>
              <w:wordWrap/>
              <w:overflowPunct/>
              <w:topLinePunct w:val="0"/>
              <w:autoSpaceDE/>
              <w:autoSpaceDN w:val="0"/>
              <w:bidi w:val="0"/>
              <w:snapToGrid/>
              <w:spacing w:line="560" w:lineRule="exact"/>
              <w:ind w:left="0" w:leftChars="0" w:right="0" w:rightChars="0"/>
              <w:jc w:val="right"/>
              <w:textAlignment w:val="auto"/>
              <w:rPr>
                <w:rFonts w:hint="eastAsia" w:ascii="方正仿宋_GBK" w:hAnsi="仿宋_GB2312" w:eastAsia="方正仿宋_GBK" w:cs="仿宋_GB2312"/>
                <w:sz w:val="28"/>
                <w:szCs w:val="28"/>
              </w:rPr>
            </w:pPr>
            <w:r>
              <w:rPr>
                <w:rFonts w:hint="eastAsia" w:eastAsia="方正仿宋_GBK"/>
                <w:spacing w:val="0"/>
                <w:szCs w:val="32"/>
              </w:rPr>
              <w:t>20</w:t>
            </w:r>
            <w:r>
              <w:rPr>
                <w:rFonts w:eastAsia="方正仿宋_GBK"/>
                <w:spacing w:val="0"/>
                <w:szCs w:val="32"/>
              </w:rPr>
              <w:t>22</w:t>
            </w:r>
            <w:r>
              <w:rPr>
                <w:rFonts w:hint="eastAsia" w:ascii="方正仿宋_GBK" w:hAnsi="仿宋_GB2312" w:eastAsia="方正仿宋_GBK" w:cs="仿宋_GB2312"/>
                <w:sz w:val="28"/>
                <w:szCs w:val="28"/>
              </w:rPr>
              <w:t>年</w:t>
            </w:r>
            <w:r>
              <w:rPr>
                <w:rFonts w:eastAsia="方正仿宋_GBK"/>
                <w:spacing w:val="0"/>
                <w:szCs w:val="32"/>
              </w:rPr>
              <w:t>9</w:t>
            </w:r>
            <w:r>
              <w:rPr>
                <w:rFonts w:hint="eastAsia" w:ascii="方正仿宋_GBK" w:hAnsi="仿宋_GB2312" w:eastAsia="方正仿宋_GBK" w:cs="仿宋_GB2312"/>
                <w:sz w:val="28"/>
                <w:szCs w:val="28"/>
              </w:rPr>
              <w:t>月</w:t>
            </w:r>
            <w:r>
              <w:rPr>
                <w:rFonts w:eastAsia="方正仿宋_GBK"/>
                <w:spacing w:val="0"/>
                <w:szCs w:val="32"/>
              </w:rPr>
              <w:t>15</w:t>
            </w:r>
            <w:r>
              <w:rPr>
                <w:rFonts w:hint="eastAsia" w:ascii="方正仿宋_GBK" w:hAnsi="仿宋_GB2312" w:eastAsia="方正仿宋_GBK" w:cs="仿宋_GB2312"/>
                <w:sz w:val="28"/>
                <w:szCs w:val="28"/>
              </w:rPr>
              <w:t>日印发</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91" w:hRule="exact"/>
        </w:trPr>
        <w:tc>
          <w:tcPr>
            <w:tcW w:w="4408" w:type="dxa"/>
            <w:tcBorders>
              <w:top w:val="single" w:color="auto" w:sz="8" w:space="0"/>
              <w:bottom w:val="nil"/>
            </w:tcBorders>
          </w:tcPr>
          <w:p>
            <w:pPr>
              <w:keepNext w:val="0"/>
              <w:keepLines w:val="0"/>
              <w:pageBreakBefore w:val="0"/>
              <w:widowControl w:val="0"/>
              <w:kinsoku/>
              <w:wordWrap/>
              <w:overflowPunct/>
              <w:topLinePunct w:val="0"/>
              <w:autoSpaceDE/>
              <w:autoSpaceDN w:val="0"/>
              <w:bidi w:val="0"/>
              <w:snapToGrid/>
              <w:spacing w:line="560" w:lineRule="exact"/>
              <w:ind w:left="0" w:leftChars="0" w:right="0" w:rightChars="0"/>
              <w:jc w:val="left"/>
              <w:textAlignment w:val="auto"/>
              <w:rPr>
                <w:rFonts w:ascii="仿宋" w:hAnsi="仿宋" w:eastAsia="仿宋" w:cs="仿宋"/>
                <w:sz w:val="28"/>
                <w:szCs w:val="28"/>
              </w:rPr>
            </w:pPr>
          </w:p>
        </w:tc>
        <w:tc>
          <w:tcPr>
            <w:tcW w:w="4436" w:type="dxa"/>
            <w:tcBorders>
              <w:top w:val="single" w:color="auto" w:sz="8" w:space="0"/>
              <w:bottom w:val="nil"/>
            </w:tcBorders>
          </w:tcPr>
          <w:p>
            <w:pPr>
              <w:keepNext w:val="0"/>
              <w:keepLines w:val="0"/>
              <w:pageBreakBefore w:val="0"/>
              <w:widowControl w:val="0"/>
              <w:kinsoku/>
              <w:wordWrap/>
              <w:overflowPunct/>
              <w:topLinePunct w:val="0"/>
              <w:autoSpaceDE/>
              <w:autoSpaceDN w:val="0"/>
              <w:bidi w:val="0"/>
              <w:snapToGrid/>
              <w:spacing w:line="560" w:lineRule="exact"/>
              <w:ind w:left="0" w:leftChars="0" w:right="0" w:rightChars="0"/>
              <w:jc w:val="right"/>
              <w:textAlignment w:val="auto"/>
              <w:rPr>
                <w:rFonts w:ascii="仿宋" w:hAnsi="仿宋" w:eastAsia="仿宋" w:cs="仿宋"/>
                <w:sz w:val="28"/>
                <w:szCs w:val="28"/>
              </w:rPr>
            </w:pPr>
          </w:p>
        </w:tc>
      </w:tr>
    </w:tbl>
    <w:p>
      <w:pPr>
        <w:keepNext w:val="0"/>
        <w:keepLines w:val="0"/>
        <w:pageBreakBefore w:val="0"/>
        <w:widowControl w:val="0"/>
        <w:kinsoku/>
        <w:wordWrap/>
        <w:overflowPunct/>
        <w:topLinePunct w:val="0"/>
        <w:autoSpaceDE/>
        <w:autoSpaceDN w:val="0"/>
        <w:bidi w:val="0"/>
        <w:snapToGrid/>
        <w:spacing w:line="560" w:lineRule="exact"/>
        <w:ind w:left="0" w:leftChars="0" w:right="0" w:rightChars="0"/>
        <w:jc w:val="left"/>
        <w:textAlignment w:val="auto"/>
      </w:pPr>
    </w:p>
    <w:p>
      <w:pPr>
        <w:keepNext w:val="0"/>
        <w:keepLines w:val="0"/>
        <w:pageBreakBefore w:val="0"/>
        <w:widowControl w:val="0"/>
        <w:kinsoku/>
        <w:wordWrap/>
        <w:overflowPunct/>
        <w:topLinePunct w:val="0"/>
        <w:autoSpaceDE/>
        <w:autoSpaceDN w:val="0"/>
        <w:bidi w:val="0"/>
        <w:snapToGrid/>
        <w:spacing w:line="560" w:lineRule="exact"/>
        <w:ind w:left="0" w:leftChars="0" w:right="0" w:rightChars="0"/>
        <w:jc w:val="left"/>
        <w:textAlignment w:val="auto"/>
      </w:pPr>
    </w:p>
    <w:p>
      <w:pPr>
        <w:keepNext w:val="0"/>
        <w:keepLines w:val="0"/>
        <w:pageBreakBefore w:val="0"/>
        <w:widowControl w:val="0"/>
        <w:kinsoku/>
        <w:wordWrap/>
        <w:overflowPunct/>
        <w:topLinePunct w:val="0"/>
        <w:autoSpaceDE/>
        <w:autoSpaceDN w:val="0"/>
        <w:bidi w:val="0"/>
        <w:snapToGrid/>
        <w:spacing w:line="560" w:lineRule="exact"/>
        <w:ind w:left="0" w:leftChars="0" w:right="0" w:rightChars="0"/>
        <w:jc w:val="left"/>
        <w:textAlignment w:val="auto"/>
      </w:pPr>
    </w:p>
    <w:sectPr>
      <w:footerReference r:id="rId5" w:type="default"/>
      <w:footerReference r:id="rId6" w:type="even"/>
      <w:pgSz w:w="11906" w:h="16838"/>
      <w:pgMar w:top="2098" w:right="1474" w:bottom="1984" w:left="1587" w:header="851" w:footer="1049"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6" w:lineRule="auto"/>
      <w:ind w:right="308" w:rightChars="100"/>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3" w:lineRule="auto"/>
      <w:ind w:left="308" w:leftChars="100"/>
      <w:jc w:val="left"/>
      <w:rPr>
        <w:rStyle w:val="7"/>
        <w:rFonts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4</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9"/>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drawingGridHorizontalSpacing w:val="308"/>
  <w:drawingGridVerticalSpacing w:val="295"/>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MmM2NWM4NzhmMTRlM2RkNTliMzdiMzk2YzY4MTAifQ=="/>
    <w:docVar w:name="iDocStyle" w:val="2"/>
  </w:docVars>
  <w:rsids>
    <w:rsidRoot w:val="03E2635E"/>
    <w:rsid w:val="0001307D"/>
    <w:rsid w:val="00064709"/>
    <w:rsid w:val="00092931"/>
    <w:rsid w:val="001B2E88"/>
    <w:rsid w:val="00306B34"/>
    <w:rsid w:val="003376FF"/>
    <w:rsid w:val="00374D4A"/>
    <w:rsid w:val="0039488D"/>
    <w:rsid w:val="003B5633"/>
    <w:rsid w:val="00440B6A"/>
    <w:rsid w:val="004A6F22"/>
    <w:rsid w:val="00536B57"/>
    <w:rsid w:val="00556C21"/>
    <w:rsid w:val="005F69E7"/>
    <w:rsid w:val="00617386"/>
    <w:rsid w:val="00636F3E"/>
    <w:rsid w:val="006C6C83"/>
    <w:rsid w:val="00800961"/>
    <w:rsid w:val="00810B05"/>
    <w:rsid w:val="0084396C"/>
    <w:rsid w:val="00893581"/>
    <w:rsid w:val="008B3422"/>
    <w:rsid w:val="00923016"/>
    <w:rsid w:val="00933ADF"/>
    <w:rsid w:val="0093481D"/>
    <w:rsid w:val="00936E56"/>
    <w:rsid w:val="00965970"/>
    <w:rsid w:val="00966A27"/>
    <w:rsid w:val="00AC775E"/>
    <w:rsid w:val="00AE27D9"/>
    <w:rsid w:val="00B53501"/>
    <w:rsid w:val="00B84507"/>
    <w:rsid w:val="00BB01A1"/>
    <w:rsid w:val="00BB4593"/>
    <w:rsid w:val="00C23A28"/>
    <w:rsid w:val="00C81934"/>
    <w:rsid w:val="00DC57F7"/>
    <w:rsid w:val="00DE1749"/>
    <w:rsid w:val="00E2609C"/>
    <w:rsid w:val="00E4268D"/>
    <w:rsid w:val="00F26E04"/>
    <w:rsid w:val="00F50513"/>
    <w:rsid w:val="00FA0968"/>
    <w:rsid w:val="00FA7014"/>
    <w:rsid w:val="02A757AF"/>
    <w:rsid w:val="02E81F67"/>
    <w:rsid w:val="03D40D58"/>
    <w:rsid w:val="03E2635E"/>
    <w:rsid w:val="056858EB"/>
    <w:rsid w:val="05F27D2D"/>
    <w:rsid w:val="06A50054"/>
    <w:rsid w:val="06FF4708"/>
    <w:rsid w:val="072B67C2"/>
    <w:rsid w:val="076247AC"/>
    <w:rsid w:val="07CF0A92"/>
    <w:rsid w:val="081F25E1"/>
    <w:rsid w:val="08965AA3"/>
    <w:rsid w:val="08C302C2"/>
    <w:rsid w:val="08FC454D"/>
    <w:rsid w:val="0A696CA3"/>
    <w:rsid w:val="0ACE4448"/>
    <w:rsid w:val="0B57692B"/>
    <w:rsid w:val="0B5F3D37"/>
    <w:rsid w:val="0BEE2322"/>
    <w:rsid w:val="0CCE7DBE"/>
    <w:rsid w:val="0E4A52A5"/>
    <w:rsid w:val="0EF44B98"/>
    <w:rsid w:val="0EFB0E72"/>
    <w:rsid w:val="0FC4616A"/>
    <w:rsid w:val="0FFD75C9"/>
    <w:rsid w:val="11D413CD"/>
    <w:rsid w:val="13515442"/>
    <w:rsid w:val="14C57522"/>
    <w:rsid w:val="15357481"/>
    <w:rsid w:val="156947AC"/>
    <w:rsid w:val="15DC4AEB"/>
    <w:rsid w:val="15F00942"/>
    <w:rsid w:val="16EE36AF"/>
    <w:rsid w:val="17CC781A"/>
    <w:rsid w:val="17E54B40"/>
    <w:rsid w:val="18323044"/>
    <w:rsid w:val="186F4AA4"/>
    <w:rsid w:val="19AB6BF7"/>
    <w:rsid w:val="19C11524"/>
    <w:rsid w:val="19F945AB"/>
    <w:rsid w:val="1B3006DC"/>
    <w:rsid w:val="1BD76C61"/>
    <w:rsid w:val="1C7C6848"/>
    <w:rsid w:val="1C7E55CF"/>
    <w:rsid w:val="1CC01990"/>
    <w:rsid w:val="1CCB1E4B"/>
    <w:rsid w:val="1CDA2465"/>
    <w:rsid w:val="1D3C3403"/>
    <w:rsid w:val="1D7F2BF3"/>
    <w:rsid w:val="1F21724F"/>
    <w:rsid w:val="206372DA"/>
    <w:rsid w:val="20CF0D61"/>
    <w:rsid w:val="23110016"/>
    <w:rsid w:val="2378543C"/>
    <w:rsid w:val="23E11F56"/>
    <w:rsid w:val="240B730E"/>
    <w:rsid w:val="240D4A36"/>
    <w:rsid w:val="25452535"/>
    <w:rsid w:val="25B427E8"/>
    <w:rsid w:val="2617288D"/>
    <w:rsid w:val="2913316F"/>
    <w:rsid w:val="2A003631"/>
    <w:rsid w:val="2A8D1D2B"/>
    <w:rsid w:val="2B341EF0"/>
    <w:rsid w:val="2C645E65"/>
    <w:rsid w:val="2E8F63EE"/>
    <w:rsid w:val="2E931CD3"/>
    <w:rsid w:val="2F043E2F"/>
    <w:rsid w:val="2F752E78"/>
    <w:rsid w:val="313F7767"/>
    <w:rsid w:val="318D3859"/>
    <w:rsid w:val="327B4FBE"/>
    <w:rsid w:val="327D69E4"/>
    <w:rsid w:val="33F00AC4"/>
    <w:rsid w:val="34335D8E"/>
    <w:rsid w:val="34D73340"/>
    <w:rsid w:val="356773AC"/>
    <w:rsid w:val="357850C8"/>
    <w:rsid w:val="36386400"/>
    <w:rsid w:val="366208C9"/>
    <w:rsid w:val="36A125AC"/>
    <w:rsid w:val="37B77B75"/>
    <w:rsid w:val="38FC020D"/>
    <w:rsid w:val="39AB70AC"/>
    <w:rsid w:val="39C452F8"/>
    <w:rsid w:val="3A7F4B06"/>
    <w:rsid w:val="3AB55CFA"/>
    <w:rsid w:val="3B29751D"/>
    <w:rsid w:val="3B4C09D6"/>
    <w:rsid w:val="3C520284"/>
    <w:rsid w:val="3C743CBC"/>
    <w:rsid w:val="3C881C2C"/>
    <w:rsid w:val="3DB8304E"/>
    <w:rsid w:val="3DC10E17"/>
    <w:rsid w:val="3DC50166"/>
    <w:rsid w:val="3DFA2BBE"/>
    <w:rsid w:val="3EB86474"/>
    <w:rsid w:val="3F6F584D"/>
    <w:rsid w:val="40071619"/>
    <w:rsid w:val="41826907"/>
    <w:rsid w:val="42345F07"/>
    <w:rsid w:val="42794B49"/>
    <w:rsid w:val="44215F39"/>
    <w:rsid w:val="442D73A0"/>
    <w:rsid w:val="44883334"/>
    <w:rsid w:val="44AC00B9"/>
    <w:rsid w:val="476F0BC1"/>
    <w:rsid w:val="479C75F5"/>
    <w:rsid w:val="47E258D1"/>
    <w:rsid w:val="4B4B5EC8"/>
    <w:rsid w:val="4B77583B"/>
    <w:rsid w:val="4BB704B1"/>
    <w:rsid w:val="4C7C75DA"/>
    <w:rsid w:val="4D131782"/>
    <w:rsid w:val="4FA41E34"/>
    <w:rsid w:val="506449AA"/>
    <w:rsid w:val="506D4B6B"/>
    <w:rsid w:val="50B22EF2"/>
    <w:rsid w:val="50C30C0E"/>
    <w:rsid w:val="51AF2A36"/>
    <w:rsid w:val="51C82A3A"/>
    <w:rsid w:val="51FD5492"/>
    <w:rsid w:val="52654633"/>
    <w:rsid w:val="53211D72"/>
    <w:rsid w:val="53273C7B"/>
    <w:rsid w:val="537B3086"/>
    <w:rsid w:val="53AB3ED4"/>
    <w:rsid w:val="53BB08EB"/>
    <w:rsid w:val="541C548D"/>
    <w:rsid w:val="54C75926"/>
    <w:rsid w:val="54FC2087"/>
    <w:rsid w:val="554D50DF"/>
    <w:rsid w:val="55F73A99"/>
    <w:rsid w:val="57981C4F"/>
    <w:rsid w:val="58140590"/>
    <w:rsid w:val="58764423"/>
    <w:rsid w:val="58AD748A"/>
    <w:rsid w:val="59972C8B"/>
    <w:rsid w:val="5A5B3CCD"/>
    <w:rsid w:val="5BF062E2"/>
    <w:rsid w:val="5C344476"/>
    <w:rsid w:val="5C813653"/>
    <w:rsid w:val="5C883DDD"/>
    <w:rsid w:val="5CB1580F"/>
    <w:rsid w:val="5CC21EBE"/>
    <w:rsid w:val="5E340A9B"/>
    <w:rsid w:val="5F715F24"/>
    <w:rsid w:val="5F956A3B"/>
    <w:rsid w:val="5FE274DC"/>
    <w:rsid w:val="6061582C"/>
    <w:rsid w:val="61D66A13"/>
    <w:rsid w:val="62755297"/>
    <w:rsid w:val="629E2BD8"/>
    <w:rsid w:val="630D57FA"/>
    <w:rsid w:val="634D3C76"/>
    <w:rsid w:val="63554283"/>
    <w:rsid w:val="63FA16A1"/>
    <w:rsid w:val="650F29DD"/>
    <w:rsid w:val="65302858"/>
    <w:rsid w:val="65F64CD2"/>
    <w:rsid w:val="663B466F"/>
    <w:rsid w:val="66531D6F"/>
    <w:rsid w:val="67165330"/>
    <w:rsid w:val="67433876"/>
    <w:rsid w:val="67AC7A22"/>
    <w:rsid w:val="67F35C18"/>
    <w:rsid w:val="680B32BF"/>
    <w:rsid w:val="687605C0"/>
    <w:rsid w:val="688A7410"/>
    <w:rsid w:val="692C2E86"/>
    <w:rsid w:val="69BD27FC"/>
    <w:rsid w:val="6ABB58F6"/>
    <w:rsid w:val="6BF03B2D"/>
    <w:rsid w:val="6BFB5F69"/>
    <w:rsid w:val="6DC30922"/>
    <w:rsid w:val="70073847"/>
    <w:rsid w:val="714C6B88"/>
    <w:rsid w:val="73181153"/>
    <w:rsid w:val="73BF7973"/>
    <w:rsid w:val="748E6D46"/>
    <w:rsid w:val="74B9560C"/>
    <w:rsid w:val="763273F7"/>
    <w:rsid w:val="765331AF"/>
    <w:rsid w:val="76D05224"/>
    <w:rsid w:val="777F67D8"/>
    <w:rsid w:val="77F77773"/>
    <w:rsid w:val="783930A9"/>
    <w:rsid w:val="79723C2C"/>
    <w:rsid w:val="79A559B4"/>
    <w:rsid w:val="79BA69C4"/>
    <w:rsid w:val="7A7570F7"/>
    <w:rsid w:val="7B0E3DF2"/>
    <w:rsid w:val="7B712812"/>
    <w:rsid w:val="7BE44D4F"/>
    <w:rsid w:val="7C676684"/>
    <w:rsid w:val="7DF24E2F"/>
    <w:rsid w:val="7E0769F8"/>
    <w:rsid w:val="7F107805"/>
    <w:rsid w:val="7F45445C"/>
    <w:rsid w:val="7F6E3D4B"/>
    <w:rsid w:val="9EDF4C0D"/>
    <w:rsid w:val="FBFF3FA6"/>
    <w:rsid w:val="FEA3BA90"/>
    <w:rsid w:val="FEDF062E"/>
    <w:rsid w:val="FF4B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styleId="8">
    <w:name w:val="line number"/>
    <w:basedOn w:val="6"/>
    <w:qFormat/>
    <w:uiPriority w:val="0"/>
  </w:style>
  <w:style w:type="paragraph" w:customStyle="1" w:styleId="9">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chapter%205%20single%20decision%20issued%20stamp%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53" textRotate="1"/>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chapter 5 single decision issued stamp (downstream)</Template>
  <Pages>2</Pages>
  <Words>669</Words>
  <Characters>734</Characters>
  <Lines>5</Lines>
  <Paragraphs>1</Paragraphs>
  <TotalTime>1</TotalTime>
  <ScaleCrop>false</ScaleCrop>
  <LinksUpToDate>false</LinksUpToDate>
  <CharactersWithSpaces>735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2022-06-07T10:01:00Z</dcterms:created>
  <dc:creator>UMP</dc:creator>
  <cp:lastModifiedBy>墨与宁子</cp:lastModifiedBy>
  <dcterms:modified xsi:type="dcterms:W3CDTF">2022-10-19T02:45:42Z</dcterms:modified>
  <dc:title>No:0000001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公文模板版本">
    <vt:lpwstr>20190329</vt:lpwstr>
  </property>
  <property fmtid="{D5CDD505-2E9C-101B-9397-08002B2CF9AE}" pid="4" name="ICV">
    <vt:lpwstr>AE35C3062980491DB461D9BD36FD468E</vt:lpwstr>
  </property>
</Properties>
</file>