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560" w:lineRule="exact"/>
        <w:jc w:val="center"/>
        <w:rPr>
          <w:rFonts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丰都县建设工程质量服务中心</w:t>
      </w:r>
    </w:p>
    <w:p>
      <w:pPr>
        <w:widowControl/>
        <w:shd w:val="clear" w:color="auto" w:fill="FFFFFF"/>
        <w:spacing w:before="100" w:beforeAutospacing="1" w:after="100" w:afterAutospacing="1"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b/>
          <w:bCs/>
          <w:kern w:val="0"/>
          <w:sz w:val="44"/>
          <w:szCs w:val="44"/>
        </w:rPr>
        <w:t>2022年度部门决算情况说明</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一、部门基本情况</w:t>
      </w:r>
    </w:p>
    <w:p>
      <w:pPr>
        <w:pStyle w:val="9"/>
        <w:widowControl/>
        <w:spacing w:beforeAutospacing="0" w:line="560" w:lineRule="exact"/>
        <w:ind w:firstLine="643" w:firstLineChars="200"/>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（一）职能职责</w:t>
      </w:r>
    </w:p>
    <w:p>
      <w:pPr>
        <w:pStyle w:val="9"/>
        <w:widowControl/>
        <w:spacing w:beforeAutospacing="0" w:line="560" w:lineRule="exact"/>
        <w:ind w:firstLine="640" w:firstLineChars="200"/>
        <w:rPr>
          <w:rFonts w:hint="default" w:cs="宋体"/>
          <w:sz w:val="32"/>
          <w:szCs w:val="32"/>
          <w:shd w:val="clear" w:color="auto" w:fill="FFFFFF"/>
        </w:rPr>
      </w:pPr>
      <w:r>
        <w:rPr>
          <w:rFonts w:hint="default" w:cs="宋体"/>
          <w:sz w:val="32"/>
          <w:szCs w:val="32"/>
          <w:shd w:val="clear" w:color="auto" w:fill="FFFFFF"/>
        </w:rPr>
        <w:t>丰都县建设工程质量服务中心为丰都县住房和城乡建设委员会下属副科级财政金额拨款公益一类事业单位。主要职能职责为：1.宣传贯彻国家、市、县有关工程质量的法律法规、条例制度、政策规定和技术标准。2.跟踪监测、指导工程责任主体单位执行建设法律法规和工程强制性标准；负责建设、勘察、设计、施工、监理、质量检测机构等相关单位资质、人员资格等信息的现场核对和质量行为核查工作；开展施工企业等质量行为评价工作。3.执行有关行业技术标准，负责对建设单位组织的工程重要分部及竣工验收组织形式、验收程序、相关资料、形成的质量评定文件提供技术指导和技术服务。4.负责对进入现场的混凝土预制构件、预拌混凝土、预拌砂浆及其他影响结构安全或重要使用功能的建筑材料、构配件等进行跟踪监测和质量技术指导。5.负责预制构件、预拌商品混凝土、预拌砂浆等生产企业执行国家和地方标准、规范、质量责任制等方面的技术指导和技术服务。6.开展调查研究，分析工程质量形势，总结工程质量工作经验，提出加强建设工程质量监管的可行性建议，为建设行政主管部门对质量监管、决策提供技术支撑和技术服务。7.承担建筑节能（绿色建筑）施工技术指导和技术服务职责，为建筑能效测评等提供前期服务工作。8.受理个人、单位和社会组织有关建设工程保修期范围内质量方面的投诉，指导建设单位、施工企业按照相关法规履行保修义务，维护人民群众利益和社会和谐稳定。9.参与其他原因出现的工程质量事故调查，为相关部门对事故的决策处理提供技术服务。10.负责工程创新创优的技术指导和技术服务，做好新型建筑材料和新技术、新工艺的推广应用。11.完成县住建委交办的其他工作。</w:t>
      </w:r>
    </w:p>
    <w:p>
      <w:pPr>
        <w:pStyle w:val="9"/>
        <w:widowControl/>
        <w:spacing w:beforeAutospacing="0" w:line="560" w:lineRule="exact"/>
        <w:ind w:firstLine="643" w:firstLineChars="200"/>
        <w:rPr>
          <w:rStyle w:val="10"/>
          <w:rFonts w:hint="eastAsia" w:ascii="方正楷体_GBK" w:hAnsi="方正楷体_GBK" w:eastAsia="方正楷体_GBK" w:cs="方正楷体_GBK"/>
          <w:sz w:val="32"/>
          <w:szCs w:val="32"/>
          <w:shd w:val="clear" w:color="auto" w:fill="FFFFFF"/>
        </w:rPr>
      </w:pPr>
      <w:r>
        <w:rPr>
          <w:rStyle w:val="10"/>
          <w:rFonts w:hint="eastAsia" w:ascii="方正楷体_GBK" w:hAnsi="方正楷体_GBK" w:eastAsia="方正楷体_GBK" w:cs="方正楷体_GBK"/>
          <w:sz w:val="32"/>
          <w:szCs w:val="32"/>
          <w:shd w:val="clear" w:color="auto" w:fill="FFFFFF"/>
        </w:rPr>
        <w:t>（二）机构设置</w:t>
      </w:r>
    </w:p>
    <w:p>
      <w:pPr>
        <w:widowControl/>
        <w:adjustRightInd w:val="0"/>
        <w:snapToGrid w:val="0"/>
        <w:spacing w:line="560" w:lineRule="exact"/>
        <w:ind w:firstLine="640" w:firstLineChars="200"/>
        <w:rPr>
          <w:rFonts w:ascii="宋体" w:hAnsi="宋体" w:eastAsia="宋体" w:cs="宋体"/>
          <w:kern w:val="0"/>
          <w:sz w:val="32"/>
          <w:szCs w:val="32"/>
          <w:shd w:val="clear" w:color="auto" w:fill="FFFFFF"/>
        </w:rPr>
      </w:pPr>
      <w:r>
        <w:rPr>
          <w:rFonts w:ascii="宋体" w:hAnsi="宋体" w:eastAsia="宋体" w:cs="宋体"/>
          <w:kern w:val="0"/>
          <w:sz w:val="32"/>
          <w:szCs w:val="32"/>
          <w:shd w:val="clear" w:color="auto" w:fill="FFFFFF"/>
        </w:rPr>
        <w:t>丰都县建设工程质量服务中心设4个内设机构：即综合科、房建科、市政科、建筑材料科。</w:t>
      </w:r>
    </w:p>
    <w:p>
      <w:pPr>
        <w:widowControl/>
        <w:numPr>
          <w:ilvl w:val="0"/>
          <w:numId w:val="1"/>
        </w:numPr>
        <w:adjustRightInd w:val="0"/>
        <w:snapToGrid w:val="0"/>
        <w:spacing w:line="560" w:lineRule="exact"/>
        <w:ind w:firstLine="643" w:firstLineChars="200"/>
        <w:rPr>
          <w:rStyle w:val="10"/>
          <w:rFonts w:hint="eastAsia" w:ascii="方正楷体_GBK" w:hAnsi="方正楷体_GBK" w:eastAsia="方正楷体_GBK" w:cs="方正楷体_GBK"/>
          <w:kern w:val="0"/>
          <w:sz w:val="32"/>
          <w:szCs w:val="32"/>
          <w:shd w:val="clear" w:color="auto" w:fill="FFFFFF"/>
        </w:rPr>
      </w:pPr>
      <w:r>
        <w:rPr>
          <w:rStyle w:val="10"/>
          <w:rFonts w:hint="eastAsia" w:ascii="方正楷体_GBK" w:hAnsi="方正楷体_GBK" w:eastAsia="方正楷体_GBK" w:cs="方正楷体_GBK"/>
          <w:kern w:val="0"/>
          <w:sz w:val="32"/>
          <w:szCs w:val="32"/>
          <w:shd w:val="clear" w:color="auto" w:fill="FFFFFF"/>
        </w:rPr>
        <w:t>单位构成。</w:t>
      </w:r>
    </w:p>
    <w:p>
      <w:pPr>
        <w:widowControl/>
        <w:adjustRightInd w:val="0"/>
        <w:snapToGrid w:val="0"/>
        <w:spacing w:line="560" w:lineRule="exact"/>
        <w:ind w:firstLine="640" w:firstLineChars="200"/>
        <w:rPr>
          <w:rFonts w:hint="default" w:ascii="宋体" w:hAnsi="宋体" w:eastAsia="宋体" w:cs="宋体"/>
          <w:kern w:val="0"/>
          <w:sz w:val="32"/>
          <w:szCs w:val="32"/>
          <w:shd w:val="clear" w:color="auto" w:fill="FFFFFF"/>
          <w:lang w:val="en-US" w:eastAsia="zh-CN"/>
        </w:rPr>
      </w:pPr>
      <w:r>
        <w:rPr>
          <w:rFonts w:hint="eastAsia" w:ascii="宋体" w:hAnsi="宋体" w:eastAsia="宋体" w:cs="宋体"/>
          <w:kern w:val="0"/>
          <w:sz w:val="32"/>
          <w:szCs w:val="32"/>
          <w:shd w:val="clear" w:color="auto" w:fill="FFFFFF"/>
          <w:lang w:val="en-US" w:eastAsia="zh-CN"/>
        </w:rPr>
        <w:t>从预算单位构成看，无纳入本部门2022年度决算编制的下级预算单位。</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二、部门决算情况说明</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（一）收入支出决算总体情况说明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b/>
          <w:bCs/>
          <w:kern w:val="0"/>
          <w:sz w:val="32"/>
          <w:szCs w:val="32"/>
        </w:rPr>
        <w:t xml:space="preserve">    1.总体情况。</w:t>
      </w:r>
      <w:r>
        <w:rPr>
          <w:rFonts w:hint="eastAsia" w:ascii="宋体" w:hAnsi="宋体" w:eastAsia="宋体" w:cs="宋体"/>
          <w:kern w:val="0"/>
          <w:sz w:val="32"/>
          <w:szCs w:val="32"/>
        </w:rPr>
        <w:t>2022年度收入总计443.23万元，支出总计443.23万元。收支较上年决算数增加84.79万元,增长23.7%，主要原因是年中调入6名职工，工资、社保、医保、公积金等人员经费、公用经费收支相应增加。</w:t>
      </w:r>
    </w:p>
    <w:p>
      <w:pPr>
        <w:widowControl/>
        <w:shd w:val="clear" w:color="auto" w:fill="FFFFFF"/>
        <w:spacing w:before="100" w:beforeAutospacing="1" w:after="100" w:afterAutospacing="1" w:line="560" w:lineRule="exact"/>
        <w:ind w:firstLine="645"/>
        <w:jc w:val="left"/>
        <w:rPr>
          <w:rFonts w:ascii="宋体" w:hAnsi="宋体" w:eastAsia="宋体" w:cs="宋体"/>
          <w:kern w:val="0"/>
          <w:sz w:val="32"/>
          <w:szCs w:val="32"/>
        </w:rPr>
      </w:pPr>
      <w:r>
        <w:rPr>
          <w:rFonts w:hint="eastAsia" w:ascii="宋体" w:hAnsi="宋体" w:eastAsia="宋体" w:cs="宋体"/>
          <w:b/>
          <w:bCs/>
          <w:kern w:val="0"/>
          <w:sz w:val="32"/>
          <w:szCs w:val="32"/>
        </w:rPr>
        <w:t>2.收入情况。</w:t>
      </w:r>
      <w:r>
        <w:rPr>
          <w:rFonts w:hint="eastAsia" w:ascii="宋体" w:hAnsi="宋体" w:eastAsia="宋体" w:cs="宋体"/>
          <w:kern w:val="0"/>
          <w:sz w:val="32"/>
          <w:szCs w:val="32"/>
        </w:rPr>
        <w:t>2022年度收入合计443.23万元，较上年决算数增加94.65万元，增长27.2%，主要原因是年中调入6名职工，工资、社保、医保、公积金等人员经费、公用经费收入相应增加。其中：财政拨款收入443.23万元，占100%。此外，使用非财政拨款结余0.00万元，年初结转和结余0.00万元。</w:t>
      </w:r>
    </w:p>
    <w:p>
      <w:pPr>
        <w:widowControl/>
        <w:shd w:val="clear" w:color="auto" w:fill="FFFFFF"/>
        <w:spacing w:before="100" w:beforeAutospacing="1" w:after="100" w:afterAutospacing="1" w:line="560" w:lineRule="exact"/>
        <w:ind w:firstLine="645"/>
        <w:jc w:val="left"/>
        <w:rPr>
          <w:rFonts w:ascii="宋体" w:hAnsi="宋体" w:eastAsia="宋体" w:cs="宋体"/>
          <w:kern w:val="0"/>
          <w:sz w:val="32"/>
          <w:szCs w:val="32"/>
        </w:rPr>
      </w:pPr>
      <w:r>
        <w:rPr>
          <w:rFonts w:hint="eastAsia" w:ascii="宋体" w:hAnsi="宋体" w:eastAsia="宋体" w:cs="宋体"/>
          <w:b/>
          <w:bCs/>
          <w:kern w:val="0"/>
          <w:sz w:val="32"/>
          <w:szCs w:val="32"/>
        </w:rPr>
        <w:t>3.支出情况。</w:t>
      </w:r>
      <w:r>
        <w:rPr>
          <w:rFonts w:hint="eastAsia" w:ascii="宋体" w:hAnsi="宋体" w:eastAsia="宋体" w:cs="宋体"/>
          <w:kern w:val="0"/>
          <w:sz w:val="32"/>
          <w:szCs w:val="32"/>
        </w:rPr>
        <w:t>2022年度支出合计443.23万元，较上年决算增加84.79万元，增长23.7%，主要原因是年中调入6名职工，工资、社保、医保、公积金等人员经费、公用经费支出相应增加。其中：基本支出431.92万元，占97.4%；项目支出11.31万元，占2.6%。此外，结余分配0.00万元。</w:t>
      </w:r>
    </w:p>
    <w:p>
      <w:pPr>
        <w:widowControl/>
        <w:shd w:val="clear" w:color="auto" w:fill="FFFFFF"/>
        <w:spacing w:before="100" w:beforeAutospacing="1" w:after="100" w:afterAutospacing="1" w:line="560" w:lineRule="exact"/>
        <w:ind w:firstLine="642"/>
        <w:jc w:val="left"/>
        <w:rPr>
          <w:rFonts w:ascii="宋体" w:hAnsi="宋体" w:eastAsia="宋体" w:cs="宋体"/>
          <w:kern w:val="0"/>
          <w:sz w:val="32"/>
          <w:szCs w:val="32"/>
        </w:rPr>
      </w:pPr>
      <w:r>
        <w:rPr>
          <w:rFonts w:hint="eastAsia" w:ascii="宋体" w:hAnsi="宋体" w:eastAsia="宋体" w:cs="宋体"/>
          <w:b/>
          <w:bCs/>
          <w:kern w:val="0"/>
          <w:sz w:val="32"/>
          <w:szCs w:val="32"/>
        </w:rPr>
        <w:t>4.结转结余情况。</w:t>
      </w:r>
      <w:r>
        <w:rPr>
          <w:rFonts w:hint="eastAsia" w:ascii="宋体" w:hAnsi="宋体" w:eastAsia="宋体" w:cs="宋体"/>
          <w:kern w:val="0"/>
          <w:sz w:val="32"/>
          <w:szCs w:val="32"/>
        </w:rPr>
        <w:t>2022年度年末结转和结余0.00万元，与上年决算数持平。</w:t>
      </w:r>
    </w:p>
    <w:p>
      <w:pPr>
        <w:widowControl/>
        <w:shd w:val="clear" w:color="auto" w:fill="FFFFFF"/>
        <w:spacing w:before="100" w:beforeAutospacing="1" w:after="100" w:afterAutospacing="1" w:line="560" w:lineRule="exact"/>
        <w:ind w:firstLine="642"/>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（二）财政拨款收入支出决算总体情况说明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2022年度财政拨款收、支总计443.23万元。与2021年相比，财政拨款收、支总计各增加84.79万元，增长23.7%。主要原因是年中调入6名职工，工资、社保、医保、公积金等人员经费、公用经费收支相应增加。</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（三）一般公共预算财政拨款收入支出决算情况说明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b/>
          <w:bCs/>
          <w:kern w:val="0"/>
          <w:sz w:val="32"/>
          <w:szCs w:val="32"/>
        </w:rPr>
        <w:t xml:space="preserve">    1.收入情况。</w:t>
      </w:r>
      <w:r>
        <w:rPr>
          <w:rFonts w:hint="eastAsia" w:ascii="宋体" w:hAnsi="宋体" w:eastAsia="宋体" w:cs="宋体"/>
          <w:kern w:val="0"/>
          <w:sz w:val="32"/>
          <w:szCs w:val="32"/>
        </w:rPr>
        <w:t>2022年度一般公共预算财政拨款收入443.23万元，较上年决算数增加94.65万元，增长27.2%。主要原因是年中调入6名职工，工资、社保、医保、公积金等人员经费、公用经费收支相应增加。较年初预算数增加131.93万元，增长42.4%。主要原因是年中调入6名职工，对职工工资、社保、医保、公积金等人员经费、公用经费进行了预算调整。此外，年初财政拨款结转和结余0.00万元。</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b/>
          <w:bCs/>
          <w:kern w:val="0"/>
          <w:sz w:val="32"/>
          <w:szCs w:val="32"/>
        </w:rPr>
        <w:t xml:space="preserve">    2.支出情况。</w:t>
      </w:r>
      <w:r>
        <w:rPr>
          <w:rFonts w:hint="eastAsia" w:ascii="宋体" w:hAnsi="宋体" w:eastAsia="宋体" w:cs="宋体"/>
          <w:kern w:val="0"/>
          <w:sz w:val="32"/>
          <w:szCs w:val="32"/>
        </w:rPr>
        <w:t>2022年度一般公共预算财政拨款支出443.23万元，较上年决算数增加84.79万元，增长23.7%。主要原因是年中调入6名职工，工资、社保、医保、公积金等人员经费、公用经费支出相应增加</w:t>
      </w:r>
      <w:r>
        <w:rPr>
          <w:rFonts w:hint="eastAsia" w:ascii="宋体" w:hAnsi="宋体" w:eastAsia="宋体" w:cs="宋体"/>
          <w:color w:val="000000" w:themeColor="text1"/>
          <w:kern w:val="0"/>
          <w:sz w:val="32"/>
          <w:szCs w:val="32"/>
        </w:rPr>
        <w:t>。</w:t>
      </w:r>
      <w:r>
        <w:rPr>
          <w:rFonts w:hint="eastAsia" w:ascii="宋体" w:hAnsi="宋体" w:eastAsia="宋体" w:cs="宋体"/>
          <w:kern w:val="0"/>
          <w:sz w:val="32"/>
          <w:szCs w:val="32"/>
        </w:rPr>
        <w:t>较年初预算数增加131.93万元，增长42.4%。主要原因是年中调入6名职工，对职工工资、社保、医保、公积金等人员经费、公用经费进行了预算调整。</w:t>
      </w:r>
    </w:p>
    <w:p>
      <w:pPr>
        <w:widowControl/>
        <w:shd w:val="clear" w:color="auto" w:fill="FFFFFF"/>
        <w:spacing w:before="100" w:beforeAutospacing="1" w:after="100" w:afterAutospacing="1" w:line="560" w:lineRule="exact"/>
        <w:ind w:firstLine="642"/>
        <w:jc w:val="left"/>
        <w:rPr>
          <w:rFonts w:ascii="宋体" w:hAnsi="宋体" w:eastAsia="宋体" w:cs="宋体"/>
          <w:b/>
          <w:bCs/>
          <w:kern w:val="0"/>
          <w:sz w:val="32"/>
          <w:szCs w:val="32"/>
        </w:rPr>
      </w:pPr>
      <w:r>
        <w:rPr>
          <w:rFonts w:hint="eastAsia" w:ascii="宋体" w:hAnsi="宋体" w:eastAsia="宋体" w:cs="宋体"/>
          <w:b/>
          <w:bCs/>
          <w:kern w:val="0"/>
          <w:sz w:val="32"/>
          <w:szCs w:val="32"/>
        </w:rPr>
        <w:t>3.结转结余情况。</w:t>
      </w:r>
      <w:r>
        <w:rPr>
          <w:rFonts w:hint="eastAsia" w:ascii="宋体" w:hAnsi="宋体" w:eastAsia="宋体" w:cs="宋体"/>
          <w:kern w:val="0"/>
          <w:sz w:val="32"/>
          <w:szCs w:val="32"/>
        </w:rPr>
        <w:t>2022年度年末一般公共预算财政拨款结转和结余0.00万元，与上年决算数持平。</w:t>
      </w:r>
      <w:r>
        <w:rPr>
          <w:rFonts w:hint="eastAsia" w:ascii="宋体" w:hAnsi="宋体" w:eastAsia="宋体" w:cs="宋体"/>
          <w:b/>
          <w:bCs/>
          <w:kern w:val="0"/>
          <w:sz w:val="32"/>
          <w:szCs w:val="32"/>
        </w:rPr>
        <w:t xml:space="preserve">    </w:t>
      </w:r>
    </w:p>
    <w:p>
      <w:pPr>
        <w:widowControl/>
        <w:shd w:val="clear" w:color="auto" w:fill="FFFFFF"/>
        <w:spacing w:before="100" w:beforeAutospacing="1" w:after="100" w:afterAutospacing="1" w:line="560" w:lineRule="exact"/>
        <w:ind w:firstLine="642"/>
        <w:jc w:val="left"/>
        <w:rPr>
          <w:rFonts w:ascii="宋体" w:hAnsi="宋体" w:eastAsia="宋体" w:cs="宋体"/>
          <w:kern w:val="0"/>
          <w:sz w:val="32"/>
          <w:szCs w:val="32"/>
        </w:rPr>
      </w:pPr>
      <w:r>
        <w:rPr>
          <w:rFonts w:hint="eastAsia" w:ascii="宋体" w:hAnsi="宋体" w:eastAsia="宋体" w:cs="宋体"/>
          <w:b/>
          <w:bCs/>
          <w:kern w:val="0"/>
          <w:sz w:val="32"/>
          <w:szCs w:val="32"/>
        </w:rPr>
        <w:t>4.比较情况。</w:t>
      </w:r>
      <w:r>
        <w:rPr>
          <w:rFonts w:hint="eastAsia" w:ascii="宋体" w:hAnsi="宋体" w:eastAsia="宋体" w:cs="宋体"/>
          <w:kern w:val="0"/>
          <w:sz w:val="32"/>
          <w:szCs w:val="32"/>
        </w:rPr>
        <w:t>本部门2022年度一般公共预算财政拨款支出主要用于以下几个方面：</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（1）社会保障与就业支出51.30万元，占11.6%，较年初预算数增加9.20万元，增长21.9%，主要原因是年中调入6名职工，导致社保、年金支出增加。</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（2）卫生健康支出20.55万元，占4.6%，较年初预算数增加3.21万元，增长18.5%，主要原因是年中调入6名职工，导致医保支出增加。</w:t>
      </w:r>
    </w:p>
    <w:p>
      <w:pPr>
        <w:widowControl/>
        <w:shd w:val="clear" w:color="auto" w:fill="FFFFFF"/>
        <w:spacing w:before="100" w:beforeAutospacing="1" w:after="100" w:afterAutospacing="1" w:line="560" w:lineRule="exact"/>
        <w:jc w:val="left"/>
        <w:rPr>
          <w:rFonts w:ascii="宋体" w:hAnsi="宋体" w:eastAsia="宋体" w:cs="宋体"/>
          <w:color w:val="FF0000"/>
          <w:kern w:val="0"/>
          <w:sz w:val="32"/>
          <w:szCs w:val="32"/>
        </w:rPr>
      </w:pPr>
      <w:r>
        <w:rPr>
          <w:rFonts w:hint="eastAsia" w:ascii="宋体" w:hAnsi="宋体" w:eastAsia="宋体" w:cs="宋体"/>
          <w:kern w:val="0"/>
          <w:sz w:val="32"/>
          <w:szCs w:val="32"/>
        </w:rPr>
        <w:t xml:space="preserve">    （3）城乡社区支出351.48万元，占79.3%，较年初预算数增加115.67万元，增长49.1%，主要原因是年中调入6名职工，导致基本工资、绩效工资、超额绩效、办公等经费支出增加。</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（4）住房保障支出19.90万元，占4.5%，较年初预算数增加3.85万元，增长24.0%，主要原因是年中调入6名职工，导致住房公积金支出增加。</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（四）一般公共预算财政拨款基本支出决算情况说明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2022年度一般公共预算财政拨款基本支出431.92万元。其中：人员经费384.42万元，较上年决算数增加79.40万元，增长26.0%，主要原因是年中调入6名职工，工资、社保、医保、公积金等人员经费支出增加。人员经费用途主要包括基本工资、津贴补贴、</w:t>
      </w:r>
      <w:r>
        <w:rPr>
          <w:rFonts w:hint="eastAsia" w:ascii="宋体" w:hAnsi="宋体" w:eastAsia="宋体" w:cs="宋体"/>
          <w:kern w:val="0"/>
          <w:sz w:val="32"/>
          <w:szCs w:val="32"/>
          <w:lang w:val="en-US" w:eastAsia="zh-CN"/>
        </w:rPr>
        <w:t>绩效工资、</w:t>
      </w:r>
      <w:r>
        <w:rPr>
          <w:rFonts w:hint="eastAsia" w:ascii="宋体" w:hAnsi="宋体" w:eastAsia="宋体" w:cs="宋体"/>
          <w:kern w:val="0"/>
          <w:sz w:val="32"/>
          <w:szCs w:val="32"/>
        </w:rPr>
        <w:t>社保、医保、年金、公积金等支出。公用经费47.49万元，较上年决算数增加4.07万元，增长9.4%，主要原因是年中调入6名职工，人员增加、相应开支增加。公用经费用途主要包括办公费、水费、电费、印刷费、邮电费、差旅费、培训费、维修费、公务接待费等支出。</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（五）政府性基金预算收支决算情况说明。</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 xml:space="preserve">    本部门2022年度无政府性基金预算财政拨款收支。</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（六）国有资本经营预算财政拨款支出决算情况说明。</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本部门2022年度无国有资本经营预算财政拨款支出。</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三、“三公”经费情况说明</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（一）“三公”经费支出总体情况说明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shd w:val="clear" w:color="auto" w:fill="FFFFFF"/>
        </w:rPr>
      </w:pPr>
      <w:r>
        <w:rPr>
          <w:rFonts w:hint="eastAsia" w:ascii="宋体" w:hAnsi="宋体" w:eastAsia="宋体" w:cs="宋体"/>
          <w:kern w:val="0"/>
          <w:sz w:val="32"/>
          <w:szCs w:val="32"/>
        </w:rPr>
        <w:t xml:space="preserve">    2022年度“三公”经费支出共计4.06万元，较年初预算数减少1.94万元，下降32.3%，较上年支出数减少0.92万元，下降18.5%，较年初预算数和上年支出数下降的主要原因是</w:t>
      </w:r>
      <w:r>
        <w:rPr>
          <w:rFonts w:hint="eastAsia" w:ascii="宋体" w:hAnsi="宋体" w:eastAsia="宋体" w:cs="宋体"/>
          <w:kern w:val="0"/>
          <w:sz w:val="32"/>
          <w:szCs w:val="32"/>
          <w:shd w:val="clear" w:color="auto" w:fill="FFFFFF"/>
        </w:rPr>
        <w:t>认真贯彻落实中央八项规定精神和厉行节约。</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（二）“三公”经费分项支出情况</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本单位2022年度未发生因公出国（境）支出。</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本单位2022年度未发生公务车购置支出。</w:t>
      </w:r>
    </w:p>
    <w:p>
      <w:pPr>
        <w:widowControl/>
        <w:shd w:val="clear" w:color="auto" w:fill="FFFFFF"/>
        <w:spacing w:before="100" w:beforeAutospacing="1" w:after="100" w:afterAutospacing="1" w:line="560" w:lineRule="exact"/>
        <w:jc w:val="left"/>
        <w:rPr>
          <w:rFonts w:ascii="宋体" w:hAnsi="宋体" w:eastAsia="宋体" w:cs="宋体"/>
          <w:kern w:val="0"/>
          <w:sz w:val="32"/>
          <w:szCs w:val="32"/>
          <w:shd w:val="clear" w:color="auto" w:fill="FFFFFF"/>
        </w:rPr>
      </w:pPr>
      <w:r>
        <w:rPr>
          <w:rFonts w:hint="eastAsia" w:ascii="宋体" w:hAnsi="宋体" w:eastAsia="宋体" w:cs="宋体"/>
          <w:kern w:val="0"/>
          <w:sz w:val="32"/>
          <w:szCs w:val="32"/>
        </w:rPr>
        <w:t xml:space="preserve">    公务车运行维护费3.93万元，主要用于</w:t>
      </w:r>
      <w:r>
        <w:rPr>
          <w:rFonts w:hint="eastAsia" w:ascii="宋体" w:hAnsi="宋体" w:eastAsia="宋体" w:cs="宋体"/>
          <w:kern w:val="0"/>
          <w:sz w:val="32"/>
          <w:szCs w:val="32"/>
          <w:lang w:val="en-US" w:eastAsia="zh-CN"/>
        </w:rPr>
        <w:t>在建工程基础和主体结构质量巡查监督，质量抽测等工作用车所需</w:t>
      </w:r>
      <w:r>
        <w:rPr>
          <w:rFonts w:hint="eastAsia" w:ascii="宋体" w:hAnsi="宋体" w:eastAsia="宋体" w:cs="宋体"/>
          <w:color w:val="000000" w:themeColor="text1"/>
          <w:kern w:val="0"/>
          <w:sz w:val="32"/>
          <w:szCs w:val="32"/>
          <w:highlight w:val="none"/>
          <w:shd w:val="clear" w:color="auto" w:fill="auto"/>
        </w:rPr>
        <w:t>车辆油料费、车辆保险费、维修费等支出</w:t>
      </w:r>
      <w:r>
        <w:rPr>
          <w:rFonts w:hint="eastAsia" w:ascii="宋体" w:hAnsi="宋体" w:eastAsia="宋体" w:cs="宋体"/>
          <w:color w:val="000000" w:themeColor="text1"/>
          <w:kern w:val="0"/>
          <w:sz w:val="32"/>
          <w:szCs w:val="32"/>
          <w:highlight w:val="none"/>
          <w:shd w:val="clear" w:color="auto" w:fill="auto"/>
          <w:lang w:eastAsia="zh-CN"/>
        </w:rPr>
        <w:t>。</w:t>
      </w:r>
      <w:r>
        <w:rPr>
          <w:rFonts w:hint="eastAsia" w:ascii="宋体" w:hAnsi="宋体" w:eastAsia="宋体" w:cs="宋体"/>
          <w:color w:val="000000" w:themeColor="text1"/>
          <w:kern w:val="0"/>
          <w:sz w:val="32"/>
          <w:szCs w:val="32"/>
          <w:highlight w:val="none"/>
          <w:shd w:val="clear" w:color="auto" w:fill="auto"/>
        </w:rPr>
        <w:t>费</w:t>
      </w:r>
      <w:r>
        <w:rPr>
          <w:rFonts w:hint="eastAsia" w:ascii="宋体" w:hAnsi="宋体" w:eastAsia="宋体" w:cs="宋体"/>
          <w:color w:val="000000" w:themeColor="text1"/>
          <w:kern w:val="0"/>
          <w:sz w:val="32"/>
          <w:szCs w:val="32"/>
          <w:highlight w:val="none"/>
        </w:rPr>
        <w:t>用支出较年初预算</w:t>
      </w:r>
      <w:r>
        <w:rPr>
          <w:rFonts w:hint="eastAsia" w:ascii="宋体" w:hAnsi="宋体" w:eastAsia="宋体" w:cs="宋体"/>
          <w:color w:val="000000" w:themeColor="text1"/>
          <w:kern w:val="0"/>
          <w:sz w:val="32"/>
          <w:szCs w:val="32"/>
        </w:rPr>
        <w:t>数减少1.07万元，下降21.4%，较上年支</w:t>
      </w:r>
      <w:r>
        <w:rPr>
          <w:rFonts w:hint="eastAsia" w:ascii="宋体" w:hAnsi="宋体" w:eastAsia="宋体" w:cs="宋体"/>
          <w:kern w:val="0"/>
          <w:sz w:val="32"/>
          <w:szCs w:val="32"/>
        </w:rPr>
        <w:t>出数减少0.68万元，下降14.8%，较年初预算数和上年支出数下降的主要原因是</w:t>
      </w:r>
      <w:r>
        <w:rPr>
          <w:rFonts w:hint="eastAsia" w:ascii="宋体" w:hAnsi="宋体" w:eastAsia="宋体" w:cs="宋体"/>
          <w:kern w:val="0"/>
          <w:sz w:val="32"/>
          <w:szCs w:val="32"/>
          <w:shd w:val="clear" w:color="auto" w:fill="FFFFFF"/>
        </w:rPr>
        <w:t>认真贯彻落实中央八项规定精神和厉行节约。</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公务接待费0.13万元，主要用于接待上级相关部门检查指导工作。费用支出较年初预算数减少0.87万元，下降87%，较上年支出数减少0.24万元，下降64.9%，较年初预算数和上年支出数下降的主要原因是强化公务接待支出管理，严格遵守公务接待开支范围和开支标准，严格控制陪餐人数，对应由接待对象承担的费用一律由接待对象自行支付。</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（三）“三公”经费实物量情况</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2022年度本部门因公出国（境）共计0个团组，0人；公务用车购置0辆，公务车保有量为1辆；国内公务接待2批次14人，其中：国内外事接待0批次，0人；国（境）外公务接待0批次，0人。2022年本部门人均接待费95.43元，车均购置费0.00万元，车均维护费3.93万元。</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四、其他需要说明的事项</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（一）财政拨款会议费和培训费情况说明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本年度会议费支出0.00万元，较上年决算数增加0.00万元，增长0%，主要原因是本年度无会议支出发生。本年度培训费支出0.21万元，较上年决算数减少2.48万元，下降92.2%，主要原因是本年取消了监督员培训，培训费用下降。</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（二）机关运行经费支出情况说明</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按照部门决算列报口径，我单位不在机关运行经费统计范围之内。</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（三）国有资产占用情况说明</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截至2022年12月31日，本部门共有车辆1辆，其中，副部（省）级及以上领导用车0辆、主要领导干部用车0辆、机要通信用车0辆、应急保障用车0辆、执法执勤用车0辆，特种专业技术用车1辆，离退休干部用车0辆，其他用车0辆，</w:t>
      </w:r>
      <w:bookmarkStart w:id="0" w:name="_GoBack"/>
      <w:bookmarkEnd w:id="0"/>
      <w:r>
        <w:rPr>
          <w:rFonts w:hint="eastAsia" w:ascii="宋体" w:hAnsi="宋体" w:eastAsia="宋体" w:cs="宋体"/>
          <w:kern w:val="0"/>
          <w:sz w:val="32"/>
          <w:szCs w:val="32"/>
        </w:rPr>
        <w:t>单价100万元（含）以上设备（不含车辆）0台（套）。</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（四）政府采购支出说明</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2022年度我单位未发生政府采购事项，无相关经费支出。</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五、预算绩效管理情况说明</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（一）预算绩效管理工作开展情况</w:t>
      </w:r>
    </w:p>
    <w:p>
      <w:pPr>
        <w:widowControl/>
        <w:shd w:val="clear" w:color="auto" w:fill="FFFFFF"/>
        <w:spacing w:before="100" w:beforeAutospacing="1" w:after="100" w:afterAutospacing="1" w:line="560" w:lineRule="exact"/>
        <w:jc w:val="left"/>
        <w:rPr>
          <w:rFonts w:ascii="宋体" w:hAnsi="宋体" w:eastAsia="宋体" w:cs="宋体"/>
          <w:kern w:val="0"/>
          <w:sz w:val="32"/>
          <w:szCs w:val="32"/>
        </w:rPr>
      </w:pPr>
      <w:r>
        <w:rPr>
          <w:rFonts w:hint="eastAsia" w:ascii="宋体" w:hAnsi="宋体" w:eastAsia="宋体" w:cs="宋体"/>
          <w:kern w:val="0"/>
          <w:sz w:val="32"/>
          <w:szCs w:val="32"/>
        </w:rPr>
        <w:t xml:space="preserve">    根据预算绩效管理要求，本单位对1个项目开展了绩效自评，其中，以填报自评表形式开展自评1项，涉及资金11.31万元；未委托第三方形式开展绩效自评评价工作。从评价情况来看，项目总体完成情况较好，达到预期绩效目标，</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（二）绩效自评结果。</w:t>
      </w:r>
    </w:p>
    <w:p>
      <w:pPr>
        <w:widowControl/>
        <w:shd w:val="clear" w:color="auto" w:fill="FFFFFF"/>
        <w:spacing w:before="100" w:beforeAutospacing="1" w:after="100" w:afterAutospacing="1" w:line="560" w:lineRule="exact"/>
        <w:jc w:val="lef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 xml:space="preserve">    1.绩效自评表</w:t>
      </w:r>
      <w:r>
        <w:rPr>
          <w:rFonts w:hint="eastAsia" w:ascii="方正仿宋_GBK" w:hAnsi="方正仿宋_GBK" w:eastAsia="方正仿宋_GBK" w:cs="方正仿宋_GBK"/>
          <w:kern w:val="0"/>
          <w:sz w:val="32"/>
          <w:szCs w:val="32"/>
          <w:lang w:eastAsia="zh-CN"/>
        </w:rPr>
        <w:t>。</w:t>
      </w:r>
    </w:p>
    <w:tbl>
      <w:tblPr>
        <w:tblStyle w:val="6"/>
        <w:tblW w:w="10897" w:type="dxa"/>
        <w:jc w:val="center"/>
        <w:tblLayout w:type="fixed"/>
        <w:tblCellMar>
          <w:top w:w="0" w:type="dxa"/>
          <w:left w:w="108" w:type="dxa"/>
          <w:bottom w:w="0" w:type="dxa"/>
          <w:right w:w="108" w:type="dxa"/>
        </w:tblCellMar>
      </w:tblPr>
      <w:tblGrid>
        <w:gridCol w:w="1277"/>
        <w:gridCol w:w="646"/>
        <w:gridCol w:w="850"/>
        <w:gridCol w:w="992"/>
        <w:gridCol w:w="883"/>
        <w:gridCol w:w="1013"/>
        <w:gridCol w:w="1043"/>
        <w:gridCol w:w="709"/>
        <w:gridCol w:w="799"/>
        <w:gridCol w:w="992"/>
        <w:gridCol w:w="902"/>
        <w:gridCol w:w="791"/>
      </w:tblGrid>
      <w:tr>
        <w:tblPrEx>
          <w:tblCellMar>
            <w:top w:w="0" w:type="dxa"/>
            <w:left w:w="108" w:type="dxa"/>
            <w:bottom w:w="0" w:type="dxa"/>
            <w:right w:w="108" w:type="dxa"/>
          </w:tblCellMar>
        </w:tblPrEx>
        <w:trPr>
          <w:trHeight w:val="584" w:hRule="atLeast"/>
          <w:jc w:val="center"/>
        </w:trPr>
        <w:tc>
          <w:tcPr>
            <w:tcW w:w="108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微软雅黑" w:hAnsi="微软雅黑" w:eastAsia="微软雅黑" w:cs="宋体"/>
                <w:b/>
                <w:bCs/>
                <w:color w:val="000000"/>
                <w:kern w:val="0"/>
                <w:sz w:val="36"/>
                <w:szCs w:val="40"/>
              </w:rPr>
            </w:pPr>
            <w:r>
              <w:rPr>
                <w:rFonts w:hint="eastAsia" w:ascii="方正仿宋_GBK" w:hAnsi="方正仿宋_GBK" w:eastAsia="方正仿宋_GBK" w:cs="方正仿宋_GBK"/>
                <w:b/>
                <w:bCs/>
                <w:color w:val="000000"/>
                <w:kern w:val="0"/>
                <w:sz w:val="32"/>
                <w:szCs w:val="40"/>
              </w:rPr>
              <w:t>2022年度项目绩效自评表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96"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质量管理专项经费</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50023022T000000140487</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90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p>
        </w:tc>
        <w:tc>
          <w:tcPr>
            <w:tcW w:w="1693" w:type="dxa"/>
            <w:gridSpan w:val="2"/>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丰都县住房和城乡建设委员会</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经建科</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right="483"/>
              <w:jc w:val="center"/>
              <w:rPr>
                <w:rFonts w:ascii="宋体" w:hAnsi="宋体" w:cs="宋体"/>
                <w:b/>
                <w:bCs/>
                <w:color w:val="000000"/>
                <w:kern w:val="0"/>
                <w:sz w:val="16"/>
                <w:szCs w:val="16"/>
              </w:rPr>
            </w:pPr>
            <w:r>
              <w:rPr>
                <w:rFonts w:hint="eastAsia" w:ascii="宋体" w:hAnsi="宋体" w:cs="宋体"/>
                <w:b/>
                <w:bCs/>
                <w:color w:val="000000"/>
                <w:kern w:val="0"/>
                <w:sz w:val="16"/>
                <w:szCs w:val="16"/>
              </w:rPr>
              <w:t>部门</w:t>
            </w:r>
          </w:p>
          <w:p>
            <w:pPr>
              <w:widowControl/>
              <w:spacing w:line="560" w:lineRule="exact"/>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熊兆涛</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560" w:lineRule="exac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69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13101111880</w:t>
            </w:r>
          </w:p>
        </w:tc>
      </w:tr>
      <w:tr>
        <w:tblPrEx>
          <w:tblCellMar>
            <w:top w:w="0" w:type="dxa"/>
            <w:left w:w="108" w:type="dxa"/>
            <w:bottom w:w="0" w:type="dxa"/>
            <w:right w:w="108" w:type="dxa"/>
          </w:tblCellMar>
        </w:tblPrEx>
        <w:trPr>
          <w:trHeight w:val="469" w:hRule="atLeast"/>
          <w:jc w:val="center"/>
        </w:trPr>
        <w:tc>
          <w:tcPr>
            <w:tcW w:w="108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192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ind w:right="724"/>
              <w:jc w:val="center"/>
              <w:rPr>
                <w:rFonts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ind w:right="161"/>
              <w:jc w:val="center"/>
              <w:rPr>
                <w:rFonts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ind w:right="322"/>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CellMar>
            <w:top w:w="0" w:type="dxa"/>
            <w:left w:w="108" w:type="dxa"/>
            <w:bottom w:w="0" w:type="dxa"/>
            <w:right w:w="108" w:type="dxa"/>
          </w:tblCellMar>
        </w:tblPrEx>
        <w:trPr>
          <w:trHeight w:val="499" w:hRule="atLeast"/>
          <w:jc w:val="center"/>
        </w:trPr>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160000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113126.34</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113126.34</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p>
        </w:tc>
        <w:tc>
          <w:tcPr>
            <w:tcW w:w="90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kern w:val="0"/>
                <w:sz w:val="16"/>
                <w:szCs w:val="16"/>
              </w:rPr>
            </w:pPr>
            <w:r>
              <w:rPr>
                <w:rFonts w:hint="eastAsia" w:ascii="宋体" w:hAnsi="宋体" w:cs="宋体"/>
                <w:kern w:val="0"/>
                <w:sz w:val="16"/>
                <w:szCs w:val="16"/>
              </w:rPr>
              <w:t>　</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kern w:val="0"/>
                <w:sz w:val="16"/>
                <w:szCs w:val="16"/>
              </w:rPr>
            </w:pPr>
            <w:r>
              <w:rPr>
                <w:rFonts w:hint="eastAsia" w:ascii="宋体" w:hAnsi="宋体" w:cs="宋体"/>
                <w:kern w:val="0"/>
                <w:sz w:val="16"/>
                <w:szCs w:val="16"/>
              </w:rPr>
              <w:t>　</w:t>
            </w:r>
          </w:p>
        </w:tc>
      </w:tr>
      <w:tr>
        <w:tblPrEx>
          <w:tblCellMar>
            <w:top w:w="0" w:type="dxa"/>
            <w:left w:w="108" w:type="dxa"/>
            <w:bottom w:w="0" w:type="dxa"/>
            <w:right w:w="108" w:type="dxa"/>
          </w:tblCellMar>
        </w:tblPrEx>
        <w:trPr>
          <w:trHeight w:val="415" w:hRule="atLeast"/>
          <w:jc w:val="center"/>
        </w:trPr>
        <w:tc>
          <w:tcPr>
            <w:tcW w:w="19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160000　</w:t>
            </w:r>
          </w:p>
        </w:tc>
        <w:tc>
          <w:tcPr>
            <w:tcW w:w="189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113126.34</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113126.34</w:t>
            </w:r>
          </w:p>
        </w:tc>
        <w:tc>
          <w:tcPr>
            <w:tcW w:w="179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color w:val="000000"/>
                <w:kern w:val="0"/>
                <w:sz w:val="16"/>
                <w:szCs w:val="16"/>
              </w:rPr>
            </w:pPr>
            <w:r>
              <w:rPr>
                <w:rFonts w:hint="eastAsia" w:ascii="宋体" w:hAnsi="宋体" w:cs="宋体"/>
                <w:color w:val="000000"/>
                <w:kern w:val="0"/>
                <w:sz w:val="16"/>
                <w:szCs w:val="16"/>
              </w:rPr>
              <w:t>100　</w:t>
            </w:r>
          </w:p>
        </w:tc>
        <w:tc>
          <w:tcPr>
            <w:tcW w:w="90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kern w:val="0"/>
                <w:sz w:val="16"/>
                <w:szCs w:val="16"/>
              </w:rPr>
            </w:pPr>
            <w:r>
              <w:rPr>
                <w:rFonts w:hint="eastAsia" w:ascii="宋体" w:hAnsi="宋体" w:cs="宋体"/>
                <w:kern w:val="0"/>
                <w:sz w:val="16"/>
                <w:szCs w:val="16"/>
              </w:rPr>
              <w:t>10　</w:t>
            </w:r>
          </w:p>
        </w:tc>
        <w:tc>
          <w:tcPr>
            <w:tcW w:w="791"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160" w:firstLineChars="100"/>
              <w:jc w:val="right"/>
              <w:rPr>
                <w:rFonts w:ascii="宋体" w:hAnsi="宋体" w:cs="宋体"/>
                <w:kern w:val="0"/>
                <w:sz w:val="16"/>
                <w:szCs w:val="16"/>
              </w:rPr>
            </w:pPr>
            <w:r>
              <w:rPr>
                <w:rFonts w:hint="eastAsia" w:ascii="宋体" w:hAnsi="宋体" w:cs="宋体"/>
                <w:kern w:val="0"/>
                <w:sz w:val="16"/>
                <w:szCs w:val="16"/>
              </w:rPr>
              <w:t>10　</w:t>
            </w:r>
          </w:p>
        </w:tc>
      </w:tr>
      <w:tr>
        <w:tblPrEx>
          <w:tblCellMar>
            <w:top w:w="0" w:type="dxa"/>
            <w:left w:w="108" w:type="dxa"/>
            <w:bottom w:w="0" w:type="dxa"/>
            <w:right w:w="108" w:type="dxa"/>
          </w:tblCellMar>
        </w:tblPrEx>
        <w:trPr>
          <w:trHeight w:val="600" w:hRule="atLeast"/>
          <w:jc w:val="center"/>
        </w:trPr>
        <w:tc>
          <w:tcPr>
            <w:tcW w:w="108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CellMar>
            <w:top w:w="0" w:type="dxa"/>
            <w:left w:w="108" w:type="dxa"/>
            <w:bottom w:w="0" w:type="dxa"/>
            <w:right w:w="108" w:type="dxa"/>
          </w:tblCellMar>
        </w:tblPrEx>
        <w:trPr>
          <w:trHeight w:val="499" w:hRule="atLeast"/>
          <w:jc w:val="center"/>
        </w:trPr>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48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765"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numPr>
                <w:ilvl w:val="0"/>
                <w:numId w:val="2"/>
              </w:numPr>
              <w:spacing w:line="560" w:lineRule="exact"/>
              <w:jc w:val="left"/>
              <w:rPr>
                <w:rFonts w:ascii="宋体" w:hAnsi="宋体" w:cs="宋体"/>
                <w:color w:val="000000"/>
                <w:kern w:val="0"/>
                <w:sz w:val="16"/>
                <w:szCs w:val="16"/>
              </w:rPr>
            </w:pPr>
            <w:r>
              <w:rPr>
                <w:rFonts w:hint="eastAsia" w:ascii="宋体" w:hAnsi="宋体" w:cs="宋体"/>
                <w:color w:val="000000"/>
                <w:kern w:val="0"/>
                <w:sz w:val="16"/>
                <w:szCs w:val="16"/>
              </w:rPr>
              <w:t>开展质量专项检查、采取</w:t>
            </w:r>
            <w:r>
              <w:rPr>
                <w:rFonts w:hint="eastAsia" w:ascii="宋体" w:hAnsi="宋体" w:cs="宋体"/>
                <w:color w:val="000000"/>
                <w:kern w:val="0"/>
                <w:sz w:val="16"/>
                <w:szCs w:val="16"/>
                <w:lang w:eastAsia="zh-CN"/>
              </w:rPr>
              <w:t>“双随机、一公开”</w:t>
            </w:r>
            <w:r>
              <w:rPr>
                <w:rFonts w:hint="eastAsia" w:ascii="宋体" w:hAnsi="宋体" w:cs="宋体"/>
                <w:color w:val="000000"/>
                <w:kern w:val="0"/>
                <w:sz w:val="16"/>
                <w:szCs w:val="16"/>
              </w:rPr>
              <w:t>模式巡查；2.加强对施工质量监督抽测；3.严格执行工程强制标准，确保建设工程基础和主体结构安全可靠，加大住宅工程、公共建筑、保障性住房监督和抽测力度，确保重点工程的质量安全。</w:t>
            </w:r>
          </w:p>
        </w:tc>
        <w:tc>
          <w:tcPr>
            <w:tcW w:w="3648" w:type="dxa"/>
            <w:gridSpan w:val="4"/>
            <w:tcBorders>
              <w:top w:val="single" w:color="auto" w:sz="4" w:space="0"/>
              <w:left w:val="nil"/>
              <w:bottom w:val="single" w:color="auto" w:sz="4" w:space="0"/>
              <w:right w:val="single" w:color="auto" w:sz="4" w:space="0"/>
            </w:tcBorders>
            <w:shd w:val="clear" w:color="auto" w:fill="auto"/>
            <w:noWrap/>
          </w:tcPr>
          <w:p>
            <w:pPr>
              <w:widowControl/>
              <w:spacing w:line="560" w:lineRule="exact"/>
              <w:jc w:val="left"/>
              <w:rPr>
                <w:rFonts w:ascii="宋体" w:hAnsi="宋体" w:cs="宋体"/>
                <w:color w:val="000000"/>
                <w:kern w:val="0"/>
                <w:sz w:val="16"/>
                <w:szCs w:val="16"/>
              </w:rPr>
            </w:pPr>
            <w:r>
              <w:rPr>
                <w:rFonts w:hint="eastAsia" w:ascii="宋体" w:hAnsi="宋体" w:cs="宋体"/>
                <w:color w:val="000000"/>
                <w:kern w:val="0"/>
                <w:sz w:val="16"/>
                <w:szCs w:val="16"/>
              </w:rPr>
              <w:t>1.开展质量专项检查、采取</w:t>
            </w:r>
            <w:r>
              <w:rPr>
                <w:rFonts w:hint="eastAsia" w:ascii="宋体" w:hAnsi="宋体" w:cs="宋体"/>
                <w:color w:val="000000"/>
                <w:kern w:val="0"/>
                <w:sz w:val="16"/>
                <w:szCs w:val="16"/>
                <w:lang w:eastAsia="zh-CN"/>
              </w:rPr>
              <w:t>“双随机、一公开”</w:t>
            </w:r>
            <w:r>
              <w:rPr>
                <w:rFonts w:hint="eastAsia" w:ascii="宋体" w:hAnsi="宋体" w:cs="宋体"/>
                <w:color w:val="000000"/>
                <w:kern w:val="0"/>
                <w:sz w:val="16"/>
                <w:szCs w:val="16"/>
              </w:rPr>
              <w:t>模式巡查；2.加强对施工质量监督抽测；3.严格执行工程强制标准，确保建设工程基础和主体结构安全可靠，加大住宅工程、公共建筑、保障性住房监督和抽测力度，确保重点工程的质量安全。</w:t>
            </w:r>
          </w:p>
        </w:tc>
        <w:tc>
          <w:tcPr>
            <w:tcW w:w="3484" w:type="dxa"/>
            <w:gridSpan w:val="4"/>
            <w:tcBorders>
              <w:top w:val="single" w:color="auto" w:sz="4" w:space="0"/>
              <w:left w:val="nil"/>
              <w:bottom w:val="single" w:color="auto" w:sz="4" w:space="0"/>
              <w:right w:val="single" w:color="auto" w:sz="4" w:space="0"/>
            </w:tcBorders>
            <w:shd w:val="clear" w:color="auto" w:fill="auto"/>
            <w:noWrap/>
          </w:tcPr>
          <w:p>
            <w:pPr>
              <w:widowControl/>
              <w:spacing w:line="560" w:lineRule="exact"/>
              <w:jc w:val="left"/>
              <w:rPr>
                <w:rFonts w:ascii="宋体" w:hAnsi="宋体" w:cs="宋体"/>
                <w:color w:val="000000"/>
                <w:kern w:val="0"/>
                <w:sz w:val="16"/>
                <w:szCs w:val="16"/>
              </w:rPr>
            </w:pPr>
            <w:r>
              <w:rPr>
                <w:rFonts w:hint="eastAsia" w:ascii="宋体" w:hAnsi="宋体" w:cs="宋体"/>
                <w:color w:val="000000"/>
                <w:kern w:val="0"/>
                <w:sz w:val="16"/>
                <w:szCs w:val="16"/>
              </w:rPr>
              <w:t>　全部完成</w:t>
            </w:r>
          </w:p>
        </w:tc>
      </w:tr>
      <w:tr>
        <w:tblPrEx>
          <w:tblCellMar>
            <w:top w:w="0" w:type="dxa"/>
            <w:left w:w="108" w:type="dxa"/>
            <w:bottom w:w="0" w:type="dxa"/>
            <w:right w:w="108" w:type="dxa"/>
          </w:tblCellMar>
        </w:tblPrEx>
        <w:trPr>
          <w:trHeight w:val="600" w:hRule="atLeast"/>
          <w:jc w:val="center"/>
        </w:trPr>
        <w:tc>
          <w:tcPr>
            <w:tcW w:w="10897"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名称</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指标值</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全年完成值</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是否核心指标</w:t>
            </w: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jc w:val="center"/>
              <w:rPr>
                <w:rFonts w:ascii="宋体" w:hAnsi="宋体" w:cs="宋体"/>
                <w:b/>
                <w:bCs/>
                <w:color w:val="000000"/>
                <w:kern w:val="0"/>
                <w:sz w:val="16"/>
              </w:rPr>
            </w:pPr>
            <w:r>
              <w:rPr>
                <w:rFonts w:hint="eastAsia" w:ascii="宋体" w:hAnsi="宋体" w:cs="宋体"/>
                <w:b/>
                <w:bCs/>
                <w:color w:val="000000"/>
                <w:kern w:val="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b/>
                <w:bCs/>
                <w:color w:val="000000"/>
                <w:kern w:val="0"/>
                <w:sz w:val="16"/>
                <w:szCs w:val="16"/>
              </w:rPr>
            </w:pPr>
            <w:r>
              <w:rPr>
                <w:rFonts w:hint="eastAsia" w:ascii="宋体" w:hAnsi="宋体" w:eastAsia="宋体" w:cs="宋体"/>
                <w:color w:val="000000"/>
                <w:kern w:val="0"/>
                <w:sz w:val="22"/>
              </w:rPr>
              <w:t>工程质量监督项目</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b/>
                <w:bCs/>
                <w:color w:val="000000"/>
                <w:kern w:val="0"/>
                <w:sz w:val="16"/>
                <w:szCs w:val="16"/>
              </w:rPr>
            </w:pPr>
            <w:r>
              <w:rPr>
                <w:rFonts w:hint="eastAsia" w:ascii="宋体" w:hAnsi="宋体" w:eastAsia="宋体" w:cs="宋体"/>
                <w:color w:val="000000"/>
                <w:kern w:val="0"/>
                <w:sz w:val="22"/>
              </w:rPr>
              <w:t>个</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b/>
                <w:bCs/>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85</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85</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b/>
                <w:bCs/>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b/>
                <w:bCs/>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b/>
                <w:bCs/>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在建工程质量监督项目竣工合格率</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95</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95</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项目完成时限</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年</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工程质量管理监督员培训</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次</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全县在建工程（含乡镇）车辆维护费</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万元/年</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全县在建工程质量抽检费</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万元/年</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14</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8</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42.86</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年初预算16万，实际下达预算数11.31万元</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质量检测仪器及聘用人员</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万元/年</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保障在建工程建设质量达标率</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98</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98</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项目持续影响时限</w:t>
            </w:r>
          </w:p>
        </w:tc>
        <w:tc>
          <w:tcPr>
            <w:tcW w:w="646"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年</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88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w:t>
            </w:r>
          </w:p>
        </w:tc>
        <w:tc>
          <w:tcPr>
            <w:tcW w:w="101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799" w:type="dxa"/>
            <w:tcBorders>
              <w:top w:val="nil"/>
              <w:left w:val="nil"/>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群众满意率</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96</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96</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项目主管部门满意率</w:t>
            </w:r>
          </w:p>
        </w:tc>
        <w:tc>
          <w:tcPr>
            <w:tcW w:w="6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left"/>
              <w:textAlignment w:val="center"/>
              <w:rPr>
                <w:rFonts w:ascii="宋体" w:hAnsi="宋体" w:cs="宋体"/>
                <w:color w:val="000000"/>
                <w:kern w:val="0"/>
                <w:sz w:val="16"/>
                <w:szCs w:val="16"/>
              </w:rPr>
            </w:pPr>
            <w:r>
              <w:rPr>
                <w:rFonts w:hint="eastAsia" w:ascii="宋体" w:hAnsi="宋体" w:eastAsia="宋体" w:cs="宋体"/>
                <w:color w:val="000000"/>
                <w:kern w:val="0"/>
                <w:sz w:val="22"/>
              </w:rPr>
              <w:t>≥</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98</w:t>
            </w:r>
          </w:p>
        </w:tc>
        <w:tc>
          <w:tcPr>
            <w:tcW w:w="8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98</w:t>
            </w:r>
          </w:p>
        </w:tc>
        <w:tc>
          <w:tcPr>
            <w:tcW w:w="10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0</w:t>
            </w:r>
          </w:p>
        </w:tc>
        <w:tc>
          <w:tcPr>
            <w:tcW w:w="10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100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7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ind w:firstLine="220" w:firstLineChars="100"/>
              <w:jc w:val="right"/>
              <w:textAlignment w:val="center"/>
              <w:rPr>
                <w:rFonts w:ascii="宋体" w:hAnsi="宋体" w:cs="宋体"/>
                <w:color w:val="000000"/>
                <w:kern w:val="0"/>
                <w:sz w:val="16"/>
                <w:szCs w:val="16"/>
              </w:rPr>
            </w:pPr>
            <w:r>
              <w:rPr>
                <w:rFonts w:hint="eastAsia" w:ascii="宋体" w:hAnsi="宋体" w:eastAsia="宋体" w:cs="宋体"/>
                <w:color w:val="000000"/>
                <w:kern w:val="0"/>
                <w:sz w:val="22"/>
              </w:rPr>
              <w:t>5</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c>
          <w:tcPr>
            <w:tcW w:w="16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60" w:lineRule="exact"/>
              <w:jc w:val="left"/>
              <w:rPr>
                <w:rFonts w:ascii="宋体" w:hAnsi="宋体" w:cs="宋体"/>
                <w:color w:val="000000"/>
                <w:kern w:val="0"/>
                <w:sz w:val="16"/>
                <w:szCs w:val="16"/>
              </w:rPr>
            </w:pPr>
          </w:p>
        </w:tc>
      </w:tr>
    </w:tbl>
    <w:p>
      <w:pPr>
        <w:widowControl/>
        <w:shd w:val="clear" w:color="auto" w:fill="FFFFFF"/>
        <w:spacing w:before="100" w:beforeAutospacing="1" w:after="100" w:afterAutospacing="1" w:line="560" w:lineRule="exact"/>
        <w:jc w:val="left"/>
        <w:rPr>
          <w:rFonts w:ascii="宋体" w:hAnsi="宋体" w:eastAsia="宋体" w:cs="宋体"/>
          <w:b/>
          <w:bCs/>
          <w:color w:val="FF0000"/>
          <w:kern w:val="0"/>
          <w:sz w:val="18"/>
          <w:szCs w:val="18"/>
        </w:rPr>
      </w:pPr>
    </w:p>
    <w:p>
      <w:pPr>
        <w:pStyle w:val="4"/>
        <w:spacing w:line="560" w:lineRule="exact"/>
      </w:pPr>
    </w:p>
    <w:p>
      <w:pPr>
        <w:pStyle w:val="4"/>
        <w:spacing w:line="560" w:lineRule="exact"/>
      </w:pPr>
    </w:p>
    <w:p>
      <w:pPr>
        <w:widowControl/>
        <w:shd w:val="clear" w:color="auto" w:fill="FFFFFF"/>
        <w:spacing w:before="100" w:beforeAutospacing="1" w:after="100" w:afterAutospacing="1" w:line="560" w:lineRule="exact"/>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2.绩效自评报告或案例。</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我单位未委托第三方开展绩效自评。</w:t>
      </w:r>
    </w:p>
    <w:p>
      <w:pPr>
        <w:widowControl/>
        <w:shd w:val="clear" w:color="auto" w:fill="FFFFFF"/>
        <w:tabs>
          <w:tab w:val="left" w:pos="312"/>
        </w:tabs>
        <w:spacing w:before="100" w:beforeAutospacing="1" w:after="100" w:afterAutospacing="1" w:line="560" w:lineRule="exact"/>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3.关于绩效自评结果的说明。</w:t>
      </w:r>
    </w:p>
    <w:p>
      <w:pPr>
        <w:pStyle w:val="4"/>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我单位绩效自评均已完成年度绩效目标。</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b/>
          <w:bCs/>
          <w:kern w:val="0"/>
          <w:sz w:val="32"/>
          <w:szCs w:val="32"/>
        </w:rPr>
      </w:pPr>
      <w:r>
        <w:rPr>
          <w:rFonts w:hint="eastAsia" w:ascii="方正楷体_GBK" w:hAnsi="方正楷体_GBK" w:eastAsia="方正楷体_GBK" w:cs="方正楷体_GBK"/>
          <w:b/>
          <w:bCs/>
          <w:kern w:val="0"/>
          <w:sz w:val="32"/>
          <w:szCs w:val="32"/>
        </w:rPr>
        <w:t xml:space="preserve">    (三)重点绩效评价结果。</w:t>
      </w:r>
    </w:p>
    <w:p>
      <w:pPr>
        <w:pStyle w:val="4"/>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我单位未委托第三方开展重点绩效评价。</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b/>
          <w:bCs/>
          <w:kern w:val="0"/>
          <w:sz w:val="32"/>
          <w:szCs w:val="32"/>
        </w:rPr>
        <w:t xml:space="preserve">    六、专业名词解释</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（一）财政拨款收入</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指本年度从本级财政部门取得的财政拨款，包括一般公共预算财政拨款和政府性基金预算财政拨款。</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（二）事业收入</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指事业单位开展专业业务活动及其辅助活动取得的现金流入；事业单位收到的财政专户实际核拨的教育收费等资金在此反映。</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（三）经营收入</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指事业单位在专业业务活动及其辅助活动</w:t>
      </w:r>
      <w:r>
        <w:rPr>
          <w:rFonts w:hint="eastAsia" w:ascii="方正楷体_GBK" w:hAnsi="方正楷体_GBK" w:eastAsia="方正楷体_GBK" w:cs="方正楷体_GBK"/>
          <w:kern w:val="0"/>
          <w:sz w:val="32"/>
          <w:szCs w:val="32"/>
        </w:rPr>
        <w:t>之外开展非独立核算经营活动取得的现金流入。</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（四）其他收入</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（五）使用非财政拨款结余</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指单位在当年的“财政拨款收入”、“事业收入”、“经营收入”、“其他收入”等不足以安排当年支出的情况下，使用以前年度积累的非财政拨款结余弥补本年度收支缺口的资金。</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（六）年初结转和结余</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指单位上年结转本年使用的基本支出结转、项目支出结转和结余、经营结余。</w:t>
      </w:r>
    </w:p>
    <w:p>
      <w:pPr>
        <w:widowControl/>
        <w:shd w:val="clear" w:color="auto" w:fill="FFFFFF"/>
        <w:spacing w:before="100" w:beforeAutospacing="1" w:after="100" w:afterAutospacing="1" w:line="560" w:lineRule="exact"/>
        <w:jc w:val="left"/>
        <w:rPr>
          <w:rFonts w:ascii="方正楷体_GBK" w:hAnsi="方正楷体_GBK" w:eastAsia="方正楷体_GBK" w:cs="方正楷体_GBK"/>
          <w:kern w:val="0"/>
          <w:sz w:val="32"/>
          <w:szCs w:val="32"/>
        </w:rPr>
      </w:pPr>
      <w:r>
        <w:rPr>
          <w:rFonts w:hint="eastAsia" w:ascii="方正楷体_GBK" w:hAnsi="方正楷体_GBK" w:eastAsia="方正楷体_GBK" w:cs="方正楷体_GBK"/>
          <w:b/>
          <w:bCs/>
          <w:kern w:val="0"/>
          <w:sz w:val="32"/>
          <w:szCs w:val="32"/>
        </w:rPr>
        <w:t xml:space="preserve">    （七）结余分配</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指单位按照国家有关规定，缴纳所得税、</w:t>
      </w:r>
      <w:r>
        <w:rPr>
          <w:rFonts w:hint="eastAsia" w:ascii="方正楷体_GBK" w:hAnsi="方正楷体_GBK" w:eastAsia="方正楷体_GBK" w:cs="方正楷体_GBK"/>
          <w:kern w:val="0"/>
          <w:sz w:val="32"/>
          <w:szCs w:val="32"/>
        </w:rPr>
        <w:t>提取专用基金、转入非财政拨款结余等当年结余的分配情况。</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（八）年末结转和结余</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指单位结转下年的基本支出结转、项目支出结转和结余、经营结余。</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（九）基本支出</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（十）项目支出</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指在基本支出之外为完成特定行政任务和事业发展目标所发生的支出。</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（十一）经营支出</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指事业单位在专业业务活动及其辅助活动之外开展非独立核算经营活动发生的支出。</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（十二）“三公”经费</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（十三）工资福利支出（支出经济分类科目类级）</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反映单位开支的在职职工和编制外长期聘用人员的各类劳动报酬，以及为上述人员缴纳的各项社会保险费等。</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（十四）商品和服务支出（支出经济分类科目类级）</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反映单位购买商品和服务的支出（不包括用于购置固定资产的支出、战略性和应急储备支出）。</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楷体_GBK" w:hAnsi="方正楷体_GBK" w:eastAsia="方正楷体_GBK" w:cs="方正楷体_GBK"/>
          <w:b/>
          <w:bCs/>
          <w:kern w:val="0"/>
          <w:sz w:val="32"/>
          <w:szCs w:val="32"/>
        </w:rPr>
        <w:t xml:space="preserve">    （十五）对个人和家庭的补助（支出经济分类科目类级）</w:t>
      </w:r>
      <w:r>
        <w:rPr>
          <w:rFonts w:hint="eastAsia" w:ascii="方正楷体_GBK" w:hAnsi="方正楷体_GBK" w:eastAsia="方正楷体_GBK" w:cs="方正楷体_GBK"/>
          <w:kern w:val="0"/>
          <w:sz w:val="32"/>
          <w:szCs w:val="32"/>
        </w:rPr>
        <w:t>：</w:t>
      </w:r>
      <w:r>
        <w:rPr>
          <w:rFonts w:hint="eastAsia" w:ascii="方正仿宋_GBK" w:hAnsi="方正仿宋_GBK" w:eastAsia="方正仿宋_GBK" w:cs="方正仿宋_GBK"/>
          <w:kern w:val="0"/>
          <w:sz w:val="32"/>
          <w:szCs w:val="32"/>
        </w:rPr>
        <w:t>反映用于对个人和家庭的补助支出。</w:t>
      </w:r>
    </w:p>
    <w:p>
      <w:pPr>
        <w:widowControl/>
        <w:shd w:val="clear" w:color="auto" w:fill="FFFFFF"/>
        <w:spacing w:before="100" w:beforeAutospacing="1" w:after="100" w:afterAutospacing="1" w:line="560" w:lineRule="exact"/>
        <w:jc w:val="left"/>
        <w:rPr>
          <w:rFonts w:ascii="方正黑体_GBK" w:hAnsi="方正黑体_GBK" w:eastAsia="方正黑体_GBK" w:cs="方正黑体_GBK"/>
          <w:b/>
          <w:bCs/>
          <w:kern w:val="0"/>
          <w:sz w:val="32"/>
          <w:szCs w:val="32"/>
        </w:rPr>
      </w:pPr>
      <w:r>
        <w:rPr>
          <w:rFonts w:hint="eastAsia" w:ascii="方正黑体_GBK" w:hAnsi="方正黑体_GBK" w:eastAsia="方正黑体_GBK" w:cs="方正黑体_GBK"/>
          <w:b/>
          <w:bCs/>
          <w:kern w:val="0"/>
          <w:sz w:val="32"/>
          <w:szCs w:val="32"/>
        </w:rPr>
        <w:t xml:space="preserve">    七、决算公开联系方式及信息反馈渠道</w:t>
      </w:r>
    </w:p>
    <w:p>
      <w:pPr>
        <w:widowControl/>
        <w:shd w:val="clear" w:color="auto" w:fill="FFFFFF"/>
        <w:spacing w:before="100" w:beforeAutospacing="1" w:after="100" w:afterAutospacing="1" w:line="56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本单位决算公开信息反馈和联系方式：</w:t>
      </w:r>
    </w:p>
    <w:p>
      <w:pPr>
        <w:widowControl/>
        <w:shd w:val="clear" w:color="auto" w:fill="FFFFFF"/>
        <w:spacing w:before="100" w:beforeAutospacing="1" w:after="100" w:afterAutospacing="1" w:line="560" w:lineRule="exact"/>
        <w:ind w:left="320" w:hanging="320" w:hangingChars="1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曾幸琼   023-70703019</w:t>
      </w:r>
    </w:p>
    <w:p>
      <w:pPr>
        <w:widowControl/>
        <w:shd w:val="clear" w:color="auto" w:fill="FFFFFF"/>
        <w:spacing w:before="100" w:beforeAutospacing="1" w:after="100" w:afterAutospacing="1" w:line="560" w:lineRule="exact"/>
        <w:jc w:val="left"/>
        <w:rPr>
          <w:rFonts w:ascii="宋体" w:hAnsi="宋体" w:eastAsia="宋体" w:cs="宋体"/>
          <w:kern w:val="0"/>
          <w:sz w:val="18"/>
          <w:szCs w:val="18"/>
        </w:rPr>
      </w:pP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02C64"/>
    <w:multiLevelType w:val="singleLevel"/>
    <w:tmpl w:val="93602C64"/>
    <w:lvl w:ilvl="0" w:tentative="0">
      <w:start w:val="1"/>
      <w:numFmt w:val="decimal"/>
      <w:lvlText w:val="%1."/>
      <w:lvlJc w:val="left"/>
      <w:pPr>
        <w:tabs>
          <w:tab w:val="left" w:pos="312"/>
        </w:tabs>
        <w:ind w:left="160" w:firstLine="0"/>
      </w:pPr>
    </w:lvl>
  </w:abstractNum>
  <w:abstractNum w:abstractNumId="1">
    <w:nsid w:val="2441400E"/>
    <w:multiLevelType w:val="singleLevel"/>
    <w:tmpl w:val="2441400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M1NjAzMjEwMjZlZDUwOTI2NDI5MzMzOWQ4ZmI0YzgifQ=="/>
  </w:docVars>
  <w:rsids>
    <w:rsidRoot w:val="004B0230"/>
    <w:rsid w:val="000A26C1"/>
    <w:rsid w:val="000F6787"/>
    <w:rsid w:val="001A24E3"/>
    <w:rsid w:val="0025737B"/>
    <w:rsid w:val="00415F73"/>
    <w:rsid w:val="00484CB3"/>
    <w:rsid w:val="004B0230"/>
    <w:rsid w:val="004D46CB"/>
    <w:rsid w:val="005221F6"/>
    <w:rsid w:val="00695F3C"/>
    <w:rsid w:val="006A0083"/>
    <w:rsid w:val="006C42C8"/>
    <w:rsid w:val="007733D8"/>
    <w:rsid w:val="00A23CA3"/>
    <w:rsid w:val="00D46DC5"/>
    <w:rsid w:val="013B0362"/>
    <w:rsid w:val="01727558"/>
    <w:rsid w:val="026A771C"/>
    <w:rsid w:val="04A546F8"/>
    <w:rsid w:val="0B9E68E2"/>
    <w:rsid w:val="0D98259F"/>
    <w:rsid w:val="0DB8556E"/>
    <w:rsid w:val="0E553A87"/>
    <w:rsid w:val="0FA54700"/>
    <w:rsid w:val="0FCE2E27"/>
    <w:rsid w:val="101D790A"/>
    <w:rsid w:val="125E4936"/>
    <w:rsid w:val="13031039"/>
    <w:rsid w:val="1402103C"/>
    <w:rsid w:val="146669D1"/>
    <w:rsid w:val="15CA4090"/>
    <w:rsid w:val="17C3523B"/>
    <w:rsid w:val="1BB45C3E"/>
    <w:rsid w:val="1C847D30"/>
    <w:rsid w:val="1CB61C50"/>
    <w:rsid w:val="1D8D60CF"/>
    <w:rsid w:val="1DA83B16"/>
    <w:rsid w:val="219C7BAD"/>
    <w:rsid w:val="2315326E"/>
    <w:rsid w:val="2389525C"/>
    <w:rsid w:val="23AE6834"/>
    <w:rsid w:val="266100F9"/>
    <w:rsid w:val="26626A8C"/>
    <w:rsid w:val="272A498F"/>
    <w:rsid w:val="27A82768"/>
    <w:rsid w:val="290F3048"/>
    <w:rsid w:val="2A97058D"/>
    <w:rsid w:val="2AA36F32"/>
    <w:rsid w:val="2BE3098C"/>
    <w:rsid w:val="2BEE7817"/>
    <w:rsid w:val="2C491D5B"/>
    <w:rsid w:val="2EBF00B3"/>
    <w:rsid w:val="2F0E0288"/>
    <w:rsid w:val="30CB2D3F"/>
    <w:rsid w:val="317E5F65"/>
    <w:rsid w:val="331512D3"/>
    <w:rsid w:val="33905220"/>
    <w:rsid w:val="34337579"/>
    <w:rsid w:val="375D66BB"/>
    <w:rsid w:val="38983E4E"/>
    <w:rsid w:val="38FC1623"/>
    <w:rsid w:val="3AF17846"/>
    <w:rsid w:val="3AFD61EB"/>
    <w:rsid w:val="3DB87A8F"/>
    <w:rsid w:val="3EAB0654"/>
    <w:rsid w:val="3EBA4D6D"/>
    <w:rsid w:val="3EF350CD"/>
    <w:rsid w:val="3F1A6FBA"/>
    <w:rsid w:val="3FC34381"/>
    <w:rsid w:val="3FE7096C"/>
    <w:rsid w:val="433F136A"/>
    <w:rsid w:val="44655091"/>
    <w:rsid w:val="46674E60"/>
    <w:rsid w:val="47794E4B"/>
    <w:rsid w:val="4900334A"/>
    <w:rsid w:val="4AC9433B"/>
    <w:rsid w:val="4AE03433"/>
    <w:rsid w:val="4C195890"/>
    <w:rsid w:val="4EBD5110"/>
    <w:rsid w:val="4FF5141D"/>
    <w:rsid w:val="501D2222"/>
    <w:rsid w:val="502D2C76"/>
    <w:rsid w:val="50F93523"/>
    <w:rsid w:val="52FB3500"/>
    <w:rsid w:val="543D5452"/>
    <w:rsid w:val="555A336D"/>
    <w:rsid w:val="559A7000"/>
    <w:rsid w:val="57E722A5"/>
    <w:rsid w:val="58A14555"/>
    <w:rsid w:val="59183E6F"/>
    <w:rsid w:val="5955110A"/>
    <w:rsid w:val="5A1C64ED"/>
    <w:rsid w:val="5A2C5B92"/>
    <w:rsid w:val="60BF59B8"/>
    <w:rsid w:val="63663F4D"/>
    <w:rsid w:val="63E331B4"/>
    <w:rsid w:val="64F25DE5"/>
    <w:rsid w:val="664166AE"/>
    <w:rsid w:val="6AB53B3C"/>
    <w:rsid w:val="6C8D14D7"/>
    <w:rsid w:val="6CC938CF"/>
    <w:rsid w:val="70C62CF6"/>
    <w:rsid w:val="72C92436"/>
    <w:rsid w:val="7375331E"/>
    <w:rsid w:val="74122000"/>
    <w:rsid w:val="744D3038"/>
    <w:rsid w:val="77132317"/>
    <w:rsid w:val="77845B8F"/>
    <w:rsid w:val="77BF3D0E"/>
    <w:rsid w:val="78AB46D7"/>
    <w:rsid w:val="78DD5F6C"/>
    <w:rsid w:val="7907728A"/>
    <w:rsid w:val="7A304CC5"/>
    <w:rsid w:val="7A3D1FCA"/>
    <w:rsid w:val="7BF520F3"/>
    <w:rsid w:val="7C614FC8"/>
    <w:rsid w:val="7F196938"/>
    <w:rsid w:val="7F573C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rPr>
      <w:rFonts w:ascii="Calibri" w:hAnsi="Calibri" w:eastAsia="宋体" w:cs="Times New Roman"/>
      <w:kern w:val="0"/>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9">
    <w:name w:val="普通(网站) Char"/>
    <w:basedOn w:val="1"/>
    <w:qFormat/>
    <w:uiPriority w:val="0"/>
    <w:pPr>
      <w:spacing w:beforeAutospacing="1" w:afterAutospacing="1"/>
      <w:jc w:val="left"/>
    </w:pPr>
    <w:rPr>
      <w:rFonts w:hint="eastAsia" w:ascii="宋体" w:hAnsi="宋体" w:eastAsia="宋体" w:cs="Times New Roman"/>
      <w:kern w:val="0"/>
      <w:sz w:val="24"/>
      <w:szCs w:val="24"/>
    </w:rPr>
  </w:style>
  <w:style w:type="character" w:customStyle="1" w:styleId="10">
    <w:name w:val="16"/>
    <w:basedOn w:val="7"/>
    <w:qFormat/>
    <w:uiPriority w:val="0"/>
    <w:rPr>
      <w:rFonts w:hint="default" w:ascii="Calibri" w:hAnsi="Calibri" w:cs="Calibri"/>
      <w:b/>
    </w:rPr>
  </w:style>
  <w:style w:type="character" w:customStyle="1" w:styleId="11">
    <w:name w:val="页眉 Char"/>
    <w:basedOn w:val="7"/>
    <w:link w:val="3"/>
    <w:qFormat/>
    <w:uiPriority w:val="99"/>
    <w:rPr>
      <w:rFonts w:asciiTheme="minorHAnsi" w:hAnsiTheme="minorHAnsi" w:eastAsiaTheme="minorEastAsia" w:cstheme="minorBidi"/>
      <w:kern w:val="2"/>
      <w:sz w:val="18"/>
      <w:szCs w:val="18"/>
    </w:rPr>
  </w:style>
  <w:style w:type="character" w:customStyle="1" w:styleId="12">
    <w:name w:val="页脚 Char"/>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XTC</Company>
  <Pages>14</Pages>
  <Words>967</Words>
  <Characters>5516</Characters>
  <Lines>45</Lines>
  <Paragraphs>12</Paragraphs>
  <TotalTime>58</TotalTime>
  <ScaleCrop>false</ScaleCrop>
  <LinksUpToDate>false</LinksUpToDate>
  <CharactersWithSpaces>6471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2023-09-11T01:44:00Z</dcterms:created>
  <dc:creator>丰都县城乡建设委员会</dc:creator>
  <cp:lastModifiedBy>L</cp:lastModifiedBy>
  <cp:lastPrinted>2023-09-12T02:50:00Z</cp:lastPrinted>
  <dcterms:modified xsi:type="dcterms:W3CDTF">2023-10-07T07:39:21Z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C746A790122D4A6782443431636FF2E4_12</vt:lpwstr>
  </property>
</Properties>
</file>