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spacing w:before="0" w:beforeAutospacing="0" w:after="0" w:afterAutospacing="0" w:line="596" w:lineRule="exact"/>
        <w:ind w:firstLine="880" w:firstLineChars="200"/>
        <w:jc w:val="center"/>
        <w:rPr>
          <w:rFonts w:hint="default" w:ascii="方正小标宋_GBK" w:hAnsi="方正小标宋_GBK" w:eastAsia="方正小标宋_GBK" w:cs="方正小标宋_GBK"/>
          <w:sz w:val="44"/>
          <w:szCs w:val="44"/>
        </w:rPr>
      </w:pPr>
    </w:p>
    <w:p>
      <w:pPr>
        <w:pStyle w:val="9"/>
        <w:widowControl w:val="0"/>
        <w:spacing w:before="0" w:beforeAutospacing="0" w:after="0" w:afterAutospacing="0" w:line="56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丰都县医疗保障局</w:t>
      </w:r>
    </w:p>
    <w:p>
      <w:pPr>
        <w:pStyle w:val="9"/>
        <w:widowControl w:val="0"/>
        <w:spacing w:before="0" w:beforeAutospacing="0" w:after="0" w:afterAutospacing="0" w:line="560"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9"/>
        <w:widowControl w:val="0"/>
        <w:spacing w:before="0" w:beforeAutospacing="0" w:after="0" w:afterAutospacing="0" w:line="560" w:lineRule="exact"/>
        <w:jc w:val="center"/>
        <w:rPr>
          <w:rFonts w:hint="default" w:ascii="Times New Roman" w:hAnsi="Times New Roman" w:eastAsia="方正小标宋_GBK"/>
          <w:sz w:val="44"/>
          <w:szCs w:val="44"/>
          <w:shd w:val="clear" w:color="auto" w:fill="FFFFFF"/>
        </w:rPr>
      </w:pPr>
    </w:p>
    <w:p>
      <w:pPr>
        <w:pStyle w:val="15"/>
        <w:widowControl w:val="0"/>
        <w:autoSpaceDE w:val="0"/>
        <w:spacing w:before="0" w:beforeAutospacing="0" w:after="0" w:afterAutospacing="0" w:line="560" w:lineRule="exact"/>
        <w:ind w:firstLine="640" w:firstLineChars="200"/>
        <w:jc w:val="both"/>
        <w:rPr>
          <w:rStyle w:val="13"/>
          <w:rFonts w:ascii="Times New Roman" w:hAnsi="Times New Roman" w:eastAsia="方正黑体_GBK"/>
          <w:b w:val="0"/>
          <w:bCs/>
          <w:sz w:val="32"/>
          <w:szCs w:val="32"/>
          <w:shd w:val="clear" w:color="auto" w:fill="FFFFFF"/>
        </w:rPr>
      </w:pPr>
      <w:r>
        <w:rPr>
          <w:rStyle w:val="13"/>
          <w:rFonts w:ascii="Times New Roman" w:hAnsi="Times New Roman" w:eastAsia="方正黑体_GBK"/>
          <w:b w:val="0"/>
          <w:bCs/>
          <w:sz w:val="32"/>
          <w:szCs w:val="32"/>
          <w:shd w:val="clear" w:color="auto" w:fill="FFFFFF"/>
        </w:rPr>
        <w:t>一、部门基本情况</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（一）职能职责</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1.贯彻执行国家和重庆市医疗保险、生育保险、医疗救助等医疗保障制度的法律法规、政策、规章、规划和标准。拟订本县相关规划、政策措施、标准并组织实施。</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2.贯彻执行重庆市医疗保障基金监督管理办法，承担医疗保障基金安全防控监管责任，推进医疗保障基金支付方式改革。</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3.贯彻执行重庆市医疗保障筹资和待遇政策；贯彻推进重庆市长期护理保险制度。</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4.贯彻实施药品、医用耗材、医疗服务项目、医疗服务设施等医保目录和支付标准，建立动态调整机制。贯彻执行医保目录准入地方谈判规则。</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5.贯彻执行药品、医用耗材价格和医疗服务项目、医疗服务设施收费等政策。负责县管政府定价的医保相关医疗服务价格合理确定和动态调整工作。监督管理药品、医用耗材价格和医疗服务项目、医疗服务设施收费标准执行。贯彻执行重庆市药品、医用耗材的招标采购政策。</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6.负责组织实施定点医药机构协议和支付管理办法，建立健全医疗保障信用评价和信息披露制度，监督管理纳入医保范围内的医疗服务行为和医疗费用，依法查处医疗保障领域违法违规行为。</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7.负责医疗保障经办管理，公共服务体系和信息化建设。负责落实异地就医管理和费用结算政策。建立健全医疗保障关系转移接续制度。</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8.负责局机关和所属单位的安全监管、信访稳定和医疗保障扶贫工作。</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9.完成县委和县政府交办的其他任务。</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职能转变。丰都县医疗保障局要认真落实城乡居民基本医疗保险和大病保险相关制度，推进落实覆盖全民、城乡统筹的多层次医疗保障体系，不断提高医疗保障水平，确保医保资金合理使用、安全可控，推进医疗、医保、医药</w:t>
      </w:r>
      <w:r>
        <w:rPr>
          <w:rFonts w:ascii="Times New Roman" w:hAnsi="Times New Roman" w:eastAsia="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三医联动</w:t>
      </w:r>
      <w:r>
        <w:rPr>
          <w:rFonts w:ascii="Times New Roman" w:hAnsi="Times New Roman" w:eastAsia="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改革，更好保障人民群众就医需求、减轻医药费用负担。</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11.与有关部门的职责分工。丰都县医疗保障局要建立与丰都县发展和改革委员会、丰都县卫生健康委员会、丰都县市场监督管理局、丰都县税务局等部门的沟通协商机制，加强制度、政策衔接，协同推进改革，提高医疗资源使用效率和医疗保障水平。</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（二）机构设置</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丰都县医疗保障局设下列3个内设机构：</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1.办公室。负责机关日常运转，承担党群、安全、保密、信访、人事编制、机要、信息、宣传、档案、政务公开、议提案办理、后勤保障等工作。推进医疗保障信息化建设，承担医疗保障统计，机关和所属单位财政预决算、财务、内部审计，医疗保障基金的管理、支付、会计核算工作。</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医药服务管理科。负责医疗保障参保筹资和待遇、医疗救助、大病保险和各项补充保险的管理工作。负责长期护理保险的管理工作。负责县管政府定价的医保相关医疗服务价格合理确定和动态调整工作。负责医保目录的贯彻实施和管理工作。负责医疗保障关系转移接续管理工作。负责本县定点医药机构、异地就医、医疗保障支付方式改革的管理工作。负责贯彻执行药品、医用耗材的招标采购政策。负责医疗保障扶贫工作。</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3.综合监管科。拟订全县医疗保障事业发展规划并组织实施。贯彻落实医疗保障基金监督管理办法，负责医疗保障基金的监督管理工作，建立健全医疗保障基金安全防控机制、医疗保障信用评价体系和信息披露制度。负责监督管理药品、医用耗材价格和医疗服务项目、医疗服务设施收费标准执行。负责监督管理纳入医保支付范围的医疗服务行为和医疗费用，依法查处医疗保障领域违法违规行为。负责医疗保障政策法规宣传及本单位行政执法监督、行政应诉等法律事务工作。</w:t>
      </w:r>
    </w:p>
    <w:p>
      <w:pPr>
        <w:pStyle w:val="9"/>
        <w:widowControl w:val="0"/>
        <w:shd w:val="clear" w:color="auto" w:fill="FFFFFF"/>
        <w:spacing w:before="0" w:beforeAutospacing="0" w:after="0" w:afterAutospacing="0" w:line="560" w:lineRule="exact"/>
        <w:ind w:firstLine="640" w:firstLineChars="200"/>
        <w:jc w:val="both"/>
        <w:rPr>
          <w:rStyle w:val="13"/>
          <w:rFonts w:hint="default" w:ascii="Times New Roman" w:hAnsi="Times New Roman" w:eastAsia="方正黑体_GBK"/>
          <w:b w:val="0"/>
          <w:bCs/>
          <w:sz w:val="32"/>
          <w:szCs w:val="32"/>
          <w:shd w:val="clear" w:color="auto" w:fill="FFFFFF"/>
        </w:rPr>
      </w:pPr>
      <w:r>
        <w:rPr>
          <w:rStyle w:val="13"/>
          <w:rFonts w:hint="default" w:ascii="Times New Roman" w:hAnsi="Times New Roman" w:eastAsia="方正黑体_GBK"/>
          <w:b w:val="0"/>
          <w:bCs/>
          <w:sz w:val="32"/>
          <w:szCs w:val="32"/>
          <w:shd w:val="clear" w:color="auto" w:fill="FFFFFF"/>
        </w:rPr>
        <w:t>二、部门决算收支情况说明</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（一）收入支出决算总体情况说明</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2024年度收、支总计均为6523.03万元。收、支与2023年度相比，减少876.46万元，下降11.8%，主要原因是公务员医疗费、离休人员医疗费、医疗救助项目支出较上年减少。</w:t>
      </w:r>
    </w:p>
    <w:p>
      <w:pPr>
        <w:pStyle w:val="9"/>
        <w:widowControl w:val="0"/>
        <w:shd w:val="clear" w:color="auto" w:fill="FFFFFF"/>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收入合计6491.75万元，与2023年度相比，减少722.44万元，下降10.0%，主要原因是公务员医疗费、离休人员医疗费、医疗救助项目收入较上年减少。其中：财政拨款收入6491.75万元，占100.0%；事业收入0.00万元，占0.0%；经营收入0.00万元，占0.0%；其他收入0.00万元，占0.0%。此外，使用非财政拨款结余（含专用结余）0.00万元，年初结转和结余31.28万元。</w:t>
      </w:r>
    </w:p>
    <w:p>
      <w:pPr>
        <w:pStyle w:val="9"/>
        <w:widowControl w:val="0"/>
        <w:shd w:val="clear" w:color="auto" w:fill="FFFFFF"/>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支出合计6523.03万元，与2023年度相比，减少845.17万元，下降11.5%，主要原因是公务员医疗费、离休人员医疗费、医疗救助项目支出较上年减少。其中：基本支出674.94万元，占10.4%；项目支出5848.09万元，占89.7%；经营支出</w:t>
      </w:r>
      <w:r>
        <w:rPr>
          <w:rFonts w:hint="default" w:ascii="Times New Roman" w:hAnsi="Times New Roman" w:eastAsia="方正仿宋_GBK"/>
          <w:color w:val="000000" w:themeColor="text1"/>
          <w:sz w:val="32"/>
          <w:szCs w:val="32"/>
          <w14:textFill>
            <w14:solidFill>
              <w14:schemeClr w14:val="tx1"/>
            </w14:solidFill>
          </w14:textFill>
        </w:rPr>
        <w:t>0.00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万元，占0.0%。此外，结余分配0.00万元。</w:t>
      </w:r>
    </w:p>
    <w:p>
      <w:pPr>
        <w:pStyle w:val="9"/>
        <w:widowControl w:val="0"/>
        <w:snapToGrid w:val="0"/>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Style w:val="13"/>
          <w:rFonts w:hint="default" w:ascii="Times New Roman" w:hAnsi="Times New Roman" w:eastAsia="方正仿宋_GBK"/>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2024年度年末结转和结余0.00万元，与2023年度相比，减少31.28万元，下降100.0%，主要原因是本年度使用结余资金支付公益性岗位人员工资及五险。</w:t>
      </w:r>
    </w:p>
    <w:p>
      <w:pPr>
        <w:pStyle w:val="9"/>
        <w:widowControl w:val="0"/>
        <w:shd w:val="clear" w:color="auto" w:fill="FFFFFF"/>
        <w:spacing w:before="0" w:beforeAutospacing="0" w:after="0" w:afterAutospacing="0" w:line="560" w:lineRule="exact"/>
        <w:ind w:firstLine="640" w:firstLineChars="200"/>
        <w:jc w:val="both"/>
        <w:rPr>
          <w:rStyle w:val="13"/>
          <w:rFonts w:hint="default" w:ascii="Times New Roman" w:hAnsi="Times New Roman" w:eastAsia="方正楷体_GBK"/>
          <w:b w:val="0"/>
          <w:bCs/>
          <w:sz w:val="32"/>
          <w:szCs w:val="32"/>
          <w:shd w:val="clear" w:color="auto" w:fill="FFFFFF"/>
        </w:rPr>
      </w:pPr>
      <w:r>
        <w:rPr>
          <w:rStyle w:val="13"/>
          <w:rFonts w:hint="default" w:ascii="Times New Roman" w:hAnsi="Times New Roman" w:eastAsia="方正楷体_GBK"/>
          <w:b w:val="0"/>
          <w:bCs/>
          <w:sz w:val="32"/>
          <w:szCs w:val="32"/>
          <w:shd w:val="clear" w:color="auto" w:fill="FFFFFF"/>
        </w:rPr>
        <w:t>（二）财政拨款收入支出决算总体情况说明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2024年度财政拨款收、支总计均为6523.03万元。与2023年度相比，财政拨款收、支总计各减少876.46万元，下降11.8%。主要原因是公务员医疗费、离休人员医疗费、医疗救助项目支出较上年减少。</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（三）一般公共预算财政拨款收入支出决算情况说明</w:t>
      </w:r>
    </w:p>
    <w:p>
      <w:pPr>
        <w:pStyle w:val="9"/>
        <w:widowControl w:val="0"/>
        <w:snapToGrid w:val="0"/>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Style w:val="13"/>
          <w:rFonts w:hint="default" w:ascii="Times New Roman" w:hAnsi="Times New Roman" w:eastAsia="方正仿宋_GBK"/>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一般公共预算财政拨款收入6491.75万元，与2023年度相比，减少722.44万元，下降10.0%。主要原因是公务员医疗费、离休人员医疗费、医疗救助项目收入较上年减少。较年初预算数减少153.02万元，下降2.3%。主要原因是公务员医疗费、离休人员医疗费、医疗救助项目收入较上年减少。此外，年初财政拨款结转和结余31.28万元。</w:t>
      </w:r>
    </w:p>
    <w:p>
      <w:pPr>
        <w:pStyle w:val="9"/>
        <w:widowControl w:val="0"/>
        <w:snapToGrid w:val="0"/>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一般公共预算财政拨款支出6523.03万元，与2023年度相比，减少845.17万元，下降11.5%。主要原因是公务员医疗费、离休人员医疗费、医疗救助项目支出较上年减少。较年初预算数减少121.74万元，下降1.8%。主要原因是公务员医疗费、离休人员医疗费、医疗救助项目支出较上年减少。</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一般公共预算财政拨款支出主要用途如下：</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（1）社会保障和就业支出85.35万元，占1.3%，较年初预算数增加4.07万元，增长5.0%，主要原因是本年度新招录两名参公人员，年中向县财政局追加人员经费。</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（2）卫生健康支出6395.74万元，占98.1%，较年初预算数减少125.76万元，下降1.9%，主要原因是医疗救助项目支出较上年减少。</w:t>
      </w:r>
    </w:p>
    <w:p>
      <w:pPr>
        <w:widowControl w:val="0"/>
        <w:spacing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（3）</w:t>
      </w:r>
      <w:r>
        <w:rPr>
          <w:rFonts w:hint="default" w:ascii="Times New Roman" w:hAnsi="Times New Roman" w:eastAsia="方正仿宋_GBK"/>
          <w:color w:val="000000" w:themeColor="text1"/>
          <w:sz w:val="32"/>
          <w:szCs w:val="32"/>
          <w14:textFill>
            <w14:solidFill>
              <w14:schemeClr w14:val="tx1"/>
            </w14:solidFill>
          </w14:textFill>
        </w:rPr>
        <w:t>住房保障支出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41.94万元，占0.6%，较年初预算数减少0.05万元，下降0.1%，主要原因是年中县财政局追减。</w:t>
      </w:r>
    </w:p>
    <w:p>
      <w:pPr>
        <w:pStyle w:val="9"/>
        <w:widowControl w:val="0"/>
        <w:snapToGrid w:val="0"/>
        <w:spacing w:before="0" w:beforeAutospacing="0" w:after="0" w:afterAutospacing="0" w:line="560" w:lineRule="exact"/>
        <w:ind w:firstLine="643"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13"/>
          <w:rFonts w:hint="default" w:ascii="Times New Roman" w:hAnsi="Times New Roman" w:eastAsia="方正仿宋_GBK"/>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2024年度年末一般公共预算财政拨款结转和结余0.00万元，与2023年度相比，减少31.28万元，下降100.0%，主要原因是本年度使用结余资金支付公益性岗位人员工资及五险。</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（四）一般公共预算财政拨款基本支出决算情况说明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一般公共财政拨款基本支出674.94万元。其中：人员经费561.58万元，与2023年度相比，增加20.59万元，增长3.8%，主要原因是2024年本部门新招录两名参公人员。人员经费用途主要包括基本工资、津贴补贴、奖金、社会保障缴费等支出。公用经费113.35万元，与2023年度相比，增加43.39万元，增长62.0%，主要原因是2024年本部门新招录两名参公人员。公用经费用途主要包括办公费、邮电费、工会经费、公务用车运行维护费、其他商品服务支出等支出。</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（五）政府性基金预算收支决算情况说明</w:t>
      </w:r>
    </w:p>
    <w:p>
      <w:pPr>
        <w:pStyle w:val="14"/>
        <w:widowControl w:val="0"/>
        <w:autoSpaceDE w:val="0"/>
        <w:spacing w:line="560" w:lineRule="exact"/>
        <w:ind w:firstLine="64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本部门2024年度无政府性基金预算财政拨款收支。</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（六）国有资本经营预算财政拨款支出决算情况说明</w:t>
      </w:r>
    </w:p>
    <w:p>
      <w:pPr>
        <w:pStyle w:val="9"/>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本部门2024年度无国有资本经营预算财政拨款支出。</w:t>
      </w:r>
    </w:p>
    <w:p>
      <w:pPr>
        <w:pStyle w:val="15"/>
        <w:widowControl w:val="0"/>
        <w:autoSpaceDE w:val="0"/>
        <w:spacing w:before="0" w:beforeAutospacing="0" w:after="0" w:afterAutospacing="0" w:line="560" w:lineRule="exact"/>
        <w:ind w:firstLine="640" w:firstLineChars="200"/>
        <w:jc w:val="both"/>
        <w:rPr>
          <w:rStyle w:val="13"/>
          <w:rFonts w:ascii="Times New Roman" w:hAnsi="Times New Roman" w:eastAsia="方正黑体_GBK"/>
          <w:b w:val="0"/>
          <w:bCs/>
          <w:sz w:val="32"/>
          <w:szCs w:val="32"/>
          <w:shd w:val="clear" w:color="auto" w:fill="FFFFFF"/>
        </w:rPr>
      </w:pPr>
      <w:r>
        <w:rPr>
          <w:rStyle w:val="13"/>
          <w:rFonts w:ascii="Times New Roman" w:hAnsi="Times New Roman" w:eastAsia="方正黑体_GBK"/>
          <w:b w:val="0"/>
          <w:bCs/>
          <w:sz w:val="32"/>
          <w:szCs w:val="32"/>
          <w:shd w:val="clear" w:color="auto" w:fill="FFFFFF"/>
        </w:rPr>
        <w:t>三、财政拨款</w:t>
      </w:r>
      <w:r>
        <w:rPr>
          <w:rStyle w:val="13"/>
          <w:rFonts w:hint="eastAsia" w:ascii="Times New Roman" w:hAnsi="Times New Roman" w:eastAsia="方正黑体_GBK"/>
          <w:b w:val="0"/>
          <w:bCs/>
          <w:sz w:val="32"/>
          <w:szCs w:val="32"/>
          <w:shd w:val="clear" w:color="auto" w:fill="FFFFFF"/>
        </w:rPr>
        <w:t>“</w:t>
      </w:r>
      <w:r>
        <w:rPr>
          <w:rStyle w:val="13"/>
          <w:rFonts w:ascii="Times New Roman" w:hAnsi="Times New Roman" w:eastAsia="方正黑体_GBK"/>
          <w:b w:val="0"/>
          <w:bCs/>
          <w:sz w:val="32"/>
          <w:szCs w:val="32"/>
          <w:shd w:val="clear" w:color="auto" w:fill="FFFFFF"/>
        </w:rPr>
        <w:t>三公</w:t>
      </w:r>
      <w:r>
        <w:rPr>
          <w:rStyle w:val="13"/>
          <w:rFonts w:hint="eastAsia" w:ascii="Times New Roman" w:hAnsi="Times New Roman" w:eastAsia="方正黑体_GBK"/>
          <w:b w:val="0"/>
          <w:bCs/>
          <w:sz w:val="32"/>
          <w:szCs w:val="32"/>
          <w:shd w:val="clear" w:color="auto" w:fill="FFFFFF"/>
        </w:rPr>
        <w:t>”</w:t>
      </w:r>
      <w:r>
        <w:rPr>
          <w:rStyle w:val="13"/>
          <w:rFonts w:ascii="Times New Roman" w:hAnsi="Times New Roman" w:eastAsia="方正黑体_GBK"/>
          <w:b w:val="0"/>
          <w:bCs/>
          <w:sz w:val="32"/>
          <w:szCs w:val="32"/>
          <w:shd w:val="clear" w:color="auto" w:fill="FFFFFF"/>
        </w:rPr>
        <w:t>经费情况说明</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（一）</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三公</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经费支出总体情况说明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w:t>
      </w:r>
      <w:r>
        <w:rPr>
          <w:rFonts w:ascii="Times New Roman" w:hAnsi="Times New Roman" w:eastAsia="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三公</w:t>
      </w:r>
      <w:r>
        <w:rPr>
          <w:rFonts w:ascii="Times New Roman" w:hAnsi="Times New Roman" w:eastAsia="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经费支出共计3.10万元，较年初预算数减少2.60万元，下降45.6%，主要原因是2024年本部门发生公务用车运行维护费和公务接待费，实际接待费较预估接待人次、费用减少。较上年支出数增加1.75万元，增长129.6%，主要原因是本部门今年飞行检查、交叉检查、下乡检查医疗机构、督导参保等专项整治行动较多，导致公务用车运行维护费较上年支出数增加。</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（二）</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三公</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经费分项支出情况</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2024年度本部门因公出国（境）费用0.00万元，费用支出较年初预算数无增减。</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w:t>
      </w:r>
      <w:r>
        <w:rPr>
          <w:rFonts w:hint="default" w:ascii="方正仿宋_GBK" w:hAnsi="方正仿宋_GBK" w:eastAsia="方正仿宋_GBK" w:cs="方正仿宋_GBK"/>
          <w:sz w:val="32"/>
          <w:szCs w:val="32"/>
          <w:shd w:val="clear" w:color="auto" w:fill="FFFFFF"/>
        </w:rPr>
        <w:t>00万元。费用支出较年初预算数无增减。较上年支出数无增减。</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公务用车运行维护费2.70万元，主要用于公务用车油费、维修费、过路过桥费、保险费。费用支出较年初预算数无增减。较上年支出数增加1.70万元，增长170.0%，主要原因是本部门今年飞行检查、交叉检查、下乡检查医疗机构、督导参保等专项整治行动较多。</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公务接待费0.40万元，主要用于接待国家及市医保局调研。费用支出较年初预算数减少2.60万元，下降86.7%，主要原因是实际接待费较预估接待人次、费用减少。较上年支出数增加0.05万元，增长14.3%，主要原因是本年度接待人数较上年度增多。</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（三）</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三公</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经费实物量情况</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本部门因公出国（境）共计0个团组，0人；公务用车购置0辆，公务车保有量为1辆；国内公务接待1批次44人，其中：国内外事接待0批次，0人；国（境）外公务接待0批次，0人。2024年本部门人均接待费90.82元，车均购置费0万元，车均维护费2.70万元。</w:t>
      </w:r>
    </w:p>
    <w:p>
      <w:pPr>
        <w:pStyle w:val="15"/>
        <w:widowControl w:val="0"/>
        <w:autoSpaceDE w:val="0"/>
        <w:spacing w:before="0" w:beforeAutospacing="0" w:after="0" w:afterAutospacing="0" w:line="560" w:lineRule="exact"/>
        <w:ind w:firstLine="640" w:firstLineChars="200"/>
        <w:jc w:val="both"/>
        <w:rPr>
          <w:rStyle w:val="13"/>
          <w:rFonts w:ascii="Times New Roman" w:hAnsi="Times New Roman" w:eastAsia="方正黑体_GBK"/>
          <w:b w:val="0"/>
          <w:bCs/>
          <w:sz w:val="32"/>
          <w:szCs w:val="32"/>
          <w:shd w:val="clear" w:color="auto" w:fill="FFFFFF"/>
        </w:rPr>
      </w:pPr>
      <w:r>
        <w:rPr>
          <w:rStyle w:val="13"/>
          <w:rFonts w:ascii="Times New Roman" w:hAnsi="Times New Roman" w:eastAsia="方正黑体_GBK"/>
          <w:b w:val="0"/>
          <w:bCs/>
          <w:sz w:val="32"/>
          <w:szCs w:val="32"/>
          <w:shd w:val="clear" w:color="auto" w:fill="FFFFFF"/>
        </w:rPr>
        <w:t>四、其他需要说明的事项</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（一）财政拨款会议费、培训费和差旅费情况说明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highlight w:val="yellow"/>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本年度会议费支出1.45万元，与2023年度相比，增加0.25万元，增长20.8%，主要原因是医保政策改革，召开会议次数增多。本年度培训费支出7.15万元，与2023年度相比，增加6.72万元，增长1562.8%，主要原因是医保政策改革，召开培训次数增多。本年度差旅费支出25.78</w:t>
      </w:r>
      <w:r>
        <w:rPr>
          <w:rFonts w:hint="default" w:ascii="Times New Roman" w:hAnsi="Times New Roman" w:eastAsia="方正仿宋_GBK"/>
          <w:color w:val="000000" w:themeColor="text1"/>
          <w:sz w:val="32"/>
          <w:szCs w:val="32"/>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与2023年度相比，增加7.92万元，增长44.3%，主要原因是本部门今年飞行检查、交叉检查、下乡检查医疗机构、督导参保等专项整治行动较多。</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（二）机关运行经费情况说明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本部门机关运行经费支出113.35万元，机关运行经费主要用于开支办公费、印刷费、邮电费、差旅费、培训费等。机关运行经费较上年支出数增加43.39万元，增长62.0%，主要原因是医保基金监管力度进一步加大，参保筹资宣传形式更加多样化。</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（三）国有资产占用情况说明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（四）政府采购支出情况说明</w:t>
      </w:r>
    </w:p>
    <w:p>
      <w:pPr>
        <w:pStyle w:val="9"/>
        <w:widowControl w:val="0"/>
        <w:snapToGrid w:val="0"/>
        <w:spacing w:before="0" w:beforeAutospacing="0" w:after="0" w:afterAutospacing="0" w:line="560"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2024年度本部门政府采购支出总额0.50万元，其中：政府采购货物支出0.50万元、政府采购工程支出0.00万元、政府采购服务支出0.00万元。授予中小企业合同金额0.50</w:t>
      </w:r>
      <w:r>
        <w:rPr>
          <w:rFonts w:hint="default" w:ascii="Times New Roman" w:hAnsi="Times New Roman" w:eastAsia="方正仿宋_GBK"/>
          <w:color w:val="000000" w:themeColor="text1"/>
          <w:sz w:val="32"/>
          <w:szCs w:val="32"/>
          <w14:textFill>
            <w14:solidFill>
              <w14:schemeClr w14:val="tx1"/>
            </w14:solidFill>
          </w14:textFill>
        </w:rPr>
        <w:t>万</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元，占政府采购支出总额的100.0%，其中：授予小微企业合同金额0.50万元，占政府采购支出总额的100.0 %。主要用于采购打印纸。</w:t>
      </w:r>
    </w:p>
    <w:p>
      <w:pPr>
        <w:pStyle w:val="9"/>
        <w:widowControl w:val="0"/>
        <w:snapToGrid w:val="0"/>
        <w:spacing w:before="0" w:beforeAutospacing="0" w:after="0" w:afterAutospacing="0" w:line="560" w:lineRule="exact"/>
        <w:ind w:firstLine="640" w:firstLineChars="200"/>
        <w:jc w:val="both"/>
        <w:rPr>
          <w:rStyle w:val="13"/>
          <w:rFonts w:hint="default" w:ascii="Times New Roman" w:hAnsi="Times New Roman" w:eastAsia="方正黑体_GBK"/>
          <w:b w:val="0"/>
          <w:bCs/>
          <w:sz w:val="32"/>
          <w:szCs w:val="32"/>
          <w:shd w:val="clear" w:color="auto" w:fill="FFFFFF"/>
        </w:rPr>
      </w:pPr>
      <w:r>
        <w:rPr>
          <w:rStyle w:val="13"/>
          <w:rFonts w:hint="default" w:ascii="Times New Roman" w:hAnsi="Times New Roman" w:eastAsia="方正黑体_GBK"/>
          <w:b w:val="0"/>
          <w:bCs/>
          <w:sz w:val="32"/>
          <w:szCs w:val="32"/>
          <w:shd w:val="clear" w:color="auto" w:fill="FFFFFF"/>
        </w:rPr>
        <w:t>五、2024年度预算绩效管理情况说明</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（一）部门自评情况</w:t>
      </w:r>
    </w:p>
    <w:p>
      <w:pPr>
        <w:pStyle w:val="15"/>
        <w:widowControl w:val="0"/>
        <w:autoSpaceDE w:val="0"/>
        <w:spacing w:before="0" w:beforeAutospacing="0" w:after="0" w:afterAutospacing="0" w:line="56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根据预算绩效管理要求，我部门对部门整体和1</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sz w:val="32"/>
          <w:szCs w:val="32"/>
          <w:shd w:val="clear" w:color="auto" w:fill="FFFFFF"/>
        </w:rPr>
        <w:t>个二级项目开展了绩效自评，涉及财政拨款项目支出资金</w:t>
      </w:r>
      <w:r>
        <w:rPr>
          <w:rFonts w:hint="eastAsia" w:ascii="Times New Roman" w:hAnsi="Times New Roman" w:eastAsia="方正仿宋_GBK"/>
          <w:sz w:val="32"/>
          <w:szCs w:val="32"/>
          <w:shd w:val="clear" w:color="auto" w:fill="FFFFFF"/>
          <w:lang w:val="en-US" w:eastAsia="zh-CN"/>
        </w:rPr>
        <w:t>5848.09</w:t>
      </w:r>
      <w:r>
        <w:rPr>
          <w:rFonts w:ascii="Times New Roman" w:hAnsi="Times New Roman" w:eastAsia="方正仿宋_GBK"/>
          <w:sz w:val="32"/>
          <w:szCs w:val="32"/>
          <w:shd w:val="clear" w:color="auto" w:fill="FFFFFF"/>
        </w:rPr>
        <w:t>万元。部门绩效自评表见附件。</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（二）部门绩效评价情况</w:t>
      </w:r>
    </w:p>
    <w:p>
      <w:pPr>
        <w:pStyle w:val="19"/>
        <w:widowControl w:val="0"/>
        <w:autoSpaceDE w:val="0"/>
        <w:spacing w:line="560" w:lineRule="exact"/>
        <w:ind w:firstLine="64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我部门对七类人群参保财政资助开展了绩效评价，涉及财政拨款项目资金10.18万元，评价得分100分，评价等次为优，未发现问题；</w:t>
      </w:r>
      <w:bookmarkStart w:id="0" w:name="_GoBack"/>
      <w:bookmarkEnd w:id="0"/>
      <w:r>
        <w:rPr>
          <w:rFonts w:hint="default" w:ascii="Times New Roman" w:hAnsi="Times New Roman" w:eastAsia="方正仿宋_GBK"/>
          <w:sz w:val="32"/>
          <w:szCs w:val="32"/>
          <w:shd w:val="clear" w:color="auto" w:fill="FFFFFF"/>
        </w:rPr>
        <w:t>对农村监测对象</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一事一议</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特殊医疗救助开展了绩效评价，涉及财政拨款项目资金96.15万元，评价等次为优，未发现问题；对医保局临骋人员费用开展了绩效评价，涉及财政拨款项目资金10.8万元，评价得分100分，评价等次为优，未发现问题；对单双解市级参保配套资金开展了绩效评价，涉及财政拨款项目资金17万元，评价得分100分，评价等次为优，未发现问题；对单双解人员参保配套资金开展了绩效评价，涉及财政拨款项目资金17万元，评价得分100分，评价等次为优，未发现问题等；对医疗救助财政配套资金开展了绩效评价，涉及财政拨款项目资金259.35万元，评价得分100分，评价等次为优，未发现问题；对离休人员医疗费开展了绩效评价，涉及财政拨款项目资金37.16万元，评价得分100分，评价等次为优，未发现问题；对医疗服务与保障能力提升开展了绩效评价，涉及财政拨款项目资金253.82万元，评价得分99.64分，评价等次为优，未发现问题；对医疗救助（市级）开展了绩效评价，涉及财政拨款项目资金1993万元，评价得分100分，评价等次为优，未发现问题；对市级社会保障转移支付开展了绩效评价，涉及财政拨款项目资金23.64万元，评价得分94.73分，评价等次为优，未发现问题；对城乡居民基本医疗保险工作费开展了绩效评价，涉及财政拨款项目资金29万元，评价得分100分，评价等次为优，未发现问题；对公务员医疗开展了绩效评价，涉及财政拨款项目资金1991万元，评价得分100分，评价等次为优，未发现问题；对医疗救助（中央）开展了绩效评价，涉及财政拨款项目资金1110万元，评价得分100分，评价等次为优，未发现问题。</w:t>
      </w:r>
    </w:p>
    <w:p>
      <w:pPr>
        <w:pStyle w:val="14"/>
        <w:widowControl w:val="0"/>
        <w:autoSpaceDE w:val="0"/>
        <w:spacing w:line="560" w:lineRule="exact"/>
        <w:ind w:firstLine="640"/>
        <w:jc w:val="both"/>
        <w:rPr>
          <w:rFonts w:ascii="Times New Roman" w:hAnsi="Times New Roman" w:eastAsia="方正楷体_GBK"/>
          <w:color w:val="000000" w:themeColor="text1"/>
          <w:sz w:val="32"/>
          <w:szCs w:val="32"/>
          <w:shd w:val="clear" w:color="auto" w:fill="FFFFFF"/>
          <w14:textFill>
            <w14:solidFill>
              <w14:schemeClr w14:val="tx1"/>
            </w14:solidFill>
          </w14:textFill>
        </w:rPr>
      </w:pPr>
      <w:r>
        <w:rPr>
          <w:rFonts w:ascii="Times New Roman" w:hAnsi="Times New Roman" w:eastAsia="方正楷体_GBK"/>
          <w:color w:val="000000" w:themeColor="text1"/>
          <w:sz w:val="32"/>
          <w:szCs w:val="32"/>
          <w:shd w:val="clear" w:color="auto" w:fill="FFFFFF"/>
          <w14:textFill>
            <w14:solidFill>
              <w14:schemeClr w14:val="tx1"/>
            </w14:solidFill>
          </w14:textFill>
        </w:rPr>
        <w:t>（三）财政绩效评价情况</w:t>
      </w:r>
    </w:p>
    <w:p>
      <w:pPr>
        <w:pStyle w:val="15"/>
        <w:widowControl w:val="0"/>
        <w:autoSpaceDE w:val="0"/>
        <w:spacing w:before="0" w:beforeAutospacing="0" w:after="0" w:afterAutospacing="0" w:line="56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市财政局未委托第三方对我部门开展绩效评价。</w:t>
      </w:r>
    </w:p>
    <w:p>
      <w:pPr>
        <w:pStyle w:val="15"/>
        <w:widowControl w:val="0"/>
        <w:autoSpaceDE w:val="0"/>
        <w:spacing w:before="0" w:beforeAutospacing="0" w:after="0" w:afterAutospacing="0" w:line="560" w:lineRule="exact"/>
        <w:ind w:firstLine="640" w:firstLineChars="200"/>
        <w:jc w:val="both"/>
        <w:rPr>
          <w:rFonts w:ascii="Times New Roman" w:hAnsi="Times New Roman" w:eastAsia="方正黑体_GBK"/>
          <w:bCs/>
          <w:sz w:val="32"/>
          <w:szCs w:val="32"/>
        </w:rPr>
      </w:pPr>
      <w:r>
        <w:rPr>
          <w:rStyle w:val="13"/>
          <w:rFonts w:ascii="Times New Roman" w:hAnsi="Times New Roman" w:eastAsia="方正黑体_GBK"/>
          <w:b w:val="0"/>
          <w:bCs/>
          <w:sz w:val="32"/>
          <w:szCs w:val="32"/>
          <w:shd w:val="clear" w:color="auto" w:fill="FFFFFF"/>
        </w:rPr>
        <w:t>六、专业名词解释</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（四）其他收入：</w:t>
      </w:r>
      <w:r>
        <w:rPr>
          <w:rFonts w:ascii="Times New Roman" w:hAnsi="Times New Roman" w:eastAsia="方正仿宋_GBK"/>
          <w:sz w:val="32"/>
          <w:szCs w:val="32"/>
          <w:shd w:val="clear" w:color="auto" w:fill="FFFFFF"/>
        </w:rPr>
        <w:t>指单位取得的除</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财政拨款收入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事业收入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经营收入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（五）使用非财政拨款结余（含专用结余）：</w:t>
      </w:r>
      <w:r>
        <w:rPr>
          <w:rFonts w:ascii="Times New Roman" w:hAnsi="Times New Roman" w:eastAsia="方正仿宋_GBK"/>
          <w:sz w:val="32"/>
          <w:szCs w:val="32"/>
          <w:shd w:val="clear" w:color="auto" w:fill="FFFFFF"/>
        </w:rPr>
        <w:t>指单位在当年的</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财政拨款收入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事业收入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经营收入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其他收入</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等不足以安排当年支出的情况下，使用以前年度积累的非财政拨款结余弥补本年度收支缺口的资金。</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工资福利支出</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和</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对个人和家庭的补助</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；公用经费指政府收支分类经济科目中除</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工资福利支出</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和</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对个人和家庭的补助</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外的其他支出。</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（十二）</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三公</w:t>
      </w:r>
      <w:r>
        <w:rPr>
          <w:rFonts w:hint="eastAsia" w:ascii="Times New Roman" w:hAnsi="Times New Roman" w:eastAsia="方正楷体_GBK"/>
          <w:color w:val="000000" w:themeColor="text1"/>
          <w:sz w:val="32"/>
          <w:szCs w:val="32"/>
          <w:shd w:val="clear" w:color="auto" w:fill="FFFFFF"/>
          <w14:textFill>
            <w14:solidFill>
              <w14:schemeClr w14:val="tx1"/>
            </w14:solidFill>
          </w14:textFill>
        </w:rPr>
        <w:t>”</w:t>
      </w:r>
      <w:r>
        <w:rPr>
          <w:rFonts w:ascii="Times New Roman" w:hAnsi="Times New Roman" w:eastAsia="方正楷体_GBK"/>
          <w:color w:val="000000" w:themeColor="text1"/>
          <w:sz w:val="32"/>
          <w:szCs w:val="32"/>
          <w:shd w:val="clear" w:color="auto" w:fill="FFFFFF"/>
          <w14:textFill>
            <w14:solidFill>
              <w14:schemeClr w14:val="tx1"/>
            </w14:solidFill>
          </w14:textFill>
        </w:rPr>
        <w:t>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楷体_GBK"/>
          <w:color w:val="000000" w:themeColor="text1"/>
          <w:sz w:val="32"/>
          <w:szCs w:val="32"/>
          <w:shd w:val="clear" w:color="auto" w:fill="FFFFFF"/>
          <w14:textFill>
            <w14:solidFill>
              <w14:schemeClr w14:val="tx1"/>
            </w14:solidFill>
          </w14:textFill>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widowControl w:val="0"/>
        <w:autoSpaceDE w:val="0"/>
        <w:spacing w:before="0" w:beforeAutospacing="0" w:after="0" w:afterAutospacing="0" w:line="560" w:lineRule="exact"/>
        <w:ind w:firstLine="640" w:firstLineChars="200"/>
        <w:jc w:val="both"/>
        <w:rPr>
          <w:rStyle w:val="13"/>
          <w:rFonts w:ascii="Times New Roman" w:hAnsi="Times New Roman" w:eastAsia="方正黑体_GBK"/>
          <w:b w:val="0"/>
          <w:bCs/>
          <w:sz w:val="32"/>
          <w:szCs w:val="32"/>
          <w:shd w:val="clear" w:color="auto" w:fill="FFFFFF"/>
        </w:rPr>
      </w:pPr>
      <w:r>
        <w:rPr>
          <w:rStyle w:val="13"/>
          <w:rFonts w:ascii="Times New Roman" w:hAnsi="Times New Roman" w:eastAsia="方正黑体_GBK"/>
          <w:b w:val="0"/>
          <w:bCs/>
          <w:sz w:val="32"/>
          <w:szCs w:val="32"/>
          <w:shd w:val="clear" w:color="auto" w:fill="FFFFFF"/>
        </w:rPr>
        <w:t>七、决算公开联系方式及信息反馈渠道</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rPr>
        <w:t>部门</w:t>
      </w:r>
      <w:r>
        <w:rPr>
          <w:rFonts w:ascii="Times New Roman" w:hAnsi="Times New Roman" w:eastAsia="方正仿宋_GBK"/>
          <w:sz w:val="32"/>
          <w:szCs w:val="32"/>
          <w:shd w:val="clear" w:color="auto" w:fill="FFFFFF"/>
        </w:rPr>
        <w:t>决算公开信息反馈和联系方式：</w:t>
      </w:r>
    </w:p>
    <w:p>
      <w:pPr>
        <w:pStyle w:val="15"/>
        <w:widowControl w:val="0"/>
        <w:spacing w:before="0" w:beforeAutospacing="0" w:after="0" w:afterAutospacing="0" w:line="56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李云淑023-81858113</w:t>
      </w:r>
    </w:p>
    <w:p>
      <w:pPr>
        <w:pStyle w:val="14"/>
        <w:widowControl w:val="0"/>
        <w:autoSpaceDE w:val="0"/>
        <w:spacing w:line="560" w:lineRule="exact"/>
        <w:ind w:firstLine="643"/>
        <w:jc w:val="both"/>
        <w:rPr>
          <w:rStyle w:val="13"/>
          <w:rFonts w:ascii="方正仿宋_GBK" w:hAnsi="方正仿宋_GBK" w:eastAsia="方正仿宋_GBK" w:cs="方正仿宋_GBK"/>
          <w:sz w:val="32"/>
          <w:szCs w:val="32"/>
          <w:shd w:val="clear" w:color="auto" w:fill="FFFF00"/>
        </w:rPr>
        <w:sectPr>
          <w:headerReference r:id="rId3" w:type="default"/>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丰都县医疗保障局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6,491.75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6,395.74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6,491.75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6,523.03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6,523.03</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6,523.03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丰都县医疗保障局</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6,491.75</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6,491.75</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6,364.46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6,364.46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2,066.19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2,066.19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478.33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478.33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丰都县医疗保障局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6,523.03</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674.94</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5,848.09</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6,395.74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547.65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5,848.09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2,066.19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2,028.16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826.88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509.62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317.26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509.62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509.62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丰都县医疗保障局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6,491.75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6,395.74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6,395.74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6,491.75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6,523.03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6,523.03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6,523.03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6,523.03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6,523.03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丰都县医疗保障局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6,523.03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674.94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5,848.09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6,395.74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547.65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5,848.09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2,066.19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2,028.16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64.48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3,502.67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3,362.35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509.62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317.26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509.62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509.62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丰都县医疗保障局</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561.58</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丰都县医疗保障局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丰都县医疗保障局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丰都县医疗保障局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113.35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40.13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73.22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isplayBackgroundShape w:val="1"/>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A3237"/>
    <w:rsid w:val="004C12FF"/>
    <w:rsid w:val="004D0390"/>
    <w:rsid w:val="00550ABE"/>
    <w:rsid w:val="00595523"/>
    <w:rsid w:val="005B023C"/>
    <w:rsid w:val="00600322"/>
    <w:rsid w:val="006137D7"/>
    <w:rsid w:val="00634FA8"/>
    <w:rsid w:val="0063613A"/>
    <w:rsid w:val="0068170B"/>
    <w:rsid w:val="006E2034"/>
    <w:rsid w:val="00732392"/>
    <w:rsid w:val="00792285"/>
    <w:rsid w:val="007A0D2E"/>
    <w:rsid w:val="007A3314"/>
    <w:rsid w:val="007B419D"/>
    <w:rsid w:val="007C5C5B"/>
    <w:rsid w:val="007D0D7D"/>
    <w:rsid w:val="00810F13"/>
    <w:rsid w:val="00826B47"/>
    <w:rsid w:val="00841C34"/>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8E2EB6"/>
    <w:rsid w:val="03077B2E"/>
    <w:rsid w:val="03B87EA0"/>
    <w:rsid w:val="03E3214F"/>
    <w:rsid w:val="044C50BA"/>
    <w:rsid w:val="04934124"/>
    <w:rsid w:val="05BC6D49"/>
    <w:rsid w:val="06194FF1"/>
    <w:rsid w:val="06A2550B"/>
    <w:rsid w:val="06F80EE2"/>
    <w:rsid w:val="07001CCA"/>
    <w:rsid w:val="075678DB"/>
    <w:rsid w:val="079D7CC7"/>
    <w:rsid w:val="08051BCA"/>
    <w:rsid w:val="086C12F4"/>
    <w:rsid w:val="08BA052C"/>
    <w:rsid w:val="08DB07BA"/>
    <w:rsid w:val="0969353F"/>
    <w:rsid w:val="098305D0"/>
    <w:rsid w:val="098A0877"/>
    <w:rsid w:val="09BB60A9"/>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9B4F8B"/>
    <w:rsid w:val="11ED0F98"/>
    <w:rsid w:val="11F03528"/>
    <w:rsid w:val="12C921C4"/>
    <w:rsid w:val="12F52ECF"/>
    <w:rsid w:val="13871C70"/>
    <w:rsid w:val="13A71CB4"/>
    <w:rsid w:val="13AF1D43"/>
    <w:rsid w:val="13CE1647"/>
    <w:rsid w:val="13DA0C25"/>
    <w:rsid w:val="13FD55AB"/>
    <w:rsid w:val="14200702"/>
    <w:rsid w:val="142474B9"/>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1FDE70B6"/>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70B1F"/>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1E5E4A"/>
    <w:rsid w:val="383C3F15"/>
    <w:rsid w:val="38BE4696"/>
    <w:rsid w:val="39367615"/>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3BC4553"/>
    <w:rsid w:val="44494994"/>
    <w:rsid w:val="44C37687"/>
    <w:rsid w:val="45CB699A"/>
    <w:rsid w:val="465B470D"/>
    <w:rsid w:val="469D6AD4"/>
    <w:rsid w:val="471E6C84"/>
    <w:rsid w:val="4748792B"/>
    <w:rsid w:val="475D719D"/>
    <w:rsid w:val="47674801"/>
    <w:rsid w:val="47B57E4D"/>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DB3A5A"/>
    <w:rsid w:val="5CF66BF3"/>
    <w:rsid w:val="5D290C69"/>
    <w:rsid w:val="5E111E2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5745A9"/>
    <w:rsid w:val="6883293E"/>
    <w:rsid w:val="688412AD"/>
    <w:rsid w:val="68EB1B71"/>
    <w:rsid w:val="69475C96"/>
    <w:rsid w:val="6AAD2300"/>
    <w:rsid w:val="6B014FD4"/>
    <w:rsid w:val="6B474EF5"/>
    <w:rsid w:val="6BBF53FD"/>
    <w:rsid w:val="6C560CAE"/>
    <w:rsid w:val="6C576495"/>
    <w:rsid w:val="6D903FF5"/>
    <w:rsid w:val="6DA955B8"/>
    <w:rsid w:val="6DE346AB"/>
    <w:rsid w:val="6DE5391A"/>
    <w:rsid w:val="6EFD1324"/>
    <w:rsid w:val="6F5A53AC"/>
    <w:rsid w:val="6FAC003D"/>
    <w:rsid w:val="6FE55E12"/>
    <w:rsid w:val="6FFB2E76"/>
    <w:rsid w:val="7089584F"/>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460DAF"/>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2458</Words>
  <Characters>14012</Characters>
  <Lines>116</Lines>
  <Paragraphs>32</Paragraphs>
  <TotalTime>39</TotalTime>
  <ScaleCrop>false</ScaleCrop>
  <LinksUpToDate>false</LinksUpToDate>
  <CharactersWithSpaces>16438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2025-09-16T01:26:01Z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A81F262DCECD4900A1C69590774AD083_13</vt:lpwstr>
  </property>
  <property fmtid="{D5CDD505-2E9C-101B-9397-08002B2CF9AE}" pid="4" name="KSOTemplateDocerSaveRecord">
    <vt:lpwstr>eyJoZGlkIjoiM2Q0ODEzMGMwMDU3M2E0ZGY1M2VhMTUzMjc3YWYwOWMiLCJ1c2VySWQiOiIxMTMxNjQ0NTQyIn0=</vt:lpwstr>
  </property>
</Properties>
</file>