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丰都县医疗保障局（本级）</w:t>
      </w:r>
    </w:p>
    <w:p>
      <w:pPr>
        <w:pStyle w:val="9"/>
        <w:widowControl w:val="0"/>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widowControl w:val="0"/>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p>
    <w:p>
      <w:pPr>
        <w:widowControl w:val="0"/>
        <w:spacing w:line="560" w:lineRule="exact"/>
        <w:rPr>
          <w:rFonts w:hint="default" w:ascii="Times New Roman" w:hAnsi="Times New Roman" w:eastAsia="方正黑体_GBK"/>
          <w:bCs/>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bCs/>
          <w:color w:val="000000" w:themeColor="text1"/>
          <w:sz w:val="32"/>
          <w:szCs w:val="32"/>
          <w:shd w:val="clear" w:color="auto" w:fill="FFFFFF"/>
          <w14:textFill>
            <w14:solidFill>
              <w14:schemeClr w14:val="tx1"/>
            </w14:solidFill>
          </w14:textFill>
        </w:rPr>
        <w:t>一、</w:t>
      </w:r>
      <w:r>
        <w:rPr>
          <w:rStyle w:val="13"/>
          <w:rFonts w:hint="default" w:ascii="Times New Roman" w:hAnsi="Times New Roman" w:eastAsia="方正黑体_GBK"/>
          <w:b w:val="0"/>
          <w:bCs/>
          <w:sz w:val="32"/>
          <w:szCs w:val="32"/>
          <w:shd w:val="clear" w:color="auto" w:fill="FFFFFF"/>
        </w:rPr>
        <w:t>单位基本</w:t>
      </w:r>
      <w:r>
        <w:rPr>
          <w:rFonts w:hint="default" w:ascii="Times New Roman" w:hAnsi="Times New Roman" w:eastAsia="方正黑体_GBK"/>
          <w:bCs/>
          <w:color w:val="000000" w:themeColor="text1"/>
          <w:sz w:val="32"/>
          <w:szCs w:val="32"/>
          <w:shd w:val="clear" w:color="auto" w:fill="FFFFFF"/>
          <w14:textFill>
            <w14:solidFill>
              <w14:schemeClr w14:val="tx1"/>
            </w14:solidFill>
          </w14:textFill>
        </w:rPr>
        <w:t>情况</w:t>
      </w:r>
    </w:p>
    <w:p>
      <w:pPr>
        <w:widowControl w:val="0"/>
        <w:spacing w:line="560" w:lineRule="exact"/>
        <w:ind w:firstLine="640" w:firstLineChars="200"/>
        <w:rPr>
          <w:rFonts w:hint="default" w:ascii="Times New Roman" w:hAnsi="Times New Roman" w:eastAsia="方正楷体_GBK"/>
          <w:bCs/>
          <w:sz w:val="32"/>
          <w:szCs w:val="32"/>
        </w:rPr>
      </w:pPr>
      <w:r>
        <w:rPr>
          <w:rStyle w:val="13"/>
          <w:rFonts w:hint="default" w:ascii="Times New Roman" w:hAnsi="Times New Roman" w:eastAsia="方正楷体_GBK"/>
          <w:b w:val="0"/>
          <w:bCs/>
          <w:sz w:val="32"/>
          <w:szCs w:val="32"/>
          <w:shd w:val="clear" w:color="auto" w:fill="FFFFFF"/>
        </w:rPr>
        <w:t>（一）职能职责</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1.贯彻执行国家和重庆市医疗保险、生育保险、医疗救助等医疗保障制度的法律法规、政策、规章、规划和标准。拟订本县相关规划、政策措施、标准并组织实施。</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2.贯彻执行重庆市医疗保障基金监督管理办法，承担医疗保障基金安全防控监管责任，推进医疗保障基金支付方式改革。</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3.贯彻执行重庆市医疗保障筹资和待遇政策；贯彻推进重庆市长期护理保险制度。</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4.贯彻实施药品、医用耗材、医疗服务项目、医疗服务设施等医保目录和支付标准，建立动态调整机制。贯彻执行医保目录准入地方谈判规则。</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5.贯彻执行药品、医用耗材价格和医疗服务项目、医疗服务设施收费等政策。负责县管政府定价的医保相关医疗服务价格合理确定和动态调整工作。监督管理药品、医用耗材价格和医疗服务项目、医疗服务设施收费标准执行。贯彻执行重庆市药品、医用耗材的招标采购政策。</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6.负责组织实施定点医药机构协议和支付管理办法，建立健全医疗保障信用评价和信息披露制度，监督管理纳入医保范围内的医疗服务行为和医疗费用，依法查处医疗保障领域违法违规行为。</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7.负责医疗保障经办管理，公共服务体系和信息化建设。负责落实异地就医管理和费用结算政策。建立健全医疗保障关系转移接续制度。</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8.负责局机关和所属单位的安全监管、信访稳定和医疗保障扶贫工作。</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9.完成县委和县政府交办的其他任务。</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职能转变。丰都县医疗保障局要认真落实城乡居民基本医疗保险和大病保险相关制度，推进落实覆盖全民、城乡统筹的多层次医疗保障体系，不断提高医疗保障水平，确保医保资金合理使用、安全可控，推进医疗、医保、医药</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三医联动</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改革，更好保障人民群众就医需求、减轻医药费用负担。</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与有关部门的职责分工。丰都县医疗保障局要建立与丰都县发展和改革委员会、丰都县卫生健康委员会、丰都县市场监督管理局、丰都县税务局等部门的沟通协商机制，加强制度、政策衔接，协同推进改革，提高医疗资源使用效率和医疗保障水平。</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楷体_GBK"/>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olor w:val="000000" w:themeColor="text1"/>
          <w:sz w:val="32"/>
          <w:szCs w:val="32"/>
          <w:shd w:val="clear" w:color="auto" w:fill="FFFFFF"/>
          <w14:textFill>
            <w14:solidFill>
              <w14:schemeClr w14:val="tx1"/>
            </w14:solidFill>
          </w14:textFill>
        </w:rPr>
        <w:t>（二）机构设置</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丰都县医疗保障局设下列3个内设机构：</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办公室。负责机关日常运转，承担党群、安全、保密、信访、人事编制、机要、信息、宣传、档案、政务公开、议提案办理、后勤保障等工作。推进医疗保障信息化建设，承担医疗保障统计，机关和所属单位财政预决算、财务、内部审计，医疗保障基金的管理、支付、会计核算工作。</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医药服务管理科。负责医疗保障参保筹资和待遇、医疗救助、大病保险和各项补充保险的管理工作。负责长期护理保险的管理工作。负责县管政府定价的医保相关医疗服务价格合理确定和动态调整工作。负责医保目录的贯彻实施和管理工作。负责医疗保障关系转移接续管理工作。负责本县定点医药机构、异地就医、医疗保障支付方式改革的管理工作。负责贯彻执行药品、医用耗材的招标采购政策。负责医疗保障扶贫工作。</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综合监管科。拟订全县医疗保障事业发展规划并组织实施。贯彻落实医疗保障基金监督管理办法，负责医疗保障基金的监督管理工作，建立健全医疗保障基金安全防控机制、医疗保障信用评价体系和信息披露制度。负责监督管理药品、医用耗材价格和医疗服务项目、医疗服务设施收费标准执行。负责监督管理纳入医保支付范围的医疗服务行为和医疗费用，依法查处医疗保障领域违法违规行为。负责医疗保障政策法规宣传及本单位行政执法监督、行政应诉等法律事务工作。</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黑体_GBK"/>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olor w:val="000000" w:themeColor="text1"/>
          <w:sz w:val="32"/>
          <w:szCs w:val="32"/>
          <w:shd w:val="clear" w:color="auto" w:fill="FFFFFF"/>
          <w14:textFill>
            <w14:solidFill>
              <w14:schemeClr w14:val="tx1"/>
            </w14:solidFill>
          </w14:textFill>
        </w:rPr>
        <w:t>二、单位决算收支情况说明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楷体_GBK"/>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olor w:val="000000" w:themeColor="text1"/>
          <w:sz w:val="32"/>
          <w:szCs w:val="32"/>
          <w:shd w:val="clear" w:color="auto" w:fill="FFFFFF"/>
          <w14:textFill>
            <w14:solidFill>
              <w14:schemeClr w14:val="tx1"/>
            </w14:solidFill>
          </w14:textFill>
        </w:rPr>
        <w:t>（一）收入支出决算总体情况说明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2024年度收、支总计均为6045.31万元。收、支与2023年度相比，减少908.00万元，下降13.1%，主要原因是公务员医疗费、离休人员医疗费、医疗救助项目支出较上年减少。</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b/>
          <w:bCs/>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收入合计6014.03万元，与2023年度相比，减少753.98万元，下降11.1%，主要原因是公务员医疗费、离休人员医疗费、医疗救助项目支出较上年减少。其中：财政拨款收入6014.03万元，占100.0%；事业收入0.00万元，占0.0%；经营收入0.00万元，占0.0%；其他收入0.00万元，占0.0%。此外，使用非财政拨款结余（含专用结余）0.00万元，年初结转和结余31.28万元。</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支出合计6045.31万元，与2023年度相比，减少876.71万元，下降12.7%，主要原因是公务员医疗费、离休人员医疗费、医疗救助项目支出较上年减少。其中：基本支出197.22万元，占3.3%；项目支出5848.09万元，占96.7%；经营支出</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万元，占0.0%。此外，结余分配0.00万元。</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 xml:space="preserve">2024年度年末结转和结余0.00万元，与2023年度相比，减少31.28万元，下降100.0%，主要原因是本年度使用结余资金支付公益性岗位人员工资及五险。 </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（二）财政拨款收入支出决算总体情况说明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2024年度财政拨款收、支总计均为6045.31万元。与2023年度相比，财政拨款收、支总计各减少908.00万元，下降13.1%。主要原因是公务员医疗费、离休人员医疗费、医疗救助项目支出较上年减少。</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（三）一般公共预算财政拨款收入支出决算情况说明</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一般公共预算财政拨款收入6014.03万元，与2023年度相比，减少753.98万元，下降11.1%。主要原因是公务员医疗费、离休人员医疗费、医疗救助项目收入较上年减少。较年初预算数减少176.83万元，下降2.9%。主要原因是是公务员医疗费、离休人员医疗费、医疗救助项目预算较上年减少。此外，年初财政拨款结转和结余31.28万元。</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一般公共预算财政拨款支出6045.31万元，与2023年度相比，减少876.71万元，下降12.7%。主要原因是公务员医疗费、离休人员医疗费、医疗救助项目支出较上年减少。较年初预算数减少145.55万元，下降2.4%。主要原因是是公务员医疗费、离休人员医疗费、医疗救助项目预算较上年减少。</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一般公共预算财政拨款支出主要用途如下：</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（1）社会保障和就业支出28.03万元，占0.5%，较年初预算数增加2.52万元，增长9.9%，主要原因是社保等缴费基数上调。</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（2）卫生健康支出6006.64万元，占99.4%，较年初预算数减少148.07万元，下降2.4%，主要原因是医疗救助项目支出较上年减少。</w:t>
      </w:r>
    </w:p>
    <w:p>
      <w:pPr>
        <w:widowControl w:val="0"/>
        <w:spacing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w:t>
      </w:r>
      <w:r>
        <w:rPr>
          <w:rFonts w:hint="default" w:ascii="Times New Roman" w:hAnsi="Times New Roman" w:eastAsia="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10.64万元，占0.2%，较年初预算数无增减。</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2024年度年末一般公共预算财政拨款结转和结余0.00万元，与2023年度相比，减少31.28万元，下降100.0%，主要原因是本年度使用结余资金支付公益性岗位人员工资及五险。</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（四）一般公共预算财政拨款基本支出决算情况说明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2024年度一般公共财政拨款基本支出197.22万元。</w:t>
      </w:r>
    </w:p>
    <w:p>
      <w:pPr>
        <w:pStyle w:val="9"/>
        <w:widowControl w:val="0"/>
        <w:snapToGrid w:val="0"/>
        <w:spacing w:before="0" w:beforeAutospacing="0" w:after="0" w:afterAutospacing="0" w:line="560" w:lineRule="exact"/>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其中：</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人员经费157.09万元，与2023年度相比，减少4.94万元，下降3.1%，主要原因是2023年起医疗保障事务中心独立建账核算，23年医保局人员经费开支少。人员经费用途主要包括基本工资、津贴补贴、奖金、社会保障缴费等支出。</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公用经费40.13万元，与2023年度相比，增加37.39万元，增长1364.6%，主要原因是2023年起医疗保障事务中心独立建账核算，23年医保局公用经费开支少。公用经费用途主要包括办公费、邮电费、工会经费、手续费、其他商品服务支出等支出。</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（五）政府性基金预算收支决算情况说明</w:t>
      </w:r>
    </w:p>
    <w:p>
      <w:pPr>
        <w:pStyle w:val="14"/>
        <w:widowControl w:val="0"/>
        <w:autoSpaceDE w:val="0"/>
        <w:spacing w:line="560" w:lineRule="exact"/>
        <w:ind w:firstLine="64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本单位2024年度无政府性基金预算财政拨款收支。</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（六）国有资本经营预算财政拨款支出决算情况说明</w:t>
      </w:r>
    </w:p>
    <w:p>
      <w:pPr>
        <w:spacing w:line="560" w:lineRule="exact"/>
        <w:ind w:firstLine="640" w:firstLineChars="200"/>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本单位2024年度无国有资本经营预算财政拨款支出。</w:t>
      </w:r>
    </w:p>
    <w:p>
      <w:pPr>
        <w:spacing w:line="560"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三、财政拨款</w:t>
      </w:r>
      <w:r>
        <w:rPr>
          <w:rFonts w:ascii="Times New Roman" w:hAnsi="Times New Roman" w:eastAsia="方正黑体_GBK"/>
          <w:sz w:val="32"/>
          <w:szCs w:val="32"/>
        </w:rPr>
        <w:t>“</w:t>
      </w:r>
      <w:r>
        <w:rPr>
          <w:rFonts w:hint="default" w:ascii="Times New Roman" w:hAnsi="Times New Roman" w:eastAsia="方正黑体_GBK"/>
          <w:sz w:val="32"/>
          <w:szCs w:val="32"/>
        </w:rPr>
        <w:t>三公</w:t>
      </w:r>
      <w:r>
        <w:rPr>
          <w:rFonts w:ascii="Times New Roman" w:hAnsi="Times New Roman" w:eastAsia="方正黑体_GBK"/>
          <w:sz w:val="32"/>
          <w:szCs w:val="32"/>
        </w:rPr>
        <w:t>”</w:t>
      </w:r>
      <w:r>
        <w:rPr>
          <w:rFonts w:hint="default" w:ascii="Times New Roman" w:hAnsi="Times New Roman" w:eastAsia="方正黑体_GBK"/>
          <w:sz w:val="32"/>
          <w:szCs w:val="32"/>
        </w:rPr>
        <w:t>经费情况说明</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经费支出总体情况说明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三公</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经费支出共计0.00万元，较年初预算数无增减，较上年支出数减少1.00万元，下降100.0%，主要原因是2024年度本单位公务车划转至医保中心，本单位无公务用车运行维护费。</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经费分项支出情况</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2024年度本部门因公出国（境）费用0.00万元，费用支出较年初预算数无增减。</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00万元。费用支出较年初预算数无增减。较上年支出数无增减。</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公务用车运行维护费0.00万元，费用支出较年初预算数无增减，较上年支出数减少1.00万元，下降100.0%，主要原因是2024年度本单位公务车划转至医保中心，本单位无公务用车运行维护费。</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公务接待费0.00万元，费用支出较年初预算数无增减，较上年支出数无增减。</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经费实物量情况</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四、其他需要说明的事项</w:t>
      </w:r>
    </w:p>
    <w:p>
      <w:pPr>
        <w:ind w:firstLine="640" w:firstLineChars="200"/>
        <w:rPr>
          <w:rFonts w:hint="default" w:ascii="Times New Roman" w:hAnsi="Times New Roman" w:eastAsia="方正楷体_GBK"/>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olor w:val="000000" w:themeColor="text1"/>
          <w:sz w:val="32"/>
          <w:szCs w:val="32"/>
          <w:shd w:val="clear" w:color="auto" w:fill="FFFFFF"/>
          <w14:textFill>
            <w14:solidFill>
              <w14:schemeClr w14:val="tx1"/>
            </w14:solidFill>
          </w14:textFill>
        </w:rPr>
        <w:t>（一）财政拨款会议费、培训费和差旅费情况说明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年度会议费支出1.45万元，与2023年度相比，增加0.37万元，增长34.3%，主要原因是医保政策改革，召开会议次数增多。本年度培训费支出7.15万元，与2023年度相比，增加6.72万元，增长1562.8%，主要原因是医保政策改革，召开专题培训次数增多。本年度差旅费支出19.92</w:t>
      </w:r>
      <w:r>
        <w:rPr>
          <w:rFonts w:hint="default" w:ascii="Times New Roman" w:hAnsi="Times New Roman" w:eastAsia="方正仿宋_GBK"/>
          <w:color w:val="000000" w:themeColor="text1"/>
          <w:sz w:val="32"/>
          <w:szCs w:val="32"/>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与2023年度相比，增加2.06万元，增长11.5%，主要原因是本单位今年飞行检查、交叉检查、下乡检查医疗机构、督导参保等专项整治行动较多。</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（二）机关运行经费情况说明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单位机关运行经费支出40.13万元，机关运行经费主要用于开支办公费、印刷费、邮电费、差旅费、培训费等，机关运行经费较上年支出数增加37.39万元，增长1364.6%，主要原因是医保基金监管力度进一步加大，参保筹资宣传形式更加多样化。</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（三）国有资产占用情况说明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4"/>
        <w:widowControl w:val="0"/>
        <w:autoSpaceDE w:val="0"/>
        <w:spacing w:line="560" w:lineRule="exact"/>
        <w:ind w:firstLine="64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（四）政府采购支出情况说明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2024年度本单位政府采购支出总额0.50万元，其中：政府采购货物支出0.50万元、政府采购工程支出0.00万元、政府采购服务支出0.00万元。授予中小企业合同金额0.50</w:t>
      </w:r>
      <w:r>
        <w:rPr>
          <w:rFonts w:hint="default" w:ascii="Times New Roman" w:hAnsi="Times New Roman" w:eastAsia="方正仿宋_GBK"/>
          <w:color w:val="000000" w:themeColor="text1"/>
          <w:sz w:val="32"/>
          <w:szCs w:val="32"/>
          <w14:textFill>
            <w14:solidFill>
              <w14:schemeClr w14:val="tx1"/>
            </w14:solidFill>
          </w14:textFill>
        </w:rPr>
        <w:t>万</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元，占政府采购支出总额的100.0%，其中：授予小微企业合同金额0.50万元，占政府采购支出总额的100.0 %。主要用于采购打印纸。</w:t>
      </w:r>
    </w:p>
    <w:p>
      <w:pPr>
        <w:pStyle w:val="15"/>
        <w:widowControl w:val="0"/>
        <w:spacing w:before="0" w:beforeAutospacing="0" w:after="0" w:afterAutospacing="0" w:line="560" w:lineRule="exact"/>
        <w:ind w:firstLine="640" w:firstLineChars="200"/>
        <w:rPr>
          <w:rStyle w:val="13"/>
          <w:rFonts w:ascii="Times New Roman" w:hAnsi="Times New Roman" w:eastAsia="方正黑体_GBK"/>
          <w:b w:val="0"/>
          <w:bCs/>
          <w:sz w:val="32"/>
          <w:szCs w:val="32"/>
          <w:shd w:val="clear" w:color="auto" w:fill="FFFFFF"/>
        </w:rPr>
      </w:pPr>
      <w:r>
        <w:rPr>
          <w:rStyle w:val="13"/>
          <w:rFonts w:ascii="Times New Roman" w:hAnsi="Times New Roman" w:eastAsia="方正黑体_GBK"/>
          <w:b w:val="0"/>
          <w:bCs/>
          <w:sz w:val="32"/>
          <w:szCs w:val="32"/>
          <w:shd w:val="clear" w:color="auto" w:fill="FFFFFF"/>
        </w:rPr>
        <w:t>五、2024年度预算绩效管理情况说明</w:t>
      </w:r>
    </w:p>
    <w:p>
      <w:pPr>
        <w:pStyle w:val="15"/>
        <w:widowControl w:val="0"/>
        <w:autoSpaceDE w:val="0"/>
        <w:spacing w:before="0" w:beforeAutospacing="0" w:after="0" w:afterAutospacing="0" w:line="560" w:lineRule="exact"/>
        <w:ind w:firstLine="640" w:firstLineChars="20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（一）单位自评情况</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根据预算绩效管理要求，我单位对1</w:t>
      </w:r>
      <w:r>
        <w:rPr>
          <w:rFonts w:hint="eastAsia" w:ascii="Times New Roman" w:hAnsi="Times New Roman" w:eastAsia="方正仿宋_GBK"/>
          <w:sz w:val="32"/>
          <w:szCs w:val="32"/>
          <w:shd w:val="clear" w:color="auto" w:fill="FFFFFF"/>
          <w:lang w:val="en-US" w:eastAsia="zh-CN"/>
        </w:rPr>
        <w:t>3</w:t>
      </w:r>
      <w:bookmarkStart w:id="0" w:name="_GoBack"/>
      <w:bookmarkEnd w:id="0"/>
      <w:r>
        <w:rPr>
          <w:rFonts w:ascii="Times New Roman" w:hAnsi="Times New Roman" w:eastAsia="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lang w:val="en-US" w:eastAsia="zh-CN"/>
        </w:rPr>
        <w:t>5848.09</w:t>
      </w:r>
      <w:r>
        <w:rPr>
          <w:rFonts w:ascii="Times New Roman" w:hAnsi="Times New Roman" w:eastAsia="方正仿宋_GBK"/>
          <w:sz w:val="32"/>
          <w:szCs w:val="32"/>
          <w:shd w:val="clear" w:color="auto" w:fill="FFFFFF"/>
        </w:rPr>
        <w:t>万元。绩效自评表见附件。</w:t>
      </w:r>
    </w:p>
    <w:p>
      <w:pPr>
        <w:pStyle w:val="15"/>
        <w:widowControl w:val="0"/>
        <w:autoSpaceDE w:val="0"/>
        <w:spacing w:before="0" w:beforeAutospacing="0" w:after="0" w:afterAutospacing="0" w:line="560" w:lineRule="exact"/>
        <w:ind w:firstLine="640" w:firstLineChars="200"/>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（二）单位绩效评价情况</w:t>
      </w:r>
    </w:p>
    <w:p>
      <w:pPr>
        <w:pStyle w:val="19"/>
        <w:widowControl w:val="0"/>
        <w:autoSpaceDE w:val="0"/>
        <w:spacing w:line="560"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我单位对七类人群参保财政资助开展了绩效评价，涉及财政拨款项目资金10.18万元，评价得分100分，评价等次为优，未发现问题；对农村监测对象</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一事一议</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特殊医疗救助开展了绩效评价，涉及财政拨款项目资金96.15万元，评价等次为优，未发现问题；对医保局临骋人员费用开展了绩效评价，涉及财政拨款项目资金10.8万元，评价得分100分，评价等次为优，未发现问题；对单双解市级参保配套资金开展了绩效评价，涉及财政拨款项目资金17万元，评价得分100分，评价等次为优，未发现问题；对单双解人员参保配套资金开展了绩效评价，涉及财政拨款项目资金17万元，评价得分100分，评价等次为优，未发现问题等；对医疗救助财政配套资金开展了绩效评价，涉及财政拨款项目资金259.35万元，评价得分100分，评价等次为优，未发现问题；对离休人员医疗费开展了绩效评价，涉及财政拨款项目资金37.16万元，评价得分100分，评价等次为优，未发现问题；对医疗服务与保障能力提升开展了绩效评价，涉及财政拨款项目资金253.82万元，评价得分99.64分，评价等次为优，未发现问题；对医疗救助（市级）开展了绩效评价，涉及财政拨款项目资金1993万元，评价得分100分，评价等次为优，未发现问题；对市级社会保障转移支付开展了绩效评价，涉及财政拨款项目资金23.64万元，评价得分94.73分，评价等次为优，未发现问题；对城乡居民基本医疗保险工作费开展了绩效评价，涉及财政拨款项目资金29万元，评价得分100分，评价等次为优，未发现问题；对公务员医疗开展了绩效评价，涉及财政拨款项目资金1991万元，评价得分100分，评价等次为优，未发现问题；对医疗救助（中央）开展了绩效评价，涉及财政拨款项目资金1110万元，评价得分100分，评价等次为优，未发现问题。</w:t>
      </w:r>
    </w:p>
    <w:p>
      <w:pPr>
        <w:pStyle w:val="19"/>
        <w:widowControl w:val="0"/>
        <w:autoSpaceDE w:val="0"/>
        <w:spacing w:line="560" w:lineRule="exact"/>
        <w:ind w:firstLine="640"/>
        <w:rPr>
          <w:rFonts w:hint="default" w:ascii="Times New Roman" w:hAnsi="Times New Roman" w:eastAsia="方正楷体_GBK"/>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olor w:val="000000" w:themeColor="text1"/>
          <w:sz w:val="32"/>
          <w:szCs w:val="32"/>
          <w:shd w:val="clear" w:color="auto" w:fill="FFFFFF"/>
          <w14:textFill>
            <w14:solidFill>
              <w14:schemeClr w14:val="tx1"/>
            </w14:solidFill>
          </w14:textFill>
        </w:rPr>
        <w:t>（三）财政绩效评价情况</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市财政局未委托第三方对我单位开展绩效评价。</w:t>
      </w:r>
    </w:p>
    <w:p>
      <w:pPr>
        <w:pStyle w:val="15"/>
        <w:widowControl w:val="0"/>
        <w:autoSpaceDE w:val="0"/>
        <w:spacing w:before="0" w:beforeAutospacing="0" w:after="0" w:afterAutospacing="0" w:line="560" w:lineRule="exact"/>
        <w:ind w:firstLine="643" w:firstLineChars="200"/>
        <w:rPr>
          <w:rFonts w:ascii="Times New Roman" w:hAnsi="Times New Roman" w:eastAsia="方正仿宋_GBK"/>
          <w:sz w:val="32"/>
          <w:szCs w:val="32"/>
        </w:rPr>
      </w:pPr>
      <w:r>
        <w:rPr>
          <w:rStyle w:val="13"/>
          <w:rFonts w:ascii="Times New Roman" w:hAnsi="Times New Roman" w:eastAsia="黑体"/>
          <w:sz w:val="32"/>
          <w:szCs w:val="32"/>
          <w:shd w:val="clear" w:color="auto" w:fill="FFFFFF"/>
        </w:rPr>
        <w:t>六、专业名词解释</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（一）财政拨款收入</w:t>
      </w:r>
      <w:r>
        <w:rPr>
          <w:rStyle w:val="13"/>
          <w:rFonts w:ascii="Times New Roman" w:hAnsi="Times New Roman" w:eastAsia="楷体"/>
          <w:sz w:val="32"/>
          <w:szCs w:val="32"/>
          <w:shd w:val="clear" w:color="auto" w:fill="FFFFFF"/>
        </w:rPr>
        <w:t>：</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（四）其他收入：</w:t>
      </w:r>
      <w:r>
        <w:rPr>
          <w:rFonts w:ascii="Times New Roman" w:hAnsi="Times New Roman" w:eastAsia="方正仿宋_GBK"/>
          <w:sz w:val="32"/>
          <w:szCs w:val="32"/>
          <w:shd w:val="clear" w:color="auto" w:fill="FFFFFF"/>
        </w:rPr>
        <w:t>指单位取得的除</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财政拨款收入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事业收入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经营收入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（五）使用非财政拨款结余（含专用结余）：</w:t>
      </w:r>
      <w:r>
        <w:rPr>
          <w:rFonts w:ascii="Times New Roman" w:hAnsi="Times New Roman" w:eastAsia="方正仿宋_GBK"/>
          <w:sz w:val="32"/>
          <w:szCs w:val="32"/>
          <w:shd w:val="clear" w:color="auto" w:fill="FFFFFF"/>
        </w:rPr>
        <w:t>指单位在当年的</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财政拨款收入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事业收入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经营收入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其他收入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等不足以安排当年支出的情况下，使用以前年度积累的非财政拨款结余弥补本年度收支缺口的资金。</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工资福利支出</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和</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；公用经费指政府收支分类经济科目中除</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工资福利支出</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和</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外的其他支出。</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（十二）</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5"/>
        <w:widowControl w:val="0"/>
        <w:spacing w:before="0" w:beforeAutospacing="0" w:after="0" w:afterAutospacing="0" w:line="560" w:lineRule="exact"/>
        <w:ind w:firstLine="320" w:firstLineChars="1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（十七）其他资本性支出（支出经济分类科目类级）：</w:t>
      </w:r>
      <w:r>
        <w:rPr>
          <w:rFonts w:ascii="Times New Roman" w:hAnsi="Times New Roman" w:eastAsia="方正仿宋_GBK"/>
          <w:sz w:val="32"/>
          <w:szCs w:val="32"/>
          <w:shd w:val="clear" w:color="auto" w:fill="FFFFFF"/>
        </w:rPr>
        <w:t>反映非</w:t>
      </w:r>
      <w:r>
        <w:rPr>
          <w:rFonts w:ascii="Times New Roman" w:hAnsi="Times New Roman" w:eastAsia="方正仿宋_GBK"/>
          <w:color w:val="000000" w:themeColor="text1"/>
          <w:sz w:val="32"/>
          <w:szCs w:val="32"/>
          <w:shd w:val="clear" w:color="auto" w:fill="FFFFFF"/>
          <w14:textFill>
            <w14:solidFill>
              <w14:schemeClr w14:val="tx1"/>
            </w14:solidFill>
          </w14:textFill>
        </w:rPr>
        <w:t>各级</w:t>
      </w:r>
      <w:r>
        <w:rPr>
          <w:rFonts w:ascii="Times New Roman" w:hAnsi="Times New Roman" w:eastAsia="方正仿宋_GBK"/>
          <w:sz w:val="32"/>
          <w:szCs w:val="32"/>
          <w:shd w:val="clear" w:color="auto" w:fill="FFFFFF"/>
        </w:rPr>
        <w:t>发展与改革部门集中安排的用于购置固定资产、战略性和应急性储备、土地和无形资产，以及构建基础设施、大型修缮和财政支持企业更新改造所发生的支出。</w:t>
      </w:r>
    </w:p>
    <w:p>
      <w:pPr>
        <w:pStyle w:val="15"/>
        <w:widowControl w:val="0"/>
        <w:spacing w:before="0" w:beforeAutospacing="0" w:after="0" w:afterAutospacing="0" w:line="560" w:lineRule="exact"/>
        <w:ind w:firstLine="640" w:firstLineChars="200"/>
        <w:rPr>
          <w:rFonts w:ascii="Times New Roman" w:hAnsi="Times New Roman" w:eastAsia="方正仿宋_GBK"/>
          <w:bCs/>
          <w:sz w:val="32"/>
          <w:szCs w:val="32"/>
        </w:rPr>
      </w:pPr>
      <w:r>
        <w:rPr>
          <w:rStyle w:val="13"/>
          <w:rFonts w:ascii="Times New Roman" w:hAnsi="Times New Roman" w:eastAsia="黑体"/>
          <w:b w:val="0"/>
          <w:bCs/>
          <w:sz w:val="32"/>
          <w:szCs w:val="32"/>
          <w:shd w:val="clear" w:color="auto" w:fill="FFFFFF"/>
        </w:rPr>
        <w:t>七、决算公开联系方式及信息反馈渠道</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5"/>
        <w:widowControl w:val="0"/>
        <w:spacing w:before="0" w:beforeAutospacing="0" w:after="0" w:afterAutospacing="0"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李云淑 023-81858113</w:t>
      </w:r>
    </w:p>
    <w:p>
      <w:pPr>
        <w:pStyle w:val="14"/>
        <w:widowControl w:val="0"/>
        <w:autoSpaceDE w:val="0"/>
        <w:spacing w:line="560" w:lineRule="exact"/>
        <w:ind w:firstLine="643"/>
        <w:jc w:val="both"/>
        <w:rPr>
          <w:rStyle w:val="13"/>
          <w:rFonts w:ascii="Times New Roman" w:hAnsi="Times New Roman" w:eastAsia="方正仿宋_GBK"/>
          <w:sz w:val="32"/>
          <w:szCs w:val="32"/>
          <w:shd w:val="clear" w:color="auto" w:fill="FFFF00"/>
        </w:rPr>
      </w:pPr>
    </w:p>
    <w:p>
      <w:pPr>
        <w:pStyle w:val="14"/>
        <w:widowControl w:val="0"/>
        <w:autoSpaceDE w:val="0"/>
        <w:spacing w:line="560"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丰都县医疗保障局（本级）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6,014.03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6,006.64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6,014.03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6,045.31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丰都县医疗保障局（本级）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6,014.03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6,014.03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5,975.36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5,975.36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丰都县医疗保障局（本级）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6,045.31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197.22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5,848.09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6,006.64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2,028.16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148.71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丰都县医疗保障局（本级）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6,014.03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6,006.64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6,006.64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6,014.03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6,045.31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6,045.31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6,045.31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6,045.31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6,045.31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丰都县医疗保障局（本级）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6,045.31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5,848.09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6,006.64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158.55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5,848.09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2,028.16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148.71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丰都县医疗保障局（本级）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157.09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丰都县医疗保障局（本级）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丰都县医疗保障局（本级）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丰都县医疗保障局（本级）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widowControl w:val="0"/>
        <w:spacing w:line="56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34038"/>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82191"/>
    <w:rsid w:val="00CC38A6"/>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232AD"/>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F455C1"/>
    <w:rsid w:val="0E3A5F83"/>
    <w:rsid w:val="0F836721"/>
    <w:rsid w:val="0FA25D96"/>
    <w:rsid w:val="107B59E5"/>
    <w:rsid w:val="10A06571"/>
    <w:rsid w:val="10EC0126"/>
    <w:rsid w:val="10F70B9A"/>
    <w:rsid w:val="111445C7"/>
    <w:rsid w:val="114278C6"/>
    <w:rsid w:val="1158083A"/>
    <w:rsid w:val="11643A4B"/>
    <w:rsid w:val="11CB3556"/>
    <w:rsid w:val="11ED0F98"/>
    <w:rsid w:val="11F03528"/>
    <w:rsid w:val="12C921C4"/>
    <w:rsid w:val="13871C70"/>
    <w:rsid w:val="13A71CB4"/>
    <w:rsid w:val="13AF1D43"/>
    <w:rsid w:val="13CE1647"/>
    <w:rsid w:val="13FD55AB"/>
    <w:rsid w:val="14200702"/>
    <w:rsid w:val="14370EA1"/>
    <w:rsid w:val="14514F6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803CEB"/>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6C5242"/>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B55557"/>
    <w:rsid w:val="3D083B3A"/>
    <w:rsid w:val="3D0D29A6"/>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F155BB"/>
    <w:rsid w:val="4D1F53CA"/>
    <w:rsid w:val="4DAC4ACA"/>
    <w:rsid w:val="4DBE01D2"/>
    <w:rsid w:val="4EFD467F"/>
    <w:rsid w:val="4F0C6BA3"/>
    <w:rsid w:val="4F186D58"/>
    <w:rsid w:val="4F563CC4"/>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30B94"/>
    <w:rsid w:val="543B029D"/>
    <w:rsid w:val="54861779"/>
    <w:rsid w:val="55084A4C"/>
    <w:rsid w:val="552256E1"/>
    <w:rsid w:val="554E5773"/>
    <w:rsid w:val="555829E0"/>
    <w:rsid w:val="555A3CBC"/>
    <w:rsid w:val="5582012B"/>
    <w:rsid w:val="558E4E05"/>
    <w:rsid w:val="55BE2E85"/>
    <w:rsid w:val="56530F5D"/>
    <w:rsid w:val="567700D3"/>
    <w:rsid w:val="56FF7E9E"/>
    <w:rsid w:val="578867FC"/>
    <w:rsid w:val="57B65C47"/>
    <w:rsid w:val="5842572D"/>
    <w:rsid w:val="5A3B59D6"/>
    <w:rsid w:val="5AD134D8"/>
    <w:rsid w:val="5BF41F67"/>
    <w:rsid w:val="5C263CE4"/>
    <w:rsid w:val="5C5D2777"/>
    <w:rsid w:val="5CF66BF3"/>
    <w:rsid w:val="5D290C69"/>
    <w:rsid w:val="5DA80C2C"/>
    <w:rsid w:val="5F0674B4"/>
    <w:rsid w:val="5F2D4A41"/>
    <w:rsid w:val="5FEE2DD4"/>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430B95"/>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7373CA"/>
    <w:rsid w:val="796D60A4"/>
    <w:rsid w:val="79A031D5"/>
    <w:rsid w:val="79B47FDF"/>
    <w:rsid w:val="79E569A9"/>
    <w:rsid w:val="7A1525F7"/>
    <w:rsid w:val="7B073F40"/>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2418</Words>
  <Characters>13789</Characters>
  <Lines>114</Lines>
  <Paragraphs>32</Paragraphs>
  <TotalTime>3</TotalTime>
  <ScaleCrop>false</ScaleCrop>
  <LinksUpToDate>false</LinksUpToDate>
  <CharactersWithSpaces>16175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2025-09-16T01:27:49Z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A33310ED30D743D5B27564B508B96599_13</vt:lpwstr>
  </property>
  <property fmtid="{D5CDD505-2E9C-101B-9397-08002B2CF9AE}" pid="4" name="KSOTemplateDocerSaveRecord">
    <vt:lpwstr>eyJoZGlkIjoiM2Q0ODEzMGMwMDU3M2E0ZGY1M2VhMTUzMjc3YWYwOWMiLCJ1c2VySWQiOiIxMTMxNjQ0NTQyIn0=</vt:lpwstr>
  </property>
</Properties>
</file>