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FC" w:rsidRDefault="004C00A9">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丰都县医疗保障事务中心</w:t>
      </w:r>
    </w:p>
    <w:p w:rsidR="001E69FC" w:rsidRDefault="004C00A9">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E69FC" w:rsidRDefault="001E69FC">
      <w:pPr>
        <w:pStyle w:val="a9"/>
        <w:widowControl w:val="0"/>
        <w:spacing w:before="0" w:beforeAutospacing="0" w:after="0" w:afterAutospacing="0" w:line="560" w:lineRule="exact"/>
        <w:jc w:val="center"/>
        <w:rPr>
          <w:rFonts w:ascii="方正黑体_GBK" w:eastAsia="方正黑体_GBK" w:hAnsi="方正黑体_GBK" w:cs="方正黑体_GBK" w:hint="default"/>
          <w:sz w:val="32"/>
          <w:szCs w:val="32"/>
          <w:shd w:val="clear" w:color="auto" w:fill="FFFFFF"/>
        </w:rPr>
      </w:pPr>
    </w:p>
    <w:p w:rsidR="001E69FC" w:rsidRDefault="004C00A9">
      <w:pPr>
        <w:widowControl w:val="0"/>
        <w:spacing w:line="560" w:lineRule="exact"/>
        <w:ind w:firstLineChars="200" w:firstLine="640"/>
        <w:textAlignment w:val="baseline"/>
        <w:rPr>
          <w:rFonts w:ascii="Times New Roman" w:eastAsia="方正黑体_GBK" w:hAnsi="Times New Roman" w:hint="default"/>
          <w:color w:val="000000" w:themeColor="text1"/>
          <w:sz w:val="32"/>
          <w:szCs w:val="32"/>
        </w:rPr>
      </w:pPr>
      <w:r>
        <w:rPr>
          <w:rFonts w:ascii="Times New Roman" w:eastAsia="方正黑体_GBK" w:hAnsi="Times New Roman" w:hint="default"/>
          <w:color w:val="000000" w:themeColor="text1"/>
          <w:sz w:val="32"/>
          <w:szCs w:val="32"/>
        </w:rPr>
        <w:t>一、</w:t>
      </w:r>
      <w:r>
        <w:rPr>
          <w:rFonts w:ascii="Times New Roman" w:eastAsia="方正黑体_GBK" w:hAnsi="Times New Roman" w:hint="default"/>
          <w:color w:val="000000" w:themeColor="text1"/>
          <w:sz w:val="32"/>
          <w:szCs w:val="32"/>
        </w:rPr>
        <w:t>单位</w:t>
      </w:r>
      <w:r>
        <w:rPr>
          <w:rFonts w:ascii="Times New Roman" w:eastAsia="方正黑体_GBK" w:hAnsi="Times New Roman" w:hint="default"/>
          <w:color w:val="000000" w:themeColor="text1"/>
          <w:sz w:val="32"/>
          <w:szCs w:val="32"/>
        </w:rPr>
        <w:t>基本情况</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color w:val="000000" w:themeColor="text1"/>
          <w:sz w:val="32"/>
          <w:szCs w:val="32"/>
        </w:rPr>
        <w:t>（一）职能职责</w:t>
      </w:r>
    </w:p>
    <w:p w:rsidR="001E69FC" w:rsidRDefault="004C00A9">
      <w:pPr>
        <w:widowControl w:val="0"/>
        <w:spacing w:line="560" w:lineRule="exact"/>
        <w:ind w:firstLineChars="200" w:firstLine="640"/>
        <w:textAlignment w:val="baseline"/>
        <w:rPr>
          <w:rFonts w:ascii="Times New Roman" w:eastAsia="方正仿宋_GBK" w:hAnsi="Times New Roman" w:hint="default"/>
          <w:color w:val="000000" w:themeColor="text1"/>
          <w:sz w:val="32"/>
          <w:szCs w:val="32"/>
        </w:rPr>
      </w:pPr>
      <w:r>
        <w:rPr>
          <w:rFonts w:ascii="Times New Roman" w:eastAsia="方正楷体_GBK" w:hAnsi="Times New Roman" w:hint="default"/>
          <w:bCs/>
          <w:color w:val="000000" w:themeColor="text1"/>
          <w:sz w:val="32"/>
          <w:szCs w:val="32"/>
        </w:rPr>
        <w:t>宗旨：</w:t>
      </w:r>
      <w:r>
        <w:rPr>
          <w:rFonts w:ascii="Times New Roman" w:eastAsia="方正仿宋_GBK" w:hAnsi="Times New Roman" w:hint="default"/>
          <w:bCs/>
          <w:color w:val="000000" w:themeColor="text1"/>
          <w:sz w:val="32"/>
          <w:szCs w:val="32"/>
        </w:rPr>
        <w:t>提供医疗保障</w:t>
      </w:r>
      <w:r>
        <w:rPr>
          <w:rFonts w:ascii="Times New Roman" w:eastAsia="方正仿宋_GBK" w:hAnsi="Times New Roman" w:hint="default"/>
          <w:color w:val="000000" w:themeColor="text1"/>
          <w:sz w:val="32"/>
          <w:szCs w:val="32"/>
        </w:rPr>
        <w:t>经办</w:t>
      </w:r>
      <w:r>
        <w:rPr>
          <w:rFonts w:ascii="Times New Roman" w:eastAsia="方正仿宋_GBK" w:hAnsi="Times New Roman" w:hint="default"/>
          <w:bCs/>
          <w:color w:val="000000" w:themeColor="text1"/>
          <w:sz w:val="32"/>
          <w:szCs w:val="32"/>
        </w:rPr>
        <w:t>服务，促进医疗保障事业发展。</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rPr>
      </w:pPr>
      <w:r>
        <w:rPr>
          <w:rFonts w:ascii="Times New Roman" w:eastAsia="方正楷体_GBK" w:hAnsi="Times New Roman" w:hint="default"/>
          <w:color w:val="000000" w:themeColor="text1"/>
          <w:sz w:val="32"/>
          <w:szCs w:val="32"/>
        </w:rPr>
        <w:t>主要职责任务：</w:t>
      </w:r>
      <w:r>
        <w:rPr>
          <w:rFonts w:ascii="Times New Roman" w:eastAsia="方正仿宋_GBK" w:hAnsi="Times New Roman" w:hint="default"/>
          <w:color w:val="000000" w:themeColor="text1"/>
          <w:sz w:val="32"/>
          <w:szCs w:val="32"/>
        </w:rPr>
        <w:t>承担医疗保障相关事务性、技术性等具体工作。</w:t>
      </w:r>
    </w:p>
    <w:p w:rsidR="001E69FC" w:rsidRDefault="004C00A9">
      <w:pPr>
        <w:widowControl w:val="0"/>
        <w:spacing w:line="560" w:lineRule="exact"/>
        <w:ind w:firstLineChars="200" w:firstLine="640"/>
        <w:rPr>
          <w:rFonts w:ascii="Times New Roman" w:eastAsia="方正楷体_GBK" w:hAnsi="Times New Roman" w:hint="default"/>
          <w:color w:val="000000" w:themeColor="text1"/>
          <w:sz w:val="32"/>
          <w:szCs w:val="32"/>
          <w:shd w:val="clear" w:color="auto" w:fill="FFFFFF"/>
        </w:rPr>
      </w:pPr>
      <w:r>
        <w:rPr>
          <w:rFonts w:ascii="Times New Roman" w:eastAsia="方正楷体_GBK" w:hAnsi="Times New Roman" w:hint="default"/>
          <w:color w:val="000000" w:themeColor="text1"/>
          <w:sz w:val="32"/>
          <w:szCs w:val="32"/>
          <w:shd w:val="clear" w:color="auto" w:fill="FFFFFF"/>
        </w:rPr>
        <w:t>具体职责任务：</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贯彻执行医疗保障法律、法规和方针政策，指导基层医疗保险经办机构规范、有序开展医疗保障经办服务业务。</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2.</w:t>
      </w:r>
      <w:r>
        <w:rPr>
          <w:rFonts w:ascii="Times New Roman" w:eastAsia="方正仿宋_GBK" w:hAnsi="Times New Roman" w:hint="default"/>
          <w:color w:val="000000" w:themeColor="text1"/>
          <w:sz w:val="32"/>
          <w:szCs w:val="32"/>
          <w:shd w:val="clear" w:color="auto" w:fill="FFFFFF"/>
        </w:rPr>
        <w:t>承担医疗保险、生育保险、长期护理保险的参保登记、个人权益记录、待遇支付等工作。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3.</w:t>
      </w:r>
      <w:r>
        <w:rPr>
          <w:rFonts w:ascii="Times New Roman" w:eastAsia="方正仿宋_GBK" w:hAnsi="Times New Roman" w:hint="default"/>
          <w:color w:val="000000" w:themeColor="text1"/>
          <w:sz w:val="32"/>
          <w:szCs w:val="32"/>
          <w:shd w:val="clear" w:color="auto" w:fill="FFFFFF"/>
        </w:rPr>
        <w:t>承担医疗保险、生育保险、长期护理保险、医疗救助基金的预算、决算，医疗保障费用审核、结算工作。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4.</w:t>
      </w:r>
      <w:r>
        <w:rPr>
          <w:rFonts w:ascii="Times New Roman" w:eastAsia="方正仿宋_GBK" w:hAnsi="Times New Roman" w:hint="default"/>
          <w:color w:val="000000" w:themeColor="text1"/>
          <w:sz w:val="32"/>
          <w:szCs w:val="32"/>
          <w:shd w:val="clear" w:color="auto" w:fill="FFFFFF"/>
        </w:rPr>
        <w:t>承担医药机构医保服务协议具体事务工作。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5.</w:t>
      </w:r>
      <w:r>
        <w:rPr>
          <w:rFonts w:ascii="Times New Roman" w:eastAsia="方正仿宋_GBK" w:hAnsi="Times New Roman" w:hint="default"/>
          <w:color w:val="000000" w:themeColor="text1"/>
          <w:sz w:val="32"/>
          <w:szCs w:val="32"/>
          <w:shd w:val="clear" w:color="auto" w:fill="FFFFFF"/>
        </w:rPr>
        <w:t>承担公务员医疗补助具体事务工作。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6.</w:t>
      </w:r>
      <w:r>
        <w:rPr>
          <w:rFonts w:ascii="Times New Roman" w:eastAsia="方正仿宋_GBK" w:hAnsi="Times New Roman" w:hint="default"/>
          <w:color w:val="000000" w:themeColor="text1"/>
          <w:sz w:val="32"/>
          <w:szCs w:val="32"/>
          <w:shd w:val="clear" w:color="auto" w:fill="FFFFFF"/>
        </w:rPr>
        <w:t>承担困难群众医疗救助相关工作。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7.</w:t>
      </w:r>
      <w:r>
        <w:rPr>
          <w:rFonts w:ascii="Times New Roman" w:eastAsia="方正仿宋_GBK" w:hAnsi="Times New Roman" w:hint="default"/>
          <w:color w:val="000000" w:themeColor="text1"/>
          <w:sz w:val="32"/>
          <w:szCs w:val="32"/>
          <w:shd w:val="clear" w:color="auto" w:fill="FFFFFF"/>
        </w:rPr>
        <w:t>承担医疗保障信息化建设、网络信息安全相关工作。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8.</w:t>
      </w:r>
      <w:r>
        <w:rPr>
          <w:rFonts w:ascii="Times New Roman" w:eastAsia="方正仿宋_GBK" w:hAnsi="Times New Roman" w:hint="default"/>
          <w:color w:val="000000" w:themeColor="text1"/>
          <w:sz w:val="32"/>
          <w:szCs w:val="32"/>
          <w:shd w:val="clear" w:color="auto" w:fill="FFFFFF"/>
        </w:rPr>
        <w:t>承担指导大额、大病医疗保险业务经办工作。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9.</w:t>
      </w:r>
      <w:r>
        <w:rPr>
          <w:rFonts w:ascii="Times New Roman" w:eastAsia="方正仿宋_GBK" w:hAnsi="Times New Roman" w:hint="default"/>
          <w:color w:val="000000" w:themeColor="text1"/>
          <w:sz w:val="32"/>
          <w:szCs w:val="32"/>
          <w:shd w:val="clear" w:color="auto" w:fill="FFFFFF"/>
        </w:rPr>
        <w:t>承担县医疗保障局交办的其他工作任务。</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rPr>
        <w:t>以上具体职责任务均属基本公益服务。</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（二）机构设置</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rPr>
        <w:t>根据上述职责，丰都县医疗保障事务中心设下列</w:t>
      </w:r>
      <w:r>
        <w:rPr>
          <w:rFonts w:ascii="Times New Roman" w:eastAsia="方正仿宋_GBK" w:hAnsi="Times New Roman" w:hint="default"/>
          <w:color w:val="000000" w:themeColor="text1"/>
          <w:sz w:val="32"/>
          <w:szCs w:val="32"/>
        </w:rPr>
        <w:t>8</w:t>
      </w:r>
      <w:r>
        <w:rPr>
          <w:rFonts w:ascii="Times New Roman" w:eastAsia="方正仿宋_GBK" w:hAnsi="Times New Roman" w:hint="default"/>
          <w:color w:val="000000" w:themeColor="text1"/>
          <w:sz w:val="32"/>
          <w:szCs w:val="32"/>
        </w:rPr>
        <w:t>个内</w:t>
      </w:r>
      <w:r>
        <w:rPr>
          <w:rFonts w:ascii="Times New Roman" w:eastAsia="方正仿宋_GBK" w:hAnsi="Times New Roman" w:hint="default"/>
          <w:color w:val="000000" w:themeColor="text1"/>
          <w:sz w:val="32"/>
          <w:szCs w:val="32"/>
        </w:rPr>
        <w:lastRenderedPageBreak/>
        <w:t>设机构。</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综合科。负责中心日常运转、综合协调工作，承担文电、档案、保密、会务、信访、政府采购、国有资产管理、后勤保障等工作；承担党建、机构编制、人事、应急管理、安全、党风廉政、政务公开等工作；联系工会、共青团、妇联等群团工作；参与辖区内医疗保险协议服务机构定点资格认定；承担指导协议定点医药机构执行相关政策、服务协议的具体事务工作；负责医保业务档案管理相关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2.</w:t>
      </w:r>
      <w:r>
        <w:rPr>
          <w:rFonts w:ascii="Times New Roman" w:eastAsia="方正仿宋_GBK" w:hAnsi="Times New Roman" w:hint="default"/>
          <w:color w:val="000000" w:themeColor="text1"/>
          <w:sz w:val="32"/>
          <w:szCs w:val="32"/>
          <w:shd w:val="clear" w:color="auto" w:fill="FFFFFF"/>
        </w:rPr>
        <w:t>基金财务科。负责医疗保障基金的年度预决算；负责医疗保障基金核算与账务处理；负责医疗保障基金上解下拨的协调、调度与拨付；负责医疗保障基金收支管理、汇总、报送等工作；承担中心财务管理相关工作；参与调查核实定点医药机构和参保人员违规违纪行为、举报投诉相关工作；协助相关部门处理骗取医保基金举报投诉案件；负责内部控制、内部审计和稽核等工作；参与监督定点医药机构药品、医用耗材价格和医疗服务项目、医疗服务设施收费标准执行情况。</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3.</w:t>
      </w:r>
      <w:r>
        <w:rPr>
          <w:rFonts w:ascii="Times New Roman" w:eastAsia="方正仿宋_GBK" w:hAnsi="Times New Roman" w:hint="default"/>
          <w:color w:val="000000" w:themeColor="text1"/>
          <w:sz w:val="32"/>
          <w:szCs w:val="32"/>
          <w:shd w:val="clear" w:color="auto" w:fill="FFFFFF"/>
        </w:rPr>
        <w:t>参保科。负责医疗保险、生育保险、长期护理保险的参保登记、征缴计划各项业务经办；负责参保人员</w:t>
      </w:r>
      <w:r>
        <w:rPr>
          <w:rFonts w:ascii="Times New Roman" w:eastAsia="方正仿宋_GBK" w:hAnsi="Times New Roman" w:hint="default"/>
          <w:color w:val="000000" w:themeColor="text1"/>
          <w:sz w:val="32"/>
          <w:szCs w:val="32"/>
          <w:shd w:val="clear" w:color="auto" w:fill="FFFFFF"/>
        </w:rPr>
        <w:t>医保缴费年限认定；负责参保单位人员年度工资总额申报及缴费基数核定；负责公务员医疗补助资金征缴；负责办理跨医保关系统筹范围转移接续；负责指导基层医疗保险经办机构业务经办等工作。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4.</w:t>
      </w:r>
      <w:r>
        <w:rPr>
          <w:rFonts w:ascii="Times New Roman" w:eastAsia="方正仿宋_GBK" w:hAnsi="Times New Roman" w:hint="default"/>
          <w:color w:val="000000" w:themeColor="text1"/>
          <w:sz w:val="32"/>
          <w:szCs w:val="32"/>
          <w:shd w:val="clear" w:color="auto" w:fill="FFFFFF"/>
        </w:rPr>
        <w:t>职工审核结算科。参与医疗保险基金支付方式改革；</w:t>
      </w:r>
      <w:r>
        <w:rPr>
          <w:rFonts w:ascii="Times New Roman" w:eastAsia="方正仿宋_GBK" w:hAnsi="Times New Roman" w:hint="default"/>
          <w:color w:val="000000" w:themeColor="text1"/>
          <w:sz w:val="32"/>
          <w:szCs w:val="32"/>
          <w:shd w:val="clear" w:color="auto" w:fill="FFFFFF"/>
        </w:rPr>
        <w:lastRenderedPageBreak/>
        <w:t>负责定点医药机构职工医疗保险费用的审核结算；负责生育保险待遇、职工长期护理保险、公务员医疗补助、离休干部医疗等费用审核结算相关工作；负责职工医保基金运行情况统计分析和动态监测；负责指导职工大额医疗保险业务经办工作；协助做好二等乙级伤残军人支付审核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5.</w:t>
      </w:r>
      <w:r>
        <w:rPr>
          <w:rFonts w:ascii="Times New Roman" w:eastAsia="方正仿宋_GBK" w:hAnsi="Times New Roman" w:hint="default"/>
          <w:color w:val="000000" w:themeColor="text1"/>
          <w:sz w:val="32"/>
          <w:szCs w:val="32"/>
          <w:shd w:val="clear" w:color="auto" w:fill="FFFFFF"/>
        </w:rPr>
        <w:t>居民审核结算科。参与医疗保险</w:t>
      </w:r>
      <w:r>
        <w:rPr>
          <w:rFonts w:ascii="Times New Roman" w:eastAsia="方正仿宋_GBK" w:hAnsi="Times New Roman" w:hint="default"/>
          <w:color w:val="000000" w:themeColor="text1"/>
          <w:sz w:val="32"/>
          <w:szCs w:val="32"/>
          <w:shd w:val="clear" w:color="auto" w:fill="FFFFFF"/>
        </w:rPr>
        <w:t>基金支付方式改革；负责定点医药机构城乡居民医疗保险费用的审核结算；负责城乡居民长期护理保险费用审核结算相关工作；负责城乡居民医保基金运行情况统计分析和动态监测；负责指导城乡居民大病医疗保险业务经办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6.</w:t>
      </w:r>
      <w:r>
        <w:rPr>
          <w:rFonts w:ascii="Times New Roman" w:eastAsia="方正仿宋_GBK" w:hAnsi="Times New Roman" w:hint="default"/>
          <w:color w:val="000000" w:themeColor="text1"/>
          <w:sz w:val="32"/>
          <w:szCs w:val="32"/>
          <w:shd w:val="clear" w:color="auto" w:fill="FFFFFF"/>
        </w:rPr>
        <w:t>特病和异地就医科。承担医疗保险参保人员特殊疾病的申报、鉴定相关工作；负责指导定点医疗机构特殊疾病管理；负责特殊疾病人员定点医疗机构认定相关事务工作；负责特殊疾病待遇资格审核具体事务工作；负责医疗保险异地就医管理的具体事务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7.</w:t>
      </w:r>
      <w:r>
        <w:rPr>
          <w:rFonts w:ascii="Times New Roman" w:eastAsia="方正仿宋_GBK" w:hAnsi="Times New Roman" w:hint="default"/>
          <w:color w:val="000000" w:themeColor="text1"/>
          <w:sz w:val="32"/>
          <w:szCs w:val="32"/>
          <w:shd w:val="clear" w:color="auto" w:fill="FFFFFF"/>
        </w:rPr>
        <w:t>医疗救助科。负责医疗救助费用审核结算的具体事务工作；负责医疗救助信息动态</w:t>
      </w:r>
      <w:r>
        <w:rPr>
          <w:rFonts w:ascii="Times New Roman" w:eastAsia="方正仿宋_GBK" w:hAnsi="Times New Roman" w:hint="default"/>
          <w:color w:val="000000" w:themeColor="text1"/>
          <w:sz w:val="32"/>
          <w:szCs w:val="32"/>
          <w:shd w:val="clear" w:color="auto" w:fill="FFFFFF"/>
        </w:rPr>
        <w:t>管理及指定医疗救助对象资格确认的具体事务工作；协助承担医疗保障扶贫等工作。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8.</w:t>
      </w:r>
      <w:r>
        <w:rPr>
          <w:rFonts w:ascii="Times New Roman" w:eastAsia="方正仿宋_GBK" w:hAnsi="Times New Roman" w:hint="default"/>
          <w:color w:val="000000" w:themeColor="text1"/>
          <w:sz w:val="32"/>
          <w:szCs w:val="32"/>
          <w:shd w:val="clear" w:color="auto" w:fill="FFFFFF"/>
        </w:rPr>
        <w:t>网络信息科。负责医疗保障信息化建设、网络信息安全相关工作；负责医保信息系统权限管理及日常维护工作；负责指导定点医药机构信息化建设等工作。</w:t>
      </w:r>
    </w:p>
    <w:p w:rsidR="001E69FC" w:rsidRDefault="004C00A9">
      <w:pPr>
        <w:widowControl w:val="0"/>
        <w:spacing w:line="560" w:lineRule="exact"/>
        <w:ind w:firstLineChars="200" w:firstLine="640"/>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color w:val="000000" w:themeColor="text1"/>
          <w:sz w:val="32"/>
          <w:szCs w:val="32"/>
          <w:shd w:val="clear" w:color="auto" w:fill="FFFFFF"/>
        </w:rPr>
        <w:t>9.</w:t>
      </w:r>
      <w:r>
        <w:rPr>
          <w:rFonts w:ascii="Times New Roman" w:eastAsia="方正仿宋_GBK" w:hAnsi="Times New Roman" w:hint="default"/>
          <w:color w:val="000000" w:themeColor="text1"/>
          <w:sz w:val="32"/>
          <w:szCs w:val="32"/>
          <w:shd w:val="clear" w:color="auto" w:fill="FFFFFF"/>
        </w:rPr>
        <w:t>医药采购服务科。负责执行药品、医用耗材、医疗服务项目、医疗服务设施等地方医保目录和支付标准，执行医保目录准入谈判相关规则；负责执行药品、医用耗材价格和</w:t>
      </w:r>
      <w:r>
        <w:rPr>
          <w:rFonts w:ascii="Times New Roman" w:eastAsia="方正仿宋_GBK" w:hAnsi="Times New Roman" w:hint="default"/>
          <w:color w:val="000000" w:themeColor="text1"/>
          <w:sz w:val="32"/>
          <w:szCs w:val="32"/>
          <w:shd w:val="clear" w:color="auto" w:fill="FFFFFF"/>
        </w:rPr>
        <w:lastRenderedPageBreak/>
        <w:t>医疗服务项目、医疗服务设施收费等政策；负责医药价格信息监测等事务工作。</w:t>
      </w:r>
    </w:p>
    <w:p w:rsidR="001E69FC" w:rsidRDefault="004C00A9">
      <w:pPr>
        <w:widowControl w:val="0"/>
        <w:spacing w:line="560" w:lineRule="exact"/>
        <w:ind w:firstLineChars="200" w:firstLine="640"/>
        <w:textAlignment w:val="baseline"/>
        <w:rPr>
          <w:rFonts w:ascii="Times New Roman" w:eastAsia="方正黑体_GBK" w:hAnsi="Times New Roman" w:hint="default"/>
          <w:color w:val="000000" w:themeColor="text1"/>
          <w:sz w:val="32"/>
          <w:szCs w:val="32"/>
        </w:rPr>
      </w:pPr>
      <w:r>
        <w:rPr>
          <w:rFonts w:ascii="Times New Roman" w:eastAsia="方正黑体_GBK" w:hAnsi="Times New Roman" w:hint="default"/>
          <w:color w:val="000000" w:themeColor="text1"/>
          <w:sz w:val="32"/>
          <w:szCs w:val="32"/>
        </w:rPr>
        <w:t>二、</w:t>
      </w:r>
      <w:r>
        <w:rPr>
          <w:rFonts w:ascii="Times New Roman" w:eastAsia="方正黑体_GBK" w:hAnsi="Times New Roman" w:hint="default"/>
          <w:color w:val="000000" w:themeColor="text1"/>
          <w:sz w:val="32"/>
          <w:szCs w:val="32"/>
        </w:rPr>
        <w:t>单位</w:t>
      </w:r>
      <w:r>
        <w:rPr>
          <w:rFonts w:ascii="Times New Roman" w:eastAsia="方正黑体_GBK" w:hAnsi="Times New Roman" w:hint="default"/>
          <w:color w:val="000000" w:themeColor="text1"/>
          <w:sz w:val="32"/>
          <w:szCs w:val="32"/>
        </w:rPr>
        <w:t>决算</w:t>
      </w:r>
      <w:r>
        <w:rPr>
          <w:rFonts w:ascii="Times New Roman" w:eastAsia="方正黑体_GBK" w:hAnsi="Times New Roman" w:hint="default"/>
          <w:color w:val="000000" w:themeColor="text1"/>
          <w:sz w:val="32"/>
          <w:szCs w:val="32"/>
        </w:rPr>
        <w:t>收支</w:t>
      </w:r>
      <w:r>
        <w:rPr>
          <w:rFonts w:ascii="Times New Roman" w:eastAsia="方正黑体_GBK" w:hAnsi="Times New Roman" w:hint="default"/>
          <w:color w:val="000000" w:themeColor="text1"/>
          <w:sz w:val="32"/>
          <w:szCs w:val="32"/>
        </w:rPr>
        <w:t>情况说明</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（一）收入支出决算总体情况说明</w:t>
      </w:r>
    </w:p>
    <w:p w:rsidR="001E69FC" w:rsidRDefault="004C00A9">
      <w:pPr>
        <w:widowControl w:val="0"/>
        <w:spacing w:line="560" w:lineRule="exact"/>
        <w:ind w:firstLineChars="200" w:firstLine="640"/>
        <w:rPr>
          <w:rFonts w:ascii="Times New Roman" w:eastAsia="方正仿宋_GBK" w:hAnsi="Times New Roman" w:hint="default"/>
          <w:bCs/>
          <w:snapToGrid w:val="0"/>
          <w:color w:val="000000" w:themeColor="text1"/>
          <w:sz w:val="32"/>
          <w:szCs w:val="32"/>
        </w:rPr>
      </w:pPr>
      <w:r>
        <w:rPr>
          <w:rFonts w:ascii="Times New Roman" w:eastAsia="方正仿宋_GBK" w:hAnsi="Times New Roman" w:hint="default"/>
          <w:bCs/>
          <w:snapToGrid w:val="0"/>
          <w:color w:val="000000" w:themeColor="text1"/>
          <w:sz w:val="32"/>
          <w:szCs w:val="32"/>
        </w:rPr>
        <w:t>2024</w:t>
      </w:r>
      <w:r>
        <w:rPr>
          <w:rFonts w:ascii="Times New Roman" w:eastAsia="方正仿宋_GBK" w:hAnsi="Times New Roman" w:hint="default"/>
          <w:bCs/>
          <w:snapToGrid w:val="0"/>
          <w:color w:val="000000" w:themeColor="text1"/>
          <w:sz w:val="32"/>
          <w:szCs w:val="32"/>
        </w:rPr>
        <w:t>年度收</w:t>
      </w:r>
      <w:r>
        <w:rPr>
          <w:rFonts w:ascii="Times New Roman" w:eastAsia="方正仿宋_GBK" w:hAnsi="Times New Roman" w:hint="default"/>
          <w:bCs/>
          <w:snapToGrid w:val="0"/>
          <w:color w:val="000000" w:themeColor="text1"/>
          <w:sz w:val="32"/>
          <w:szCs w:val="32"/>
        </w:rPr>
        <w:t>、支</w:t>
      </w:r>
      <w:r>
        <w:rPr>
          <w:rFonts w:ascii="Times New Roman" w:eastAsia="方正仿宋_GBK" w:hAnsi="Times New Roman" w:hint="default"/>
          <w:bCs/>
          <w:snapToGrid w:val="0"/>
          <w:color w:val="000000" w:themeColor="text1"/>
          <w:sz w:val="32"/>
          <w:szCs w:val="32"/>
        </w:rPr>
        <w:t>总计</w:t>
      </w:r>
      <w:r>
        <w:rPr>
          <w:rFonts w:ascii="Times New Roman" w:eastAsia="方正仿宋_GBK" w:hAnsi="Times New Roman" w:hint="default"/>
          <w:bCs/>
          <w:snapToGrid w:val="0"/>
          <w:color w:val="000000" w:themeColor="text1"/>
          <w:sz w:val="32"/>
          <w:szCs w:val="32"/>
        </w:rPr>
        <w:t>均为</w:t>
      </w:r>
      <w:r>
        <w:rPr>
          <w:rFonts w:ascii="Times New Roman" w:eastAsia="方正仿宋_GBK" w:hAnsi="Times New Roman" w:hint="default"/>
          <w:bCs/>
          <w:snapToGrid w:val="0"/>
          <w:color w:val="000000" w:themeColor="text1"/>
          <w:sz w:val="32"/>
          <w:szCs w:val="32"/>
        </w:rPr>
        <w:t>477.72</w:t>
      </w:r>
      <w:r>
        <w:rPr>
          <w:rFonts w:ascii="Times New Roman" w:eastAsia="方正仿宋_GBK" w:hAnsi="Times New Roman" w:hint="default"/>
          <w:bCs/>
          <w:snapToGrid w:val="0"/>
          <w:color w:val="000000" w:themeColor="text1"/>
          <w:sz w:val="32"/>
          <w:szCs w:val="32"/>
        </w:rPr>
        <w:t>万元。收、支与</w:t>
      </w:r>
      <w:r>
        <w:rPr>
          <w:rFonts w:ascii="Times New Roman" w:eastAsia="方正仿宋_GBK" w:hAnsi="Times New Roman" w:hint="default"/>
          <w:bCs/>
          <w:snapToGrid w:val="0"/>
          <w:color w:val="000000" w:themeColor="text1"/>
          <w:sz w:val="32"/>
          <w:szCs w:val="32"/>
        </w:rPr>
        <w:t>2023</w:t>
      </w:r>
      <w:r>
        <w:rPr>
          <w:rFonts w:ascii="Times New Roman" w:eastAsia="方正仿宋_GBK" w:hAnsi="Times New Roman" w:hint="default"/>
          <w:bCs/>
          <w:snapToGrid w:val="0"/>
          <w:color w:val="000000" w:themeColor="text1"/>
          <w:sz w:val="32"/>
          <w:szCs w:val="32"/>
        </w:rPr>
        <w:t>年度相比，增加</w:t>
      </w:r>
      <w:r>
        <w:rPr>
          <w:rFonts w:ascii="Times New Roman" w:eastAsia="方正仿宋_GBK" w:hAnsi="Times New Roman" w:hint="default"/>
          <w:bCs/>
          <w:snapToGrid w:val="0"/>
          <w:color w:val="000000" w:themeColor="text1"/>
          <w:sz w:val="32"/>
          <w:szCs w:val="32"/>
        </w:rPr>
        <w:t>31.54</w:t>
      </w:r>
      <w:r>
        <w:rPr>
          <w:rFonts w:ascii="Times New Roman" w:eastAsia="方正仿宋_GBK" w:hAnsi="Times New Roman" w:hint="default"/>
          <w:bCs/>
          <w:snapToGrid w:val="0"/>
          <w:color w:val="000000" w:themeColor="text1"/>
          <w:sz w:val="32"/>
          <w:szCs w:val="32"/>
        </w:rPr>
        <w:t>万元，增长</w:t>
      </w:r>
      <w:r>
        <w:rPr>
          <w:rFonts w:ascii="Times New Roman" w:eastAsia="方正仿宋_GBK" w:hAnsi="Times New Roman" w:hint="default"/>
          <w:bCs/>
          <w:snapToGrid w:val="0"/>
          <w:color w:val="000000" w:themeColor="text1"/>
          <w:sz w:val="32"/>
          <w:szCs w:val="32"/>
        </w:rPr>
        <w:t>7.1%</w:t>
      </w:r>
      <w:r>
        <w:rPr>
          <w:rFonts w:ascii="Times New Roman" w:eastAsia="方正仿宋_GBK" w:hAnsi="Times New Roman" w:hint="default"/>
          <w:bCs/>
          <w:snapToGrid w:val="0"/>
          <w:color w:val="000000" w:themeColor="text1"/>
          <w:sz w:val="32"/>
          <w:szCs w:val="32"/>
        </w:rPr>
        <w:t>，主要原因是</w:t>
      </w:r>
      <w:r>
        <w:rPr>
          <w:rFonts w:ascii="Times New Roman" w:eastAsia="方正仿宋_GBK" w:hAnsi="Times New Roman" w:hint="default"/>
          <w:bCs/>
          <w:snapToGrid w:val="0"/>
          <w:color w:val="000000" w:themeColor="text1"/>
          <w:sz w:val="32"/>
          <w:szCs w:val="32"/>
        </w:rPr>
        <w:t>2024</w:t>
      </w:r>
      <w:r>
        <w:rPr>
          <w:rFonts w:ascii="Times New Roman" w:eastAsia="方正仿宋_GBK" w:hAnsi="Times New Roman" w:hint="default"/>
          <w:bCs/>
          <w:snapToGrid w:val="0"/>
          <w:color w:val="000000" w:themeColor="text1"/>
          <w:sz w:val="32"/>
          <w:szCs w:val="32"/>
        </w:rPr>
        <w:t>年我单位新招录两名参公人员。</w:t>
      </w:r>
    </w:p>
    <w:p w:rsidR="001E69FC" w:rsidRDefault="004C00A9">
      <w:pPr>
        <w:widowControl w:val="0"/>
        <w:spacing w:line="560" w:lineRule="exact"/>
        <w:ind w:firstLineChars="200" w:firstLine="643"/>
        <w:rPr>
          <w:rFonts w:hint="default"/>
        </w:rPr>
      </w:pPr>
      <w:r>
        <w:rPr>
          <w:rStyle w:val="ab"/>
          <w:rFonts w:ascii="Times New Roman" w:eastAsia="方正仿宋_GBK" w:hAnsi="Times New Roman" w:hint="default"/>
          <w:color w:val="000000" w:themeColor="text1"/>
          <w:sz w:val="32"/>
          <w:szCs w:val="32"/>
          <w:shd w:val="clear" w:color="auto" w:fill="FFFFFF"/>
        </w:rPr>
        <w:t>1.</w:t>
      </w:r>
      <w:r>
        <w:rPr>
          <w:rStyle w:val="ab"/>
          <w:rFonts w:ascii="Times New Roman" w:eastAsia="方正仿宋_GBK" w:hAnsi="Times New Roman" w:hint="default"/>
          <w:color w:val="000000" w:themeColor="text1"/>
          <w:sz w:val="32"/>
          <w:szCs w:val="32"/>
          <w:shd w:val="clear" w:color="auto" w:fill="FFFFFF"/>
        </w:rPr>
        <w:t>收入情况。</w:t>
      </w:r>
      <w:r>
        <w:rPr>
          <w:rFonts w:ascii="Times New Roman" w:eastAsia="方正仿宋_GBK" w:hAnsi="Times New Roman" w:hint="default"/>
          <w:bCs/>
          <w:snapToGrid w:val="0"/>
          <w:color w:val="000000" w:themeColor="text1"/>
          <w:sz w:val="32"/>
          <w:szCs w:val="32"/>
        </w:rPr>
        <w:t>2024</w:t>
      </w:r>
      <w:r>
        <w:rPr>
          <w:rFonts w:ascii="Times New Roman" w:eastAsia="方正仿宋_GBK" w:hAnsi="Times New Roman" w:hint="default"/>
          <w:bCs/>
          <w:snapToGrid w:val="0"/>
          <w:color w:val="000000" w:themeColor="text1"/>
          <w:sz w:val="32"/>
          <w:szCs w:val="32"/>
        </w:rPr>
        <w:t>年度收入合计</w:t>
      </w:r>
      <w:r>
        <w:rPr>
          <w:rFonts w:ascii="Times New Roman" w:eastAsia="方正仿宋_GBK" w:hAnsi="Times New Roman" w:hint="default"/>
          <w:bCs/>
          <w:snapToGrid w:val="0"/>
          <w:color w:val="000000" w:themeColor="text1"/>
          <w:sz w:val="32"/>
          <w:szCs w:val="32"/>
        </w:rPr>
        <w:t>477.72</w:t>
      </w:r>
      <w:r>
        <w:rPr>
          <w:rFonts w:ascii="Times New Roman" w:eastAsia="方正仿宋_GBK" w:hAnsi="Times New Roman" w:hint="default"/>
          <w:bCs/>
          <w:snapToGrid w:val="0"/>
          <w:color w:val="000000" w:themeColor="text1"/>
          <w:sz w:val="32"/>
          <w:szCs w:val="32"/>
        </w:rPr>
        <w:t>万元，与</w:t>
      </w:r>
      <w:r>
        <w:rPr>
          <w:rFonts w:ascii="Times New Roman" w:eastAsia="方正仿宋_GBK" w:hAnsi="Times New Roman" w:hint="default"/>
          <w:bCs/>
          <w:snapToGrid w:val="0"/>
          <w:color w:val="000000" w:themeColor="text1"/>
          <w:sz w:val="32"/>
          <w:szCs w:val="32"/>
        </w:rPr>
        <w:t>2023</w:t>
      </w:r>
      <w:r>
        <w:rPr>
          <w:rFonts w:ascii="Times New Roman" w:eastAsia="方正仿宋_GBK" w:hAnsi="Times New Roman" w:hint="default"/>
          <w:bCs/>
          <w:snapToGrid w:val="0"/>
          <w:color w:val="000000" w:themeColor="text1"/>
          <w:sz w:val="32"/>
          <w:szCs w:val="32"/>
        </w:rPr>
        <w:t>年度相比，增加</w:t>
      </w:r>
      <w:r>
        <w:rPr>
          <w:rFonts w:ascii="Times New Roman" w:eastAsia="方正仿宋_GBK" w:hAnsi="Times New Roman" w:hint="default"/>
          <w:bCs/>
          <w:snapToGrid w:val="0"/>
          <w:color w:val="000000" w:themeColor="text1"/>
          <w:sz w:val="32"/>
          <w:szCs w:val="32"/>
        </w:rPr>
        <w:t>31.54</w:t>
      </w:r>
      <w:r>
        <w:rPr>
          <w:rFonts w:ascii="Times New Roman" w:eastAsia="方正仿宋_GBK" w:hAnsi="Times New Roman" w:hint="default"/>
          <w:bCs/>
          <w:snapToGrid w:val="0"/>
          <w:color w:val="000000" w:themeColor="text1"/>
          <w:sz w:val="32"/>
          <w:szCs w:val="32"/>
        </w:rPr>
        <w:t>万元，增长</w:t>
      </w:r>
      <w:r>
        <w:rPr>
          <w:rFonts w:ascii="Times New Roman" w:eastAsia="方正仿宋_GBK" w:hAnsi="Times New Roman" w:hint="default"/>
          <w:bCs/>
          <w:snapToGrid w:val="0"/>
          <w:color w:val="000000" w:themeColor="text1"/>
          <w:sz w:val="32"/>
          <w:szCs w:val="32"/>
        </w:rPr>
        <w:t>7.1%</w:t>
      </w:r>
      <w:r>
        <w:rPr>
          <w:rFonts w:ascii="Times New Roman" w:eastAsia="方正仿宋_GBK" w:hAnsi="Times New Roman" w:hint="default"/>
          <w:bCs/>
          <w:snapToGrid w:val="0"/>
          <w:color w:val="000000" w:themeColor="text1"/>
          <w:sz w:val="32"/>
          <w:szCs w:val="32"/>
        </w:rPr>
        <w:t>，主要原因是</w:t>
      </w:r>
      <w:r>
        <w:rPr>
          <w:rFonts w:ascii="Times New Roman" w:eastAsia="方正仿宋_GBK" w:hAnsi="Times New Roman" w:hint="default"/>
          <w:bCs/>
          <w:snapToGrid w:val="0"/>
          <w:color w:val="000000" w:themeColor="text1"/>
          <w:sz w:val="32"/>
          <w:szCs w:val="32"/>
        </w:rPr>
        <w:t>2024</w:t>
      </w:r>
      <w:r>
        <w:rPr>
          <w:rFonts w:ascii="Times New Roman" w:eastAsia="方正仿宋_GBK" w:hAnsi="Times New Roman" w:hint="default"/>
          <w:bCs/>
          <w:snapToGrid w:val="0"/>
          <w:color w:val="000000" w:themeColor="text1"/>
          <w:sz w:val="32"/>
          <w:szCs w:val="32"/>
        </w:rPr>
        <w:t>年我单位新招录两名参公人员。</w:t>
      </w:r>
      <w:r>
        <w:rPr>
          <w:rFonts w:ascii="Times New Roman" w:eastAsia="方正仿宋_GBK" w:hAnsi="Times New Roman" w:hint="default"/>
          <w:bCs/>
          <w:snapToGrid w:val="0"/>
          <w:color w:val="000000" w:themeColor="text1"/>
          <w:sz w:val="32"/>
          <w:szCs w:val="32"/>
        </w:rPr>
        <w:t>其中：财政拨款收入</w:t>
      </w:r>
      <w:r>
        <w:rPr>
          <w:rFonts w:ascii="Times New Roman" w:eastAsia="方正仿宋_GBK" w:hAnsi="Times New Roman" w:hint="default"/>
          <w:bCs/>
          <w:snapToGrid w:val="0"/>
          <w:color w:val="000000" w:themeColor="text1"/>
          <w:sz w:val="32"/>
          <w:szCs w:val="32"/>
        </w:rPr>
        <w:t>477.72</w:t>
      </w:r>
      <w:r>
        <w:rPr>
          <w:rFonts w:ascii="Times New Roman" w:eastAsia="方正仿宋_GBK" w:hAnsi="Times New Roman" w:hint="default"/>
          <w:bCs/>
          <w:snapToGrid w:val="0"/>
          <w:color w:val="000000" w:themeColor="text1"/>
          <w:sz w:val="32"/>
          <w:szCs w:val="32"/>
        </w:rPr>
        <w:t>万元，占</w:t>
      </w:r>
      <w:r>
        <w:rPr>
          <w:rFonts w:ascii="Times New Roman" w:eastAsia="方正仿宋_GBK" w:hAnsi="Times New Roman" w:hint="default"/>
          <w:bCs/>
          <w:snapToGrid w:val="0"/>
          <w:color w:val="000000" w:themeColor="text1"/>
          <w:sz w:val="32"/>
          <w:szCs w:val="32"/>
        </w:rPr>
        <w:t>100.0%</w:t>
      </w:r>
      <w:r>
        <w:rPr>
          <w:rFonts w:ascii="Times New Roman" w:eastAsia="方正仿宋_GBK" w:hAnsi="Times New Roman" w:hint="default"/>
          <w:bCs/>
          <w:snapToGrid w:val="0"/>
          <w:color w:val="000000" w:themeColor="text1"/>
          <w:sz w:val="32"/>
          <w:szCs w:val="32"/>
        </w:rPr>
        <w:t>；事业收入</w:t>
      </w:r>
      <w:r>
        <w:rPr>
          <w:rFonts w:ascii="Times New Roman" w:eastAsia="方正仿宋_GBK" w:hAnsi="Times New Roman" w:hint="default"/>
          <w:bCs/>
          <w:snapToGrid w:val="0"/>
          <w:color w:val="000000" w:themeColor="text1"/>
          <w:sz w:val="32"/>
          <w:szCs w:val="32"/>
        </w:rPr>
        <w:t>0.00</w:t>
      </w:r>
      <w:r>
        <w:rPr>
          <w:rFonts w:ascii="Times New Roman" w:eastAsia="方正仿宋_GBK" w:hAnsi="Times New Roman" w:hint="default"/>
          <w:bCs/>
          <w:snapToGrid w:val="0"/>
          <w:color w:val="000000" w:themeColor="text1"/>
          <w:sz w:val="32"/>
          <w:szCs w:val="32"/>
        </w:rPr>
        <w:t>万元，占</w:t>
      </w:r>
      <w:r>
        <w:rPr>
          <w:rFonts w:ascii="Times New Roman" w:eastAsia="方正仿宋_GBK" w:hAnsi="Times New Roman" w:hint="default"/>
          <w:bCs/>
          <w:snapToGrid w:val="0"/>
          <w:color w:val="000000" w:themeColor="text1"/>
          <w:sz w:val="32"/>
          <w:szCs w:val="32"/>
        </w:rPr>
        <w:t>0.0%</w:t>
      </w:r>
      <w:r>
        <w:rPr>
          <w:rFonts w:ascii="Times New Roman" w:eastAsia="方正仿宋_GBK" w:hAnsi="Times New Roman" w:hint="default"/>
          <w:bCs/>
          <w:snapToGrid w:val="0"/>
          <w:color w:val="000000" w:themeColor="text1"/>
          <w:sz w:val="32"/>
          <w:szCs w:val="32"/>
        </w:rPr>
        <w:t>；经营收入</w:t>
      </w:r>
      <w:r>
        <w:rPr>
          <w:rFonts w:ascii="Times New Roman" w:eastAsia="方正仿宋_GBK" w:hAnsi="Times New Roman" w:hint="default"/>
          <w:bCs/>
          <w:snapToGrid w:val="0"/>
          <w:color w:val="000000" w:themeColor="text1"/>
          <w:sz w:val="32"/>
          <w:szCs w:val="32"/>
        </w:rPr>
        <w:t>0.00</w:t>
      </w:r>
      <w:r>
        <w:rPr>
          <w:rFonts w:ascii="Times New Roman" w:eastAsia="方正仿宋_GBK" w:hAnsi="Times New Roman" w:hint="default"/>
          <w:bCs/>
          <w:snapToGrid w:val="0"/>
          <w:color w:val="000000" w:themeColor="text1"/>
          <w:sz w:val="32"/>
          <w:szCs w:val="32"/>
        </w:rPr>
        <w:t>万元，占</w:t>
      </w:r>
      <w:r>
        <w:rPr>
          <w:rFonts w:ascii="Times New Roman" w:eastAsia="方正仿宋_GBK" w:hAnsi="Times New Roman" w:hint="default"/>
          <w:bCs/>
          <w:snapToGrid w:val="0"/>
          <w:color w:val="000000" w:themeColor="text1"/>
          <w:sz w:val="32"/>
          <w:szCs w:val="32"/>
        </w:rPr>
        <w:t>0.0%</w:t>
      </w:r>
      <w:r>
        <w:rPr>
          <w:rFonts w:ascii="Times New Roman" w:eastAsia="方正仿宋_GBK" w:hAnsi="Times New Roman" w:hint="default"/>
          <w:bCs/>
          <w:snapToGrid w:val="0"/>
          <w:color w:val="000000" w:themeColor="text1"/>
          <w:sz w:val="32"/>
          <w:szCs w:val="32"/>
        </w:rPr>
        <w:t>；其他收入</w:t>
      </w:r>
      <w:r>
        <w:rPr>
          <w:rFonts w:ascii="Times New Roman" w:eastAsia="方正仿宋_GBK" w:hAnsi="Times New Roman" w:hint="default"/>
          <w:bCs/>
          <w:snapToGrid w:val="0"/>
          <w:color w:val="000000" w:themeColor="text1"/>
          <w:sz w:val="32"/>
          <w:szCs w:val="32"/>
        </w:rPr>
        <w:t>0.00</w:t>
      </w:r>
      <w:r>
        <w:rPr>
          <w:rFonts w:ascii="Times New Roman" w:eastAsia="方正仿宋_GBK" w:hAnsi="Times New Roman" w:hint="default"/>
          <w:bCs/>
          <w:snapToGrid w:val="0"/>
          <w:color w:val="000000" w:themeColor="text1"/>
          <w:sz w:val="32"/>
          <w:szCs w:val="32"/>
        </w:rPr>
        <w:t>万元，占</w:t>
      </w:r>
      <w:r>
        <w:rPr>
          <w:rFonts w:ascii="Times New Roman" w:eastAsia="方正仿宋_GBK" w:hAnsi="Times New Roman" w:hint="default"/>
          <w:bCs/>
          <w:snapToGrid w:val="0"/>
          <w:color w:val="000000" w:themeColor="text1"/>
          <w:sz w:val="32"/>
          <w:szCs w:val="32"/>
        </w:rPr>
        <w:t>0.0%</w:t>
      </w:r>
      <w:r>
        <w:rPr>
          <w:rFonts w:ascii="Times New Roman" w:eastAsia="方正仿宋_GBK" w:hAnsi="Times New Roman" w:hint="default"/>
          <w:bCs/>
          <w:snapToGrid w:val="0"/>
          <w:color w:val="000000" w:themeColor="text1"/>
          <w:sz w:val="32"/>
          <w:szCs w:val="32"/>
        </w:rPr>
        <w:t>。此外，使用非财政拨款结余（含专用结余）</w:t>
      </w:r>
      <w:r>
        <w:rPr>
          <w:rFonts w:ascii="Times New Roman" w:eastAsia="方正仿宋_GBK" w:hAnsi="Times New Roman" w:hint="default"/>
          <w:bCs/>
          <w:snapToGrid w:val="0"/>
          <w:color w:val="000000" w:themeColor="text1"/>
          <w:sz w:val="32"/>
          <w:szCs w:val="32"/>
        </w:rPr>
        <w:t>0.00</w:t>
      </w:r>
      <w:r>
        <w:rPr>
          <w:rFonts w:ascii="Times New Roman" w:eastAsia="方正仿宋_GBK" w:hAnsi="Times New Roman" w:hint="default"/>
          <w:bCs/>
          <w:snapToGrid w:val="0"/>
          <w:color w:val="000000" w:themeColor="text1"/>
          <w:sz w:val="32"/>
          <w:szCs w:val="32"/>
        </w:rPr>
        <w:t>万元，年初结转和结余</w:t>
      </w:r>
      <w:r>
        <w:rPr>
          <w:rFonts w:ascii="Times New Roman" w:eastAsia="方正仿宋_GBK" w:hAnsi="Times New Roman" w:hint="default"/>
          <w:bCs/>
          <w:snapToGrid w:val="0"/>
          <w:color w:val="000000" w:themeColor="text1"/>
          <w:sz w:val="32"/>
          <w:szCs w:val="32"/>
        </w:rPr>
        <w:t>0.00</w:t>
      </w:r>
      <w:r>
        <w:rPr>
          <w:rFonts w:ascii="Times New Roman" w:eastAsia="方正仿宋_GBK" w:hAnsi="Times New Roman" w:hint="default"/>
          <w:bCs/>
          <w:snapToGrid w:val="0"/>
          <w:color w:val="000000" w:themeColor="text1"/>
          <w:sz w:val="32"/>
          <w:szCs w:val="32"/>
        </w:rPr>
        <w:t>万元。</w:t>
      </w:r>
    </w:p>
    <w:p w:rsidR="001E69FC" w:rsidRDefault="004C00A9">
      <w:pPr>
        <w:pStyle w:val="a9"/>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shd w:val="clear" w:color="auto" w:fill="FFFFFF"/>
        </w:rPr>
      </w:pPr>
      <w:r>
        <w:rPr>
          <w:rStyle w:val="ab"/>
          <w:rFonts w:ascii="Times New Roman" w:eastAsia="方正仿宋_GBK" w:hAnsi="Times New Roman" w:hint="default"/>
          <w:color w:val="000000" w:themeColor="text1"/>
          <w:sz w:val="32"/>
          <w:szCs w:val="32"/>
          <w:shd w:val="clear" w:color="auto" w:fill="FFFFFF"/>
        </w:rPr>
        <w:t>2</w:t>
      </w:r>
      <w:r>
        <w:rPr>
          <w:rStyle w:val="ab"/>
          <w:rFonts w:ascii="Times New Roman" w:eastAsia="方正仿宋_GBK" w:hAnsi="Times New Roman" w:hint="default"/>
          <w:color w:val="000000" w:themeColor="text1"/>
          <w:sz w:val="32"/>
          <w:szCs w:val="32"/>
          <w:shd w:val="clear" w:color="auto" w:fill="FFFFFF"/>
        </w:rPr>
        <w:t>.</w:t>
      </w:r>
      <w:r>
        <w:rPr>
          <w:rStyle w:val="ab"/>
          <w:rFonts w:ascii="Times New Roman" w:eastAsia="方正仿宋_GBK" w:hAnsi="Times New Roman" w:hint="default"/>
          <w:color w:val="000000" w:themeColor="text1"/>
          <w:sz w:val="32"/>
          <w:szCs w:val="32"/>
          <w:shd w:val="clear" w:color="auto" w:fill="FFFFFF"/>
        </w:rPr>
        <w:t>支出情况。</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年度支出合计</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31.54</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7.1%</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w:t>
      </w:r>
      <w:r>
        <w:rPr>
          <w:rFonts w:ascii="Times New Roman" w:eastAsia="方正仿宋_GBK" w:hAnsi="Times New Roman" w:hint="default"/>
          <w:color w:val="000000" w:themeColor="text1"/>
          <w:sz w:val="32"/>
          <w:szCs w:val="32"/>
          <w:shd w:val="clear" w:color="auto" w:fill="FFFFFF"/>
        </w:rPr>
        <w:t>其中：基本支出</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100.0%</w:t>
      </w:r>
      <w:r>
        <w:rPr>
          <w:rFonts w:ascii="Times New Roman" w:eastAsia="方正仿宋_GBK" w:hAnsi="Times New Roman" w:hint="default"/>
          <w:color w:val="000000" w:themeColor="text1"/>
          <w:sz w:val="32"/>
          <w:szCs w:val="32"/>
          <w:shd w:val="clear" w:color="auto" w:fill="FFFFFF"/>
        </w:rPr>
        <w:t>；项目支出</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0.0%</w:t>
      </w:r>
      <w:r>
        <w:rPr>
          <w:rFonts w:ascii="Times New Roman" w:eastAsia="方正仿宋_GBK" w:hAnsi="Times New Roman" w:hint="default"/>
          <w:color w:val="000000" w:themeColor="text1"/>
          <w:sz w:val="32"/>
          <w:szCs w:val="32"/>
          <w:shd w:val="clear" w:color="auto" w:fill="FFFFFF"/>
        </w:rPr>
        <w:t>；经营支出</w:t>
      </w:r>
      <w:r>
        <w:rPr>
          <w:rFonts w:ascii="Times New Roman" w:eastAsia="方正仿宋_GBK" w:hAnsi="Times New Roman" w:hint="default"/>
          <w:color w:val="000000" w:themeColor="text1"/>
          <w:sz w:val="32"/>
          <w:szCs w:val="32"/>
        </w:rPr>
        <w:t>0.00</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0.0%</w:t>
      </w:r>
      <w:r>
        <w:rPr>
          <w:rFonts w:ascii="Times New Roman" w:eastAsia="方正仿宋_GBK" w:hAnsi="Times New Roman" w:hint="default"/>
          <w:color w:val="000000" w:themeColor="text1"/>
          <w:sz w:val="32"/>
          <w:szCs w:val="32"/>
          <w:shd w:val="clear" w:color="auto" w:fill="FFFFFF"/>
        </w:rPr>
        <w:t>。此外，结余分配</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w:t>
      </w:r>
    </w:p>
    <w:p w:rsidR="001E69FC" w:rsidRDefault="004C00A9">
      <w:pPr>
        <w:pStyle w:val="a9"/>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rPr>
      </w:pPr>
      <w:r>
        <w:rPr>
          <w:rStyle w:val="ab"/>
          <w:rFonts w:ascii="Times New Roman" w:eastAsia="方正仿宋_GBK" w:hAnsi="Times New Roman" w:hint="default"/>
          <w:color w:val="000000" w:themeColor="text1"/>
          <w:sz w:val="32"/>
          <w:szCs w:val="32"/>
          <w:shd w:val="clear" w:color="auto" w:fill="FFFFFF"/>
        </w:rPr>
        <w:t>3</w:t>
      </w:r>
      <w:r>
        <w:rPr>
          <w:rStyle w:val="ab"/>
          <w:rFonts w:ascii="Times New Roman" w:eastAsia="方正仿宋_GBK" w:hAnsi="Times New Roman" w:hint="default"/>
          <w:color w:val="000000" w:themeColor="text1"/>
          <w:sz w:val="32"/>
          <w:szCs w:val="32"/>
          <w:shd w:val="clear" w:color="auto" w:fill="FFFFFF"/>
        </w:rPr>
        <w:t>.</w:t>
      </w:r>
      <w:r>
        <w:rPr>
          <w:rStyle w:val="ab"/>
          <w:rFonts w:ascii="Times New Roman" w:eastAsia="方正仿宋_GBK" w:hAnsi="Times New Roman" w:hint="default"/>
          <w:color w:val="000000" w:themeColor="text1"/>
          <w:sz w:val="32"/>
          <w:szCs w:val="32"/>
          <w:shd w:val="clear" w:color="auto" w:fill="FFFFFF"/>
        </w:rPr>
        <w:t>结转结余情况。</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年度年末结转和结余</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年度相比，无增减</w:t>
      </w:r>
      <w:r>
        <w:rPr>
          <w:rFonts w:ascii="Times New Roman" w:eastAsia="方正仿宋_GBK" w:hAnsi="Times New Roman" w:hint="default"/>
          <w:color w:val="000000" w:themeColor="text1"/>
          <w:sz w:val="32"/>
          <w:szCs w:val="32"/>
          <w:shd w:val="clear" w:color="auto" w:fill="FFFFFF"/>
        </w:rPr>
        <w:t>变动。</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（二）财政拨款收入支出决算总体情况说明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年度财政拨款收、支总计均为</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w:t>
      </w:r>
      <w:r>
        <w:rPr>
          <w:rFonts w:ascii="Times New Roman" w:eastAsia="方正仿宋_GBK" w:hAnsi="Times New Roman" w:hint="default"/>
          <w:color w:val="000000" w:themeColor="text1"/>
          <w:sz w:val="32"/>
          <w:szCs w:val="32"/>
          <w:shd w:val="clear" w:color="auto" w:fill="FFFFFF"/>
        </w:rPr>
        <w:t>度</w:t>
      </w:r>
      <w:r>
        <w:rPr>
          <w:rFonts w:ascii="Times New Roman" w:eastAsia="方正仿宋_GBK" w:hAnsi="Times New Roman" w:hint="default"/>
          <w:color w:val="000000" w:themeColor="text1"/>
          <w:sz w:val="32"/>
          <w:szCs w:val="32"/>
          <w:shd w:val="clear" w:color="auto" w:fill="FFFFFF"/>
        </w:rPr>
        <w:t>相比，财政拨款收、支总计各增加</w:t>
      </w:r>
      <w:r>
        <w:rPr>
          <w:rFonts w:ascii="Times New Roman" w:eastAsia="方正仿宋_GBK" w:hAnsi="Times New Roman" w:hint="default"/>
          <w:color w:val="000000" w:themeColor="text1"/>
          <w:sz w:val="32"/>
          <w:szCs w:val="32"/>
          <w:shd w:val="clear" w:color="auto" w:fill="FFFFFF"/>
        </w:rPr>
        <w:t>31.54</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7.1%</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lastRenderedPageBreak/>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（三）一般公共预算财政拨款收入支出决算情况说明</w:t>
      </w:r>
    </w:p>
    <w:p w:rsidR="001E69FC" w:rsidRDefault="004C00A9">
      <w:pPr>
        <w:pStyle w:val="a9"/>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rPr>
      </w:pPr>
      <w:r>
        <w:rPr>
          <w:rStyle w:val="ab"/>
          <w:rFonts w:ascii="Times New Roman" w:eastAsia="方正仿宋_GBK" w:hAnsi="Times New Roman" w:hint="default"/>
          <w:color w:val="000000" w:themeColor="text1"/>
          <w:sz w:val="32"/>
          <w:szCs w:val="32"/>
          <w:shd w:val="clear" w:color="auto" w:fill="FFFFFF"/>
        </w:rPr>
        <w:t>1.</w:t>
      </w:r>
      <w:r>
        <w:rPr>
          <w:rStyle w:val="ab"/>
          <w:rFonts w:ascii="Times New Roman" w:eastAsia="方正仿宋_GBK" w:hAnsi="Times New Roman" w:hint="default"/>
          <w:color w:val="000000" w:themeColor="text1"/>
          <w:sz w:val="32"/>
          <w:szCs w:val="32"/>
          <w:shd w:val="clear" w:color="auto" w:fill="FFFFFF"/>
        </w:rPr>
        <w:t>收入情况。</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年度一般公共预算财政拨款收入</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31.54</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7.1%</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年我单位新招录两名公务员。较年初预算数增加</w:t>
      </w:r>
      <w:r>
        <w:rPr>
          <w:rFonts w:ascii="Times New Roman" w:eastAsia="方正仿宋_GBK" w:hAnsi="Times New Roman" w:hint="default"/>
          <w:color w:val="000000" w:themeColor="text1"/>
          <w:sz w:val="32"/>
          <w:szCs w:val="32"/>
          <w:shd w:val="clear" w:color="auto" w:fill="FFFFFF"/>
        </w:rPr>
        <w:t>23.81</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5.3%</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年我单位新招录两名参公人员，年中向县财政局追加公用经费和人员经费。此外，年初财政拨款结转和结余</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w:t>
      </w:r>
    </w:p>
    <w:p w:rsidR="001E69FC" w:rsidRDefault="004C00A9">
      <w:pPr>
        <w:pStyle w:val="a9"/>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shd w:val="clear" w:color="auto" w:fill="FFFFFF"/>
        </w:rPr>
      </w:pPr>
      <w:r>
        <w:rPr>
          <w:rStyle w:val="ab"/>
          <w:rFonts w:ascii="Times New Roman" w:eastAsia="方正仿宋_GBK" w:hAnsi="Times New Roman" w:hint="default"/>
          <w:color w:val="000000" w:themeColor="text1"/>
          <w:sz w:val="32"/>
          <w:szCs w:val="32"/>
          <w:shd w:val="clear" w:color="auto" w:fill="FFFFFF"/>
        </w:rPr>
        <w:t>2.</w:t>
      </w:r>
      <w:r>
        <w:rPr>
          <w:rStyle w:val="ab"/>
          <w:rFonts w:ascii="Times New Roman" w:eastAsia="方正仿宋_GBK" w:hAnsi="Times New Roman" w:hint="default"/>
          <w:color w:val="000000" w:themeColor="text1"/>
          <w:sz w:val="32"/>
          <w:szCs w:val="32"/>
          <w:shd w:val="clear" w:color="auto" w:fill="FFFFFF"/>
        </w:rPr>
        <w:t>支出情况。</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年度一般公共预算财政拨款支出</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31.54</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7.1%</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年我单位新招录两名公务员。较年初预算数增加</w:t>
      </w:r>
      <w:r>
        <w:rPr>
          <w:rFonts w:ascii="Times New Roman" w:eastAsia="方正仿宋_GBK" w:hAnsi="Times New Roman" w:hint="default"/>
          <w:color w:val="000000" w:themeColor="text1"/>
          <w:sz w:val="32"/>
          <w:szCs w:val="32"/>
          <w:shd w:val="clear" w:color="auto" w:fill="FFFFFF"/>
        </w:rPr>
        <w:t>23</w:t>
      </w:r>
      <w:r>
        <w:rPr>
          <w:rFonts w:ascii="Times New Roman" w:eastAsia="方正仿宋_GBK" w:hAnsi="Times New Roman" w:hint="default"/>
          <w:color w:val="000000" w:themeColor="text1"/>
          <w:sz w:val="32"/>
          <w:szCs w:val="32"/>
          <w:shd w:val="clear" w:color="auto" w:fill="FFFFFF"/>
        </w:rPr>
        <w:t>.81</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5.3%</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年中向县财政局追加公用经费和人员经费。</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一般公共预算财政拨款支出主要</w:t>
      </w:r>
      <w:r>
        <w:rPr>
          <w:rFonts w:ascii="Times New Roman" w:eastAsia="方正仿宋_GBK" w:hAnsi="Times New Roman" w:hint="default"/>
          <w:color w:val="000000" w:themeColor="text1"/>
          <w:sz w:val="32"/>
          <w:szCs w:val="32"/>
          <w:shd w:val="clear" w:color="auto" w:fill="FFFFFF"/>
        </w:rPr>
        <w:t>用途如下</w:t>
      </w:r>
      <w:r>
        <w:rPr>
          <w:rFonts w:ascii="Times New Roman" w:eastAsia="方正仿宋_GBK" w:hAnsi="Times New Roman" w:hint="default"/>
          <w:color w:val="000000" w:themeColor="text1"/>
          <w:sz w:val="32"/>
          <w:szCs w:val="32"/>
          <w:shd w:val="clear" w:color="auto" w:fill="FFFFFF"/>
        </w:rPr>
        <w:t>：</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）社会保障</w:t>
      </w:r>
      <w:r>
        <w:rPr>
          <w:rFonts w:ascii="Times New Roman" w:eastAsia="方正仿宋_GBK" w:hAnsi="Times New Roman" w:hint="default"/>
          <w:color w:val="000000" w:themeColor="text1"/>
          <w:sz w:val="32"/>
          <w:szCs w:val="32"/>
          <w:shd w:val="clear" w:color="auto" w:fill="FFFFFF"/>
        </w:rPr>
        <w:t>和</w:t>
      </w:r>
      <w:r>
        <w:rPr>
          <w:rFonts w:ascii="Times New Roman" w:eastAsia="方正仿宋_GBK" w:hAnsi="Times New Roman" w:hint="default"/>
          <w:color w:val="000000" w:themeColor="text1"/>
          <w:sz w:val="32"/>
          <w:szCs w:val="32"/>
          <w:shd w:val="clear" w:color="auto" w:fill="FFFFFF"/>
        </w:rPr>
        <w:t>就业支出</w:t>
      </w:r>
      <w:r>
        <w:rPr>
          <w:rFonts w:ascii="Times New Roman" w:eastAsia="方正仿宋_GBK" w:hAnsi="Times New Roman" w:hint="default"/>
          <w:color w:val="000000" w:themeColor="text1"/>
          <w:sz w:val="32"/>
          <w:szCs w:val="32"/>
          <w:shd w:val="clear" w:color="auto" w:fill="FFFFFF"/>
        </w:rPr>
        <w:t>57.32</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12.0%</w:t>
      </w:r>
      <w:r>
        <w:rPr>
          <w:rFonts w:ascii="Times New Roman" w:eastAsia="方正仿宋_GBK" w:hAnsi="Times New Roman" w:hint="default"/>
          <w:color w:val="000000" w:themeColor="text1"/>
          <w:sz w:val="32"/>
          <w:szCs w:val="32"/>
          <w:shd w:val="clear" w:color="auto" w:fill="FFFFFF"/>
        </w:rPr>
        <w:t>，较年初预算数增加</w:t>
      </w:r>
      <w:r>
        <w:rPr>
          <w:rFonts w:ascii="Times New Roman" w:eastAsia="方正仿宋_GBK" w:hAnsi="Times New Roman" w:hint="default"/>
          <w:color w:val="000000" w:themeColor="text1"/>
          <w:sz w:val="32"/>
          <w:szCs w:val="32"/>
          <w:shd w:val="clear" w:color="auto" w:fill="FFFFFF"/>
        </w:rPr>
        <w:t>1.55</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2.8%</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本年度新招录两名参公人员，年中向县财政局追加人员经费。</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2</w:t>
      </w:r>
      <w:r>
        <w:rPr>
          <w:rFonts w:ascii="Times New Roman" w:eastAsia="方正仿宋_GBK" w:hAnsi="Times New Roman" w:hint="default"/>
          <w:color w:val="000000" w:themeColor="text1"/>
          <w:sz w:val="32"/>
          <w:szCs w:val="32"/>
          <w:shd w:val="clear" w:color="auto" w:fill="FFFFFF"/>
        </w:rPr>
        <w:t>）卫生健康支出</w:t>
      </w:r>
      <w:r>
        <w:rPr>
          <w:rFonts w:ascii="Times New Roman" w:eastAsia="方正仿宋_GBK" w:hAnsi="Times New Roman" w:hint="default"/>
          <w:color w:val="000000" w:themeColor="text1"/>
          <w:sz w:val="32"/>
          <w:szCs w:val="32"/>
          <w:shd w:val="clear" w:color="auto" w:fill="FFFFFF"/>
        </w:rPr>
        <w:t>389.10</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81.5%</w:t>
      </w:r>
      <w:r>
        <w:rPr>
          <w:rFonts w:ascii="Times New Roman" w:eastAsia="方正仿宋_GBK" w:hAnsi="Times New Roman" w:hint="default"/>
          <w:color w:val="000000" w:themeColor="text1"/>
          <w:sz w:val="32"/>
          <w:szCs w:val="32"/>
          <w:shd w:val="clear" w:color="auto" w:fill="FFFFFF"/>
        </w:rPr>
        <w:t>，较年初预算数增加</w:t>
      </w:r>
      <w:r>
        <w:rPr>
          <w:rFonts w:ascii="Times New Roman" w:eastAsia="方正仿宋_GBK" w:hAnsi="Times New Roman" w:hint="default"/>
          <w:color w:val="000000" w:themeColor="text1"/>
          <w:sz w:val="32"/>
          <w:szCs w:val="32"/>
          <w:shd w:val="clear" w:color="auto" w:fill="FFFFFF"/>
        </w:rPr>
        <w:t>22.32</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6.1%</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本年度新招录两名参公人员，年中向县财政局追加人员经费。</w:t>
      </w:r>
    </w:p>
    <w:p w:rsidR="001E69FC" w:rsidRDefault="004C00A9">
      <w:pPr>
        <w:widowControl w:val="0"/>
        <w:spacing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3</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rPr>
        <w:t>住房保障支出</w:t>
      </w:r>
      <w:r>
        <w:rPr>
          <w:rFonts w:ascii="Times New Roman" w:eastAsia="方正仿宋_GBK" w:hAnsi="Times New Roman" w:hint="default"/>
          <w:color w:val="000000" w:themeColor="text1"/>
          <w:sz w:val="32"/>
          <w:szCs w:val="32"/>
          <w:shd w:val="clear" w:color="auto" w:fill="FFFFFF"/>
        </w:rPr>
        <w:t>31.30</w:t>
      </w:r>
      <w:r>
        <w:rPr>
          <w:rFonts w:ascii="Times New Roman" w:eastAsia="方正仿宋_GBK" w:hAnsi="Times New Roman" w:hint="default"/>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6.6%</w:t>
      </w:r>
      <w:r>
        <w:rPr>
          <w:rFonts w:ascii="Times New Roman" w:eastAsia="方正仿宋_GBK" w:hAnsi="Times New Roman" w:hint="default"/>
          <w:color w:val="000000" w:themeColor="text1"/>
          <w:sz w:val="32"/>
          <w:szCs w:val="32"/>
          <w:shd w:val="clear" w:color="auto" w:fill="FFFFFF"/>
        </w:rPr>
        <w:t>，较年初预算数减少</w:t>
      </w:r>
      <w:r>
        <w:rPr>
          <w:rFonts w:ascii="Times New Roman" w:eastAsia="方正仿宋_GBK" w:hAnsi="Times New Roman" w:hint="default"/>
          <w:color w:val="000000" w:themeColor="text1"/>
          <w:sz w:val="32"/>
          <w:szCs w:val="32"/>
          <w:shd w:val="clear" w:color="auto" w:fill="FFFFFF"/>
        </w:rPr>
        <w:t>0.06</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0.2%</w:t>
      </w:r>
      <w:r>
        <w:rPr>
          <w:rFonts w:ascii="Times New Roman" w:eastAsia="方正仿宋_GBK" w:hAnsi="Times New Roman" w:hint="default"/>
          <w:color w:val="000000" w:themeColor="text1"/>
          <w:sz w:val="32"/>
          <w:szCs w:val="32"/>
          <w:shd w:val="clear" w:color="auto" w:fill="FFFFFF"/>
        </w:rPr>
        <w:t>，主要原因是年中县财政局追</w:t>
      </w:r>
      <w:r>
        <w:rPr>
          <w:rFonts w:ascii="Times New Roman" w:eastAsia="方正仿宋_GBK" w:hAnsi="Times New Roman" w:hint="default"/>
          <w:color w:val="000000" w:themeColor="text1"/>
          <w:sz w:val="32"/>
          <w:szCs w:val="32"/>
          <w:shd w:val="clear" w:color="auto" w:fill="FFFFFF"/>
        </w:rPr>
        <w:t>减。</w:t>
      </w:r>
    </w:p>
    <w:p w:rsidR="001E69FC" w:rsidRDefault="004C00A9">
      <w:pPr>
        <w:pStyle w:val="a9"/>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shd w:val="clear" w:color="auto" w:fill="FFFFFF"/>
        </w:rPr>
      </w:pPr>
      <w:r>
        <w:rPr>
          <w:rStyle w:val="ab"/>
          <w:rFonts w:ascii="Times New Roman" w:eastAsia="方正仿宋_GBK" w:hAnsi="Times New Roman" w:hint="default"/>
          <w:color w:val="000000" w:themeColor="text1"/>
          <w:sz w:val="32"/>
          <w:szCs w:val="32"/>
          <w:shd w:val="clear" w:color="auto" w:fill="FFFFFF"/>
        </w:rPr>
        <w:lastRenderedPageBreak/>
        <w:t>3.</w:t>
      </w:r>
      <w:r>
        <w:rPr>
          <w:rStyle w:val="ab"/>
          <w:rFonts w:ascii="Times New Roman" w:eastAsia="方正仿宋_GBK" w:hAnsi="Times New Roman" w:hint="default"/>
          <w:color w:val="000000" w:themeColor="text1"/>
          <w:sz w:val="32"/>
          <w:szCs w:val="32"/>
          <w:shd w:val="clear" w:color="auto" w:fill="FFFFFF"/>
        </w:rPr>
        <w:t>结转结余情况。</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年度年末一般公共预算财政拨款结转和结余</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年度相比，无增减</w:t>
      </w:r>
      <w:r>
        <w:rPr>
          <w:rFonts w:ascii="Times New Roman" w:eastAsia="方正仿宋_GBK" w:hAnsi="Times New Roman" w:hint="default"/>
          <w:color w:val="000000" w:themeColor="text1"/>
          <w:sz w:val="32"/>
          <w:szCs w:val="32"/>
          <w:shd w:val="clear" w:color="auto" w:fill="FFFFFF"/>
        </w:rPr>
        <w:t>。</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（四）一般公共预算财政拨款基本支出决算情况说明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年度一般公共财政拨款基本支出</w:t>
      </w:r>
      <w:r>
        <w:rPr>
          <w:rFonts w:ascii="Times New Roman" w:eastAsia="方正仿宋_GBK" w:hAnsi="Times New Roman" w:hint="default"/>
          <w:color w:val="000000" w:themeColor="text1"/>
          <w:sz w:val="32"/>
          <w:szCs w:val="32"/>
          <w:shd w:val="clear" w:color="auto" w:fill="FFFFFF"/>
        </w:rPr>
        <w:t>477.72</w:t>
      </w:r>
      <w:r>
        <w:rPr>
          <w:rFonts w:ascii="Times New Roman" w:eastAsia="方正仿宋_GBK" w:hAnsi="Times New Roman" w:hint="default"/>
          <w:color w:val="000000" w:themeColor="text1"/>
          <w:sz w:val="32"/>
          <w:szCs w:val="32"/>
          <w:shd w:val="clear" w:color="auto" w:fill="FFFFFF"/>
        </w:rPr>
        <w:t>万元。其中：</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人员经费</w:t>
      </w:r>
      <w:r>
        <w:rPr>
          <w:rFonts w:ascii="Times New Roman" w:eastAsia="方正仿宋_GBK" w:hAnsi="Times New Roman" w:hint="default"/>
          <w:color w:val="000000" w:themeColor="text1"/>
          <w:sz w:val="32"/>
          <w:szCs w:val="32"/>
          <w:shd w:val="clear" w:color="auto" w:fill="FFFFFF"/>
        </w:rPr>
        <w:t>404.49</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25.53</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6.7%</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年我单位新招录两名参公人员。人员经费用途主要包括基本工资、津贴补贴、奖金、社会保障缴费等支出。公用经费</w:t>
      </w:r>
      <w:r>
        <w:rPr>
          <w:rFonts w:ascii="Times New Roman" w:eastAsia="方正仿宋_GBK" w:hAnsi="Times New Roman" w:hint="default"/>
          <w:color w:val="000000" w:themeColor="text1"/>
          <w:sz w:val="32"/>
          <w:szCs w:val="32"/>
          <w:shd w:val="clear" w:color="auto" w:fill="FFFFFF"/>
        </w:rPr>
        <w:t>73.22</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6.00</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8.9%</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年我单位新招录两名参公人员。公用经费用途主要包括办公费、邮电费、工会经费、</w:t>
      </w:r>
      <w:r>
        <w:rPr>
          <w:rFonts w:ascii="Times New Roman" w:eastAsia="方正仿宋_GBK" w:hAnsi="Times New Roman" w:hint="default"/>
          <w:color w:val="000000" w:themeColor="text1"/>
          <w:sz w:val="32"/>
          <w:szCs w:val="32"/>
          <w:shd w:val="clear" w:color="auto" w:fill="FFFFFF"/>
        </w:rPr>
        <w:t>公务用车运行维护</w:t>
      </w:r>
      <w:r>
        <w:rPr>
          <w:rFonts w:ascii="Times New Roman" w:eastAsia="方正仿宋_GBK" w:hAnsi="Times New Roman" w:hint="default"/>
          <w:color w:val="000000" w:themeColor="text1"/>
          <w:sz w:val="32"/>
          <w:szCs w:val="32"/>
          <w:shd w:val="clear" w:color="auto" w:fill="FFFFFF"/>
        </w:rPr>
        <w:t>费、其他商品服务支出等支出。</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（五）政府性基金预算收支决算情况说明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本单位</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年度无政府性基金预算财政拨款收支。</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（六）国有资本经营预算财政拨款支出决算情况说明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本单位</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年度无国有资本经营预算财政拨款支出。</w:t>
      </w:r>
    </w:p>
    <w:p w:rsidR="001E69FC" w:rsidRDefault="004C00A9">
      <w:pPr>
        <w:widowControl w:val="0"/>
        <w:spacing w:line="560" w:lineRule="exact"/>
        <w:ind w:firstLineChars="200" w:firstLine="640"/>
        <w:textAlignment w:val="baseline"/>
        <w:rPr>
          <w:rFonts w:ascii="Times New Roman" w:eastAsia="方正仿宋_GBK" w:hAnsi="Times New Roman" w:hint="default"/>
          <w:color w:val="000000" w:themeColor="text1"/>
          <w:sz w:val="32"/>
          <w:szCs w:val="32"/>
          <w:shd w:val="clear" w:color="auto" w:fill="FFFFFF"/>
        </w:rPr>
      </w:pPr>
      <w:r>
        <w:rPr>
          <w:rFonts w:ascii="Times New Roman" w:eastAsia="方正黑体_GBK" w:hAnsi="Times New Roman" w:hint="default"/>
          <w:color w:val="000000" w:themeColor="text1"/>
          <w:sz w:val="32"/>
          <w:szCs w:val="32"/>
        </w:rPr>
        <w:t>三、</w:t>
      </w:r>
      <w:r>
        <w:rPr>
          <w:rFonts w:ascii="Times New Roman" w:eastAsia="方正黑体_GBK" w:hAnsi="Times New Roman" w:hint="default"/>
          <w:color w:val="000000" w:themeColor="text1"/>
          <w:sz w:val="32"/>
          <w:szCs w:val="32"/>
        </w:rPr>
        <w:t>财政拨款</w:t>
      </w:r>
      <w:r>
        <w:rPr>
          <w:rFonts w:ascii="Times New Roman" w:eastAsia="方正黑体_GBK" w:hAnsi="Times New Roman"/>
          <w:color w:val="000000" w:themeColor="text1"/>
          <w:sz w:val="32"/>
          <w:szCs w:val="32"/>
        </w:rPr>
        <w:t>“</w:t>
      </w:r>
      <w:r>
        <w:rPr>
          <w:rFonts w:ascii="Times New Roman" w:eastAsia="方正黑体_GBK" w:hAnsi="Times New Roman" w:hint="default"/>
          <w:color w:val="000000" w:themeColor="text1"/>
          <w:sz w:val="32"/>
          <w:szCs w:val="32"/>
        </w:rPr>
        <w:t>三公</w:t>
      </w:r>
      <w:r>
        <w:rPr>
          <w:rFonts w:ascii="Times New Roman" w:eastAsia="方正黑体_GBK" w:hAnsi="Times New Roman"/>
          <w:color w:val="000000" w:themeColor="text1"/>
          <w:sz w:val="32"/>
          <w:szCs w:val="32"/>
        </w:rPr>
        <w:t>”</w:t>
      </w:r>
      <w:r>
        <w:rPr>
          <w:rFonts w:ascii="Times New Roman" w:eastAsia="方正黑体_GBK" w:hAnsi="Times New Roman" w:hint="default"/>
          <w:color w:val="000000" w:themeColor="text1"/>
          <w:sz w:val="32"/>
          <w:szCs w:val="32"/>
        </w:rPr>
        <w:t>经费情况说明</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（一）</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三公</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经费支出总体情况说明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w:t>
      </w:r>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三公</w:t>
      </w:r>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经费支出共计</w:t>
      </w:r>
      <w:r>
        <w:rPr>
          <w:rFonts w:ascii="Times New Roman" w:eastAsia="方正仿宋_GBK" w:hAnsi="Times New Roman" w:hint="default"/>
          <w:color w:val="000000" w:themeColor="text1"/>
          <w:sz w:val="32"/>
          <w:szCs w:val="32"/>
          <w:shd w:val="clear" w:color="auto" w:fill="FFFFFF"/>
        </w:rPr>
        <w:t>3.10</w:t>
      </w:r>
      <w:r>
        <w:rPr>
          <w:rFonts w:ascii="Times New Roman" w:eastAsia="方正仿宋_GBK" w:hAnsi="Times New Roman" w:hint="default"/>
          <w:color w:val="000000" w:themeColor="text1"/>
          <w:sz w:val="32"/>
          <w:szCs w:val="32"/>
          <w:shd w:val="clear" w:color="auto" w:fill="FFFFFF"/>
        </w:rPr>
        <w:t>万元，较年初预算数减少</w:t>
      </w:r>
      <w:r>
        <w:rPr>
          <w:rFonts w:ascii="Times New Roman" w:eastAsia="方正仿宋_GBK" w:hAnsi="Times New Roman" w:hint="default"/>
          <w:color w:val="000000" w:themeColor="text1"/>
          <w:sz w:val="32"/>
          <w:szCs w:val="32"/>
          <w:shd w:val="clear" w:color="auto" w:fill="FFFFFF"/>
        </w:rPr>
        <w:t>2.60</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45.6%</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年本单位仅发生公务用车运行维护费和公务接待费，实际接待费较预估接待人次、费用减少。</w:t>
      </w:r>
      <w:r>
        <w:rPr>
          <w:rFonts w:ascii="Times New Roman" w:eastAsia="方正仿宋_GBK" w:hAnsi="Times New Roman" w:hint="default"/>
          <w:color w:val="000000" w:themeColor="text1"/>
          <w:sz w:val="32"/>
          <w:szCs w:val="32"/>
          <w:shd w:val="clear" w:color="auto" w:fill="FFFFFF"/>
        </w:rPr>
        <w:t>较上年支出数增加</w:t>
      </w:r>
      <w:r>
        <w:rPr>
          <w:rFonts w:ascii="Times New Roman" w:eastAsia="方正仿宋_GBK" w:hAnsi="Times New Roman" w:hint="default"/>
          <w:color w:val="000000" w:themeColor="text1"/>
          <w:sz w:val="32"/>
          <w:szCs w:val="32"/>
          <w:shd w:val="clear" w:color="auto" w:fill="FFFFFF"/>
        </w:rPr>
        <w:t>2.75</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785.7%</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上年度公务车运行费用在局机关列支，</w:t>
      </w:r>
      <w:r>
        <w:rPr>
          <w:rFonts w:ascii="Times New Roman" w:eastAsia="方正仿宋_GBK" w:hAnsi="Times New Roman" w:hint="default"/>
          <w:color w:val="000000" w:themeColor="text1"/>
          <w:sz w:val="32"/>
          <w:szCs w:val="32"/>
          <w:shd w:val="clear" w:color="auto" w:fill="FFFFFF"/>
        </w:rPr>
        <w:lastRenderedPageBreak/>
        <w:t>24</w:t>
      </w:r>
      <w:r>
        <w:rPr>
          <w:rFonts w:ascii="Times New Roman" w:eastAsia="方正仿宋_GBK" w:hAnsi="Times New Roman" w:hint="default"/>
          <w:color w:val="000000" w:themeColor="text1"/>
          <w:sz w:val="32"/>
          <w:szCs w:val="32"/>
          <w:shd w:val="clear" w:color="auto" w:fill="FFFFFF"/>
        </w:rPr>
        <w:t>年将公务车划转至本单位，开始由本单位列支。</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（二）</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三公</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经费分项支出情况</w:t>
      </w:r>
    </w:p>
    <w:p w:rsidR="00D4022E" w:rsidRDefault="00D4022E" w:rsidP="00D4022E">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方正仿宋_GBK" w:eastAsia="方正仿宋_GBK" w:hAnsi="方正仿宋_GBK" w:cs="方正仿宋_GBK"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w:t>
      </w:r>
    </w:p>
    <w:p w:rsidR="00D4022E" w:rsidRDefault="00D4022E" w:rsidP="00D4022E">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00万元。费用支出较年初预算数无增减。较上年支出数无增减。</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公务</w:t>
      </w:r>
      <w:r>
        <w:rPr>
          <w:rFonts w:ascii="Times New Roman" w:eastAsia="方正仿宋_GBK" w:hAnsi="Times New Roman" w:hint="default"/>
          <w:color w:val="000000" w:themeColor="text1"/>
          <w:sz w:val="32"/>
          <w:szCs w:val="32"/>
          <w:shd w:val="clear" w:color="auto" w:fill="FFFFFF"/>
        </w:rPr>
        <w:t>用</w:t>
      </w:r>
      <w:r>
        <w:rPr>
          <w:rFonts w:ascii="Times New Roman" w:eastAsia="方正仿宋_GBK" w:hAnsi="Times New Roman" w:hint="default"/>
          <w:color w:val="000000" w:themeColor="text1"/>
          <w:sz w:val="32"/>
          <w:szCs w:val="32"/>
          <w:shd w:val="clear" w:color="auto" w:fill="FFFFFF"/>
        </w:rPr>
        <w:t>车运行维护费</w:t>
      </w:r>
      <w:r>
        <w:rPr>
          <w:rFonts w:ascii="Times New Roman" w:eastAsia="方正仿宋_GBK" w:hAnsi="Times New Roman" w:hint="default"/>
          <w:color w:val="000000" w:themeColor="text1"/>
          <w:sz w:val="32"/>
          <w:szCs w:val="32"/>
          <w:shd w:val="clear" w:color="auto" w:fill="FFFFFF"/>
        </w:rPr>
        <w:t>2.70</w:t>
      </w:r>
      <w:r>
        <w:rPr>
          <w:rFonts w:ascii="Times New Roman" w:eastAsia="方正仿宋_GBK" w:hAnsi="Times New Roman" w:hint="default"/>
          <w:color w:val="000000" w:themeColor="text1"/>
          <w:sz w:val="32"/>
          <w:szCs w:val="32"/>
          <w:shd w:val="clear" w:color="auto" w:fill="FFFFFF"/>
        </w:rPr>
        <w:t>万元，主要用于</w:t>
      </w:r>
      <w:r>
        <w:rPr>
          <w:rFonts w:ascii="Times New Roman" w:eastAsia="方正仿宋_GBK" w:hAnsi="Times New Roman" w:hint="default"/>
          <w:color w:val="000000" w:themeColor="text1"/>
          <w:sz w:val="32"/>
          <w:szCs w:val="32"/>
          <w:shd w:val="clear" w:color="auto" w:fill="FFFFFF"/>
        </w:rPr>
        <w:t>单位公务用车油费、维修费、过路过桥费、保险费。</w:t>
      </w:r>
      <w:r>
        <w:rPr>
          <w:rFonts w:ascii="Times New Roman" w:eastAsia="方正仿宋_GBK" w:hAnsi="Times New Roman" w:hint="default"/>
          <w:color w:val="000000" w:themeColor="text1"/>
          <w:sz w:val="32"/>
          <w:szCs w:val="32"/>
          <w:shd w:val="clear" w:color="auto" w:fill="FFFFFF"/>
        </w:rPr>
        <w:t>费用支出较年初预算数无增减</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较上年支出数增加</w:t>
      </w:r>
      <w:r>
        <w:rPr>
          <w:rFonts w:ascii="Times New Roman" w:eastAsia="方正仿宋_GBK" w:hAnsi="Times New Roman" w:hint="default"/>
          <w:color w:val="000000" w:themeColor="text1"/>
          <w:sz w:val="32"/>
          <w:szCs w:val="32"/>
          <w:shd w:val="clear" w:color="auto" w:fill="FFFFFF"/>
        </w:rPr>
        <w:t>2.70</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100.0%</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上年度</w:t>
      </w:r>
      <w:r>
        <w:rPr>
          <w:rFonts w:ascii="Times New Roman" w:eastAsia="方正仿宋_GBK" w:hAnsi="Times New Roman" w:hint="default"/>
          <w:color w:val="000000" w:themeColor="text1"/>
          <w:sz w:val="32"/>
          <w:szCs w:val="32"/>
          <w:shd w:val="clear" w:color="auto" w:fill="FFFFFF"/>
        </w:rPr>
        <w:t>公务车运行费用在局机关列支</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24</w:t>
      </w:r>
      <w:r>
        <w:rPr>
          <w:rFonts w:ascii="Times New Roman" w:eastAsia="方正仿宋_GBK" w:hAnsi="Times New Roman" w:hint="default"/>
          <w:color w:val="000000" w:themeColor="text1"/>
          <w:sz w:val="32"/>
          <w:szCs w:val="32"/>
          <w:shd w:val="clear" w:color="auto" w:fill="FFFFFF"/>
        </w:rPr>
        <w:t>年将公务车划转至本单位，开始由本单位列支。</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公务接待费</w:t>
      </w:r>
      <w:r>
        <w:rPr>
          <w:rFonts w:ascii="Times New Roman" w:eastAsia="方正仿宋_GBK" w:hAnsi="Times New Roman" w:hint="default"/>
          <w:color w:val="000000" w:themeColor="text1"/>
          <w:sz w:val="32"/>
          <w:szCs w:val="32"/>
          <w:shd w:val="clear" w:color="auto" w:fill="FFFFFF"/>
        </w:rPr>
        <w:t>0.40</w:t>
      </w:r>
      <w:r>
        <w:rPr>
          <w:rFonts w:ascii="Times New Roman" w:eastAsia="方正仿宋_GBK" w:hAnsi="Times New Roman" w:hint="default"/>
          <w:color w:val="000000" w:themeColor="text1"/>
          <w:sz w:val="32"/>
          <w:szCs w:val="32"/>
          <w:shd w:val="clear" w:color="auto" w:fill="FFFFFF"/>
        </w:rPr>
        <w:t>万元，主要用于接待国家及市医保局调研。费用支出较年初预算数减少</w:t>
      </w:r>
      <w:r>
        <w:rPr>
          <w:rFonts w:ascii="Times New Roman" w:eastAsia="方正仿宋_GBK" w:hAnsi="Times New Roman" w:hint="default"/>
          <w:color w:val="000000" w:themeColor="text1"/>
          <w:sz w:val="32"/>
          <w:szCs w:val="32"/>
          <w:shd w:val="clear" w:color="auto" w:fill="FFFFFF"/>
        </w:rPr>
        <w:t>2.60</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86.7%</w:t>
      </w:r>
      <w:r>
        <w:rPr>
          <w:rFonts w:ascii="Times New Roman" w:eastAsia="方正仿宋_GBK" w:hAnsi="Times New Roman" w:hint="default"/>
          <w:color w:val="000000" w:themeColor="text1"/>
          <w:sz w:val="32"/>
          <w:szCs w:val="32"/>
          <w:shd w:val="clear" w:color="auto" w:fill="FFFFFF"/>
        </w:rPr>
        <w:t>，主要原因是实际接待费较预估接待人次、费用减少。较上年支出数增加</w:t>
      </w:r>
      <w:r>
        <w:rPr>
          <w:rFonts w:ascii="Times New Roman" w:eastAsia="方正仿宋_GBK" w:hAnsi="Times New Roman" w:hint="default"/>
          <w:color w:val="000000" w:themeColor="text1"/>
          <w:sz w:val="32"/>
          <w:szCs w:val="32"/>
          <w:shd w:val="clear" w:color="auto" w:fill="FFFFFF"/>
        </w:rPr>
        <w:t>0.05</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14.3%</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本年度接待人数较上年度增多。</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（三）</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三公</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经费实物量情况</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年度本</w:t>
      </w:r>
      <w:r>
        <w:rPr>
          <w:rFonts w:ascii="Times New Roman" w:eastAsia="方正仿宋_GBK" w:hAnsi="Times New Roman" w:hint="default"/>
          <w:color w:val="000000" w:themeColor="text1"/>
          <w:sz w:val="32"/>
          <w:szCs w:val="32"/>
          <w:shd w:val="clear" w:color="auto" w:fill="FFFFFF"/>
        </w:rPr>
        <w:t>单位</w:t>
      </w:r>
      <w:r>
        <w:rPr>
          <w:rFonts w:ascii="Times New Roman" w:eastAsia="方正仿宋_GBK" w:hAnsi="Times New Roman" w:hint="default"/>
          <w:color w:val="000000" w:themeColor="text1"/>
          <w:sz w:val="32"/>
          <w:szCs w:val="32"/>
          <w:shd w:val="clear" w:color="auto" w:fill="FFFFFF"/>
        </w:rPr>
        <w:t>因公出国（境）共计</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个团组，</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人；公务用车购置</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辆，公务车保有量为</w:t>
      </w: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辆；国内公务接待</w:t>
      </w: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批次</w:t>
      </w:r>
      <w:r>
        <w:rPr>
          <w:rFonts w:ascii="Times New Roman" w:eastAsia="方正仿宋_GBK" w:hAnsi="Times New Roman" w:hint="default"/>
          <w:color w:val="000000" w:themeColor="text1"/>
          <w:sz w:val="32"/>
          <w:szCs w:val="32"/>
          <w:shd w:val="clear" w:color="auto" w:fill="FFFFFF"/>
        </w:rPr>
        <w:t>44</w:t>
      </w:r>
      <w:r>
        <w:rPr>
          <w:rFonts w:ascii="Times New Roman" w:eastAsia="方正仿宋_GBK" w:hAnsi="Times New Roman" w:hint="default"/>
          <w:color w:val="000000" w:themeColor="text1"/>
          <w:sz w:val="32"/>
          <w:szCs w:val="32"/>
          <w:shd w:val="clear" w:color="auto" w:fill="FFFFFF"/>
        </w:rPr>
        <w:t>人，其中：国内外事接待</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批次，</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人；国（境）外公务接待</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批次，</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人。</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年本</w:t>
      </w:r>
      <w:r>
        <w:rPr>
          <w:rFonts w:ascii="Times New Roman" w:eastAsia="方正仿宋_GBK" w:hAnsi="Times New Roman" w:hint="default"/>
          <w:color w:val="000000" w:themeColor="text1"/>
          <w:sz w:val="32"/>
          <w:szCs w:val="32"/>
          <w:shd w:val="clear" w:color="auto" w:fill="FFFFFF"/>
        </w:rPr>
        <w:t>单位</w:t>
      </w:r>
      <w:r>
        <w:rPr>
          <w:rFonts w:ascii="Times New Roman" w:eastAsia="方正仿宋_GBK" w:hAnsi="Times New Roman" w:hint="default"/>
          <w:color w:val="000000" w:themeColor="text1"/>
          <w:sz w:val="32"/>
          <w:szCs w:val="32"/>
          <w:shd w:val="clear" w:color="auto" w:fill="FFFFFF"/>
        </w:rPr>
        <w:t>人均接待费</w:t>
      </w:r>
      <w:r>
        <w:rPr>
          <w:rFonts w:ascii="Times New Roman" w:eastAsia="方正仿宋_GBK" w:hAnsi="Times New Roman" w:hint="default"/>
          <w:color w:val="000000" w:themeColor="text1"/>
          <w:sz w:val="32"/>
          <w:szCs w:val="32"/>
          <w:shd w:val="clear" w:color="auto" w:fill="FFFFFF"/>
        </w:rPr>
        <w:t>90.82</w:t>
      </w:r>
      <w:r>
        <w:rPr>
          <w:rFonts w:ascii="Times New Roman" w:eastAsia="方正仿宋_GBK" w:hAnsi="Times New Roman" w:hint="default"/>
          <w:color w:val="000000" w:themeColor="text1"/>
          <w:sz w:val="32"/>
          <w:szCs w:val="32"/>
          <w:shd w:val="clear" w:color="auto" w:fill="FFFFFF"/>
        </w:rPr>
        <w:t>元，车均购置费</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万元，车均维护费</w:t>
      </w:r>
      <w:r>
        <w:rPr>
          <w:rFonts w:ascii="Times New Roman" w:eastAsia="方正仿宋_GBK" w:hAnsi="Times New Roman" w:hint="default"/>
          <w:color w:val="000000" w:themeColor="text1"/>
          <w:sz w:val="32"/>
          <w:szCs w:val="32"/>
          <w:shd w:val="clear" w:color="auto" w:fill="FFFFFF"/>
        </w:rPr>
        <w:t>2.70</w:t>
      </w:r>
      <w:r>
        <w:rPr>
          <w:rFonts w:ascii="Times New Roman" w:eastAsia="方正仿宋_GBK" w:hAnsi="Times New Roman" w:hint="default"/>
          <w:color w:val="000000" w:themeColor="text1"/>
          <w:sz w:val="32"/>
          <w:szCs w:val="32"/>
          <w:shd w:val="clear" w:color="auto" w:fill="FFFFFF"/>
        </w:rPr>
        <w:t>万元。</w:t>
      </w:r>
    </w:p>
    <w:p w:rsidR="001E69FC" w:rsidRDefault="004C00A9">
      <w:pPr>
        <w:widowControl w:val="0"/>
        <w:numPr>
          <w:ilvl w:val="0"/>
          <w:numId w:val="1"/>
        </w:numPr>
        <w:spacing w:line="560" w:lineRule="exact"/>
        <w:ind w:firstLineChars="200" w:firstLine="640"/>
        <w:textAlignment w:val="baseline"/>
        <w:rPr>
          <w:rFonts w:ascii="Times New Roman" w:eastAsia="方正黑体_GBK" w:hAnsi="Times New Roman" w:hint="default"/>
          <w:color w:val="000000" w:themeColor="text1"/>
          <w:sz w:val="32"/>
          <w:szCs w:val="32"/>
        </w:rPr>
      </w:pPr>
      <w:r>
        <w:rPr>
          <w:rFonts w:ascii="Times New Roman" w:eastAsia="方正黑体_GBK" w:hAnsi="Times New Roman" w:hint="default"/>
          <w:color w:val="000000" w:themeColor="text1"/>
          <w:sz w:val="32"/>
          <w:szCs w:val="32"/>
        </w:rPr>
        <w:t>其他需要说明的事项</w:t>
      </w:r>
    </w:p>
    <w:p w:rsidR="001E69FC" w:rsidRDefault="004C00A9">
      <w:pPr>
        <w:widowControl w:val="0"/>
        <w:spacing w:line="560" w:lineRule="exact"/>
        <w:ind w:firstLineChars="200" w:firstLine="640"/>
        <w:textAlignment w:val="baseline"/>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（一）财政拨款会议费、培训费和差旅费情况说明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highlight w:val="yellow"/>
        </w:rPr>
      </w:pPr>
      <w:r>
        <w:rPr>
          <w:rFonts w:ascii="Times New Roman" w:eastAsia="方正仿宋_GBK" w:hAnsi="Times New Roman" w:hint="default"/>
          <w:color w:val="000000" w:themeColor="text1"/>
          <w:sz w:val="32"/>
          <w:szCs w:val="32"/>
          <w:shd w:val="clear" w:color="auto" w:fill="FFFFFF"/>
        </w:rPr>
        <w:lastRenderedPageBreak/>
        <w:t>本年度会议费支出</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年度相比，减少</w:t>
      </w:r>
      <w:r>
        <w:rPr>
          <w:rFonts w:ascii="Times New Roman" w:eastAsia="方正仿宋_GBK" w:hAnsi="Times New Roman" w:hint="default"/>
          <w:color w:val="000000" w:themeColor="text1"/>
          <w:sz w:val="32"/>
          <w:szCs w:val="32"/>
          <w:shd w:val="clear" w:color="auto" w:fill="FFFFFF"/>
        </w:rPr>
        <w:t>0.12</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100.0%</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本年度会议费在局机关列支，医保中心未支出会议费。</w:t>
      </w:r>
      <w:r>
        <w:rPr>
          <w:rFonts w:ascii="Times New Roman" w:eastAsia="方正仿宋_GBK" w:hAnsi="Times New Roman" w:hint="default"/>
          <w:color w:val="000000" w:themeColor="text1"/>
          <w:sz w:val="32"/>
          <w:szCs w:val="32"/>
          <w:shd w:val="clear" w:color="auto" w:fill="FFFFFF"/>
        </w:rPr>
        <w:t>本年度培训费支出</w:t>
      </w:r>
      <w:r>
        <w:rPr>
          <w:rFonts w:ascii="Times New Roman" w:eastAsia="方正仿宋_GBK" w:hAnsi="Times New Roman" w:hint="default"/>
          <w:color w:val="000000" w:themeColor="text1"/>
          <w:sz w:val="32"/>
          <w:szCs w:val="32"/>
          <w:shd w:val="clear" w:color="auto" w:fill="FFFFFF"/>
        </w:rPr>
        <w:t>0.00</w:t>
      </w:r>
      <w:r>
        <w:rPr>
          <w:rFonts w:ascii="Times New Roman" w:eastAsia="方正仿宋_GBK" w:hAnsi="Times New Roman" w:hint="default"/>
          <w:color w:val="000000" w:themeColor="text1"/>
          <w:sz w:val="32"/>
          <w:szCs w:val="32"/>
          <w:shd w:val="clear" w:color="auto" w:fill="FFFFFF"/>
        </w:rPr>
        <w:t>万元，与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年度相比，无变化</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本年度差旅费支出</w:t>
      </w:r>
      <w:r>
        <w:rPr>
          <w:rFonts w:ascii="Times New Roman" w:eastAsia="方正仿宋_GBK" w:hAnsi="Times New Roman" w:hint="default"/>
          <w:color w:val="000000" w:themeColor="text1"/>
          <w:sz w:val="32"/>
          <w:szCs w:val="32"/>
          <w:shd w:val="clear" w:color="auto" w:fill="FFFFFF"/>
        </w:rPr>
        <w:t>5.86</w:t>
      </w:r>
      <w:r>
        <w:rPr>
          <w:rFonts w:ascii="Times New Roman" w:eastAsia="方正仿宋_GBK" w:hAnsi="Times New Roman" w:hint="default"/>
          <w:color w:val="000000" w:themeColor="text1"/>
          <w:sz w:val="32"/>
          <w:szCs w:val="32"/>
        </w:rPr>
        <w:t>万元，</w:t>
      </w:r>
      <w:r>
        <w:rPr>
          <w:rFonts w:ascii="Times New Roman" w:eastAsia="方正仿宋_GBK" w:hAnsi="Times New Roman" w:hint="default"/>
          <w:color w:val="000000" w:themeColor="text1"/>
          <w:sz w:val="32"/>
          <w:szCs w:val="32"/>
          <w:shd w:val="clear" w:color="auto" w:fill="FFFFFF"/>
        </w:rPr>
        <w:t>与</w:t>
      </w:r>
      <w:r>
        <w:rPr>
          <w:rFonts w:ascii="Times New Roman" w:eastAsia="方正仿宋_GBK" w:hAnsi="Times New Roman" w:hint="default"/>
          <w:color w:val="000000" w:themeColor="text1"/>
          <w:sz w:val="32"/>
          <w:szCs w:val="32"/>
          <w:shd w:val="clear" w:color="auto" w:fill="FFFFFF"/>
        </w:rPr>
        <w:t>2023</w:t>
      </w:r>
      <w:r>
        <w:rPr>
          <w:rFonts w:ascii="Times New Roman" w:eastAsia="方正仿宋_GBK" w:hAnsi="Times New Roman" w:hint="default"/>
          <w:color w:val="000000" w:themeColor="text1"/>
          <w:sz w:val="32"/>
          <w:szCs w:val="32"/>
          <w:shd w:val="clear" w:color="auto" w:fill="FFFFFF"/>
        </w:rPr>
        <w:t>年度相比，增加</w:t>
      </w:r>
      <w:r>
        <w:rPr>
          <w:rFonts w:ascii="Times New Roman" w:eastAsia="方正仿宋_GBK" w:hAnsi="Times New Roman" w:hint="default"/>
          <w:color w:val="000000" w:themeColor="text1"/>
          <w:sz w:val="32"/>
          <w:szCs w:val="32"/>
          <w:shd w:val="clear" w:color="auto" w:fill="FFFFFF"/>
        </w:rPr>
        <w:t>5.86</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100.0%</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上年度差旅费在局机关列支，本单位今年飞行检查、交叉检查、下乡检查医疗机构、督导参保等专项整治行动较多。</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（二）机关运行经费情况说明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年度本</w:t>
      </w:r>
      <w:r>
        <w:rPr>
          <w:rFonts w:ascii="Times New Roman" w:eastAsia="方正仿宋_GBK" w:hAnsi="Times New Roman" w:hint="default"/>
          <w:color w:val="000000" w:themeColor="text1"/>
          <w:sz w:val="32"/>
          <w:szCs w:val="32"/>
          <w:shd w:val="clear" w:color="auto" w:fill="FFFFFF"/>
        </w:rPr>
        <w:t>单位</w:t>
      </w:r>
      <w:r>
        <w:rPr>
          <w:rFonts w:ascii="Times New Roman" w:eastAsia="方正仿宋_GBK" w:hAnsi="Times New Roman" w:hint="default"/>
          <w:color w:val="000000" w:themeColor="text1"/>
          <w:sz w:val="32"/>
          <w:szCs w:val="32"/>
          <w:shd w:val="clear" w:color="auto" w:fill="FFFFFF"/>
        </w:rPr>
        <w:t>机关运行经费支出</w:t>
      </w:r>
      <w:r>
        <w:rPr>
          <w:rFonts w:ascii="Times New Roman" w:eastAsia="方正仿宋_GBK" w:hAnsi="Times New Roman" w:hint="default"/>
          <w:color w:val="000000" w:themeColor="text1"/>
          <w:sz w:val="32"/>
          <w:szCs w:val="32"/>
          <w:shd w:val="clear" w:color="auto" w:fill="FFFFFF"/>
        </w:rPr>
        <w:t>73.22</w:t>
      </w:r>
      <w:r>
        <w:rPr>
          <w:rFonts w:ascii="Times New Roman" w:eastAsia="方正仿宋_GBK" w:hAnsi="Times New Roman" w:hint="default"/>
          <w:color w:val="000000" w:themeColor="text1"/>
          <w:sz w:val="32"/>
          <w:szCs w:val="32"/>
          <w:shd w:val="clear" w:color="auto" w:fill="FFFFFF"/>
        </w:rPr>
        <w:t>万元，机关运行经费主要用于开支公务车运行、其他交通费、办公费、水电费、邮电费、公务接待费等。机关运行经费较上年支出数增加</w:t>
      </w:r>
      <w:r>
        <w:rPr>
          <w:rFonts w:ascii="Times New Roman" w:eastAsia="方正仿宋_GBK" w:hAnsi="Times New Roman" w:hint="default"/>
          <w:color w:val="000000" w:themeColor="text1"/>
          <w:sz w:val="32"/>
          <w:szCs w:val="32"/>
          <w:shd w:val="clear" w:color="auto" w:fill="FFFFFF"/>
        </w:rPr>
        <w:t>6.00</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8.9%</w:t>
      </w:r>
      <w:r>
        <w:rPr>
          <w:rFonts w:ascii="Times New Roman" w:eastAsia="方正仿宋_GBK" w:hAnsi="Times New Roman" w:hint="default"/>
          <w:color w:val="000000" w:themeColor="text1"/>
          <w:sz w:val="32"/>
          <w:szCs w:val="32"/>
          <w:shd w:val="clear" w:color="auto" w:fill="FFFFFF"/>
        </w:rPr>
        <w:t>，主要原因是</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年我单位新招录两名</w:t>
      </w:r>
      <w:r>
        <w:rPr>
          <w:rFonts w:ascii="Times New Roman" w:eastAsia="方正仿宋_GBK" w:hAnsi="Times New Roman" w:hint="default"/>
          <w:color w:val="000000" w:themeColor="text1"/>
          <w:sz w:val="32"/>
          <w:szCs w:val="32"/>
          <w:shd w:val="clear" w:color="auto" w:fill="FFFFFF"/>
        </w:rPr>
        <w:t>参公人</w:t>
      </w:r>
      <w:r>
        <w:rPr>
          <w:rFonts w:ascii="Times New Roman" w:eastAsia="方正仿宋_GBK" w:hAnsi="Times New Roman" w:hint="default"/>
          <w:color w:val="000000" w:themeColor="text1"/>
          <w:sz w:val="32"/>
          <w:szCs w:val="32"/>
          <w:shd w:val="clear" w:color="auto" w:fill="FFFFFF"/>
        </w:rPr>
        <w:t>员。</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（三）国有资产占用情况说明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截至</w:t>
      </w: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w:t>
      </w:r>
      <w:r>
        <w:rPr>
          <w:rFonts w:ascii="Times New Roman" w:eastAsia="方正仿宋_GBK" w:hAnsi="Times New Roman" w:hint="default"/>
          <w:color w:val="000000" w:themeColor="text1"/>
          <w:sz w:val="32"/>
          <w:szCs w:val="32"/>
          <w:shd w:val="clear" w:color="auto" w:fill="FFFFFF"/>
        </w:rPr>
        <w:t>12</w:t>
      </w:r>
      <w:r>
        <w:rPr>
          <w:rFonts w:ascii="Times New Roman" w:eastAsia="方正仿宋_GBK" w:hAnsi="Times New Roman" w:hint="default"/>
          <w:color w:val="000000" w:themeColor="text1"/>
          <w:sz w:val="32"/>
          <w:szCs w:val="32"/>
          <w:shd w:val="clear" w:color="auto" w:fill="FFFFFF"/>
        </w:rPr>
        <w:t>月</w:t>
      </w:r>
      <w:r>
        <w:rPr>
          <w:rFonts w:ascii="Times New Roman" w:eastAsia="方正仿宋_GBK" w:hAnsi="Times New Roman" w:hint="default"/>
          <w:color w:val="000000" w:themeColor="text1"/>
          <w:sz w:val="32"/>
          <w:szCs w:val="32"/>
          <w:shd w:val="clear" w:color="auto" w:fill="FFFFFF"/>
        </w:rPr>
        <w:t>31</w:t>
      </w:r>
      <w:r>
        <w:rPr>
          <w:rFonts w:ascii="Times New Roman" w:eastAsia="方正仿宋_GBK" w:hAnsi="Times New Roman" w:hint="default"/>
          <w:color w:val="000000" w:themeColor="text1"/>
          <w:sz w:val="32"/>
          <w:szCs w:val="32"/>
          <w:shd w:val="clear" w:color="auto" w:fill="FFFFFF"/>
        </w:rPr>
        <w:t>日，本</w:t>
      </w:r>
      <w:r>
        <w:rPr>
          <w:rFonts w:ascii="Times New Roman" w:eastAsia="方正仿宋_GBK" w:hAnsi="Times New Roman" w:hint="default"/>
          <w:color w:val="000000" w:themeColor="text1"/>
          <w:sz w:val="32"/>
          <w:szCs w:val="32"/>
          <w:shd w:val="clear" w:color="auto" w:fill="FFFFFF"/>
        </w:rPr>
        <w:t>单位</w:t>
      </w:r>
      <w:r>
        <w:rPr>
          <w:rFonts w:ascii="Times New Roman" w:eastAsia="方正仿宋_GBK" w:hAnsi="Times New Roman" w:hint="default"/>
          <w:color w:val="000000" w:themeColor="text1"/>
          <w:sz w:val="32"/>
          <w:szCs w:val="32"/>
          <w:shd w:val="clear" w:color="auto" w:fill="FFFFFF"/>
        </w:rPr>
        <w:t>共有车辆</w:t>
      </w: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辆，其中，副部（省）级及以上领导用车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辆、主要负责人用车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辆、机要通信用车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辆、应急保障用车</w:t>
      </w:r>
      <w:r>
        <w:rPr>
          <w:rFonts w:ascii="Times New Roman" w:eastAsia="方正仿宋_GBK" w:hAnsi="Times New Roman" w:hint="default"/>
          <w:color w:val="000000" w:themeColor="text1"/>
          <w:sz w:val="32"/>
          <w:szCs w:val="32"/>
          <w:shd w:val="clear" w:color="auto" w:fill="FFFFFF"/>
        </w:rPr>
        <w:t>1</w:t>
      </w:r>
      <w:r>
        <w:rPr>
          <w:rFonts w:ascii="Times New Roman" w:eastAsia="方正仿宋_GBK" w:hAnsi="Times New Roman" w:hint="default"/>
          <w:color w:val="000000" w:themeColor="text1"/>
          <w:sz w:val="32"/>
          <w:szCs w:val="32"/>
          <w:shd w:val="clear" w:color="auto" w:fill="FFFFFF"/>
        </w:rPr>
        <w:t>辆、执法执勤用车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辆，特种专业技术用车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辆，离退休干部用车</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辆。单价</w:t>
      </w:r>
      <w:r>
        <w:rPr>
          <w:rFonts w:ascii="Times New Roman" w:eastAsia="方正仿宋_GBK" w:hAnsi="Times New Roman" w:hint="default"/>
          <w:color w:val="000000" w:themeColor="text1"/>
          <w:sz w:val="32"/>
          <w:szCs w:val="32"/>
          <w:shd w:val="clear" w:color="auto" w:fill="FFFFFF"/>
        </w:rPr>
        <w:t>100</w:t>
      </w:r>
      <w:r>
        <w:rPr>
          <w:rFonts w:ascii="Times New Roman" w:eastAsia="方正仿宋_GBK" w:hAnsi="Times New Roman" w:hint="default"/>
          <w:color w:val="000000" w:themeColor="text1"/>
          <w:sz w:val="32"/>
          <w:szCs w:val="32"/>
          <w:shd w:val="clear" w:color="auto" w:fill="FFFFFF"/>
        </w:rPr>
        <w:t>万元（含）以上专用设备</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台（套）。</w:t>
      </w:r>
    </w:p>
    <w:p w:rsidR="001E69FC" w:rsidRDefault="004C00A9">
      <w:pPr>
        <w:pStyle w:val="1"/>
        <w:widowControl w:val="0"/>
        <w:autoSpaceDE w:val="0"/>
        <w:spacing w:line="560" w:lineRule="exact"/>
        <w:ind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（四）政府采购支出情况说明</w:t>
      </w:r>
    </w:p>
    <w:p w:rsidR="001E69FC" w:rsidRDefault="004C00A9">
      <w:pPr>
        <w:pStyle w:val="a9"/>
        <w:widowControl w:val="0"/>
        <w:snapToGrid w:val="0"/>
        <w:spacing w:before="0" w:beforeAutospacing="0" w:after="0" w:afterAutospacing="0" w:line="560" w:lineRule="exact"/>
        <w:ind w:firstLineChars="200" w:firstLine="640"/>
        <w:jc w:val="both"/>
        <w:rPr>
          <w:rFonts w:ascii="Times New Roman" w:eastAsia="方正黑体_GBK" w:hAnsi="Times New Roman" w:hint="default"/>
          <w:color w:val="000000" w:themeColor="text1"/>
          <w:sz w:val="32"/>
          <w:szCs w:val="32"/>
        </w:rPr>
      </w:pPr>
      <w:r>
        <w:rPr>
          <w:rFonts w:ascii="Times New Roman" w:eastAsia="方正仿宋_GBK" w:hAnsi="Times New Roman" w:hint="default"/>
          <w:color w:val="000000" w:themeColor="text1"/>
          <w:sz w:val="32"/>
          <w:szCs w:val="32"/>
          <w:shd w:val="clear" w:color="auto" w:fill="FFFFFF"/>
        </w:rPr>
        <w:t>2024</w:t>
      </w:r>
      <w:r>
        <w:rPr>
          <w:rFonts w:ascii="Times New Roman" w:eastAsia="方正仿宋_GBK" w:hAnsi="Times New Roman" w:hint="default"/>
          <w:color w:val="000000" w:themeColor="text1"/>
          <w:sz w:val="32"/>
          <w:szCs w:val="32"/>
          <w:shd w:val="clear" w:color="auto" w:fill="FFFFFF"/>
        </w:rPr>
        <w:t>年度我单位未发生政府采购事项，无相关经费支出。</w:t>
      </w:r>
      <w:r>
        <w:rPr>
          <w:rFonts w:ascii="Times New Roman" w:eastAsia="方正黑体_GBK" w:hAnsi="Times New Roman" w:hint="default"/>
          <w:color w:val="000000" w:themeColor="text1"/>
          <w:sz w:val="32"/>
          <w:szCs w:val="32"/>
        </w:rPr>
        <w:t>五、</w:t>
      </w:r>
      <w:r>
        <w:rPr>
          <w:rFonts w:ascii="Times New Roman" w:eastAsia="方正黑体_GBK" w:hAnsi="Times New Roman" w:hint="default"/>
          <w:color w:val="000000" w:themeColor="text1"/>
          <w:sz w:val="32"/>
          <w:szCs w:val="32"/>
        </w:rPr>
        <w:t>2024</w:t>
      </w:r>
      <w:r>
        <w:rPr>
          <w:rFonts w:ascii="Times New Roman" w:eastAsia="方正黑体_GBK" w:hAnsi="Times New Roman" w:hint="default"/>
          <w:color w:val="000000" w:themeColor="text1"/>
          <w:sz w:val="32"/>
          <w:szCs w:val="32"/>
        </w:rPr>
        <w:t>年度预算绩效管理情况说明</w:t>
      </w:r>
    </w:p>
    <w:p w:rsidR="001E69FC" w:rsidRDefault="004C00A9">
      <w:pPr>
        <w:pStyle w:val="Char"/>
        <w:widowControl w:val="0"/>
        <w:autoSpaceDE w:val="0"/>
        <w:spacing w:before="0" w:beforeAutospacing="0" w:after="0" w:afterAutospacing="0" w:line="56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color w:val="000000" w:themeColor="text1"/>
          <w:sz w:val="32"/>
          <w:szCs w:val="32"/>
        </w:rPr>
        <w:t>（一）单位自评情况</w:t>
      </w:r>
    </w:p>
    <w:p w:rsidR="00D4022E" w:rsidRDefault="00D4022E" w:rsidP="00D4022E">
      <w:pPr>
        <w:pStyle w:val="Char"/>
        <w:autoSpaceDE w:val="0"/>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根据预算绩效管理要求，我单位本年度无财政拨款项目资金。</w:t>
      </w:r>
    </w:p>
    <w:p w:rsidR="001E69FC" w:rsidRDefault="004C00A9">
      <w:pPr>
        <w:pStyle w:val="Char"/>
        <w:widowControl w:val="0"/>
        <w:autoSpaceDE w:val="0"/>
        <w:spacing w:before="0" w:beforeAutospacing="0" w:after="0" w:afterAutospacing="0" w:line="560" w:lineRule="exact"/>
        <w:ind w:firstLineChars="200" w:firstLine="640"/>
        <w:rPr>
          <w:rFonts w:ascii="方正楷体_GBK" w:eastAsia="方正楷体_GBK" w:hAnsi="方正楷体_GBK" w:cs="方正楷体_GBK"/>
          <w:color w:val="000000" w:themeColor="text1"/>
          <w:sz w:val="32"/>
          <w:szCs w:val="32"/>
        </w:rPr>
      </w:pPr>
      <w:bookmarkStart w:id="0" w:name="_GoBack"/>
      <w:bookmarkEnd w:id="0"/>
      <w:r>
        <w:rPr>
          <w:rFonts w:ascii="方正楷体_GBK" w:eastAsia="方正楷体_GBK" w:hAnsi="方正楷体_GBK" w:cs="方正楷体_GBK"/>
          <w:color w:val="000000" w:themeColor="text1"/>
          <w:sz w:val="32"/>
          <w:szCs w:val="32"/>
        </w:rPr>
        <w:t>（二）单位绩效评价情况</w:t>
      </w:r>
    </w:p>
    <w:p w:rsidR="001E69FC" w:rsidRDefault="004C00A9">
      <w:pPr>
        <w:pStyle w:val="3"/>
        <w:widowControl w:val="0"/>
        <w:autoSpaceDE w:val="0"/>
        <w:spacing w:line="560"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我单位未组织开展绩效评价。</w:t>
      </w:r>
    </w:p>
    <w:p w:rsidR="001E69FC" w:rsidRDefault="004C00A9">
      <w:pPr>
        <w:pStyle w:val="3"/>
        <w:widowControl w:val="0"/>
        <w:autoSpaceDE w:val="0"/>
        <w:spacing w:line="560" w:lineRule="exact"/>
        <w:ind w:firstLine="640"/>
        <w:rPr>
          <w:rFonts w:ascii="方正楷体_GBK" w:eastAsia="方正楷体_GBK" w:hAnsi="方正楷体_GBK" w:cs="方正楷体_GBK" w:hint="default"/>
          <w:color w:val="000000" w:themeColor="text1"/>
          <w:sz w:val="32"/>
          <w:szCs w:val="32"/>
        </w:rPr>
      </w:pPr>
      <w:r>
        <w:rPr>
          <w:rFonts w:ascii="方正楷体_GBK" w:eastAsia="方正楷体_GBK" w:hAnsi="方正楷体_GBK" w:cs="方正楷体_GBK" w:hint="default"/>
          <w:color w:val="000000" w:themeColor="text1"/>
          <w:sz w:val="32"/>
          <w:szCs w:val="32"/>
        </w:rPr>
        <w:t>（三）财政绩效评价情况</w:t>
      </w:r>
    </w:p>
    <w:p w:rsidR="001E69FC" w:rsidRDefault="004C00A9">
      <w:pPr>
        <w:pStyle w:val="3"/>
        <w:widowControl w:val="0"/>
        <w:autoSpaceDE w:val="0"/>
        <w:spacing w:line="560" w:lineRule="exact"/>
        <w:ind w:firstLine="640"/>
        <w:rPr>
          <w:rFonts w:ascii="Times New Roman" w:eastAsia="方正黑体_GBK" w:hAnsi="Times New Roman" w:hint="default"/>
          <w:color w:val="000000" w:themeColor="text1"/>
          <w:sz w:val="32"/>
          <w:szCs w:val="32"/>
        </w:rPr>
      </w:pPr>
      <w:r>
        <w:rPr>
          <w:rFonts w:ascii="Times New Roman" w:eastAsia="方正仿宋_GBK" w:hAnsi="Times New Roman" w:hint="default"/>
          <w:sz w:val="32"/>
          <w:szCs w:val="32"/>
          <w:shd w:val="clear" w:color="auto" w:fill="FFFFFF"/>
        </w:rPr>
        <w:t>市</w:t>
      </w:r>
      <w:r>
        <w:rPr>
          <w:rFonts w:ascii="Times New Roman" w:eastAsia="方正仿宋_GBK" w:hAnsi="Times New Roman" w:hint="default"/>
          <w:sz w:val="32"/>
          <w:szCs w:val="32"/>
          <w:shd w:val="clear" w:color="auto" w:fill="FFFFFF"/>
        </w:rPr>
        <w:t>财政局未委托第三方对我单位开展绩效评价。</w:t>
      </w:r>
    </w:p>
    <w:p w:rsidR="001E69FC" w:rsidRDefault="004C00A9">
      <w:pPr>
        <w:widowControl w:val="0"/>
        <w:spacing w:line="560" w:lineRule="exact"/>
        <w:ind w:firstLineChars="200" w:firstLine="640"/>
        <w:textAlignment w:val="baseline"/>
        <w:rPr>
          <w:rFonts w:ascii="Times New Roman" w:eastAsia="方正黑体_GBK" w:hAnsi="Times New Roman" w:hint="default"/>
          <w:color w:val="000000" w:themeColor="text1"/>
          <w:sz w:val="32"/>
          <w:szCs w:val="32"/>
        </w:rPr>
      </w:pPr>
      <w:r>
        <w:rPr>
          <w:rFonts w:ascii="Times New Roman" w:eastAsia="方正黑体_GBK" w:hAnsi="Times New Roman" w:hint="default"/>
          <w:color w:val="000000" w:themeColor="text1"/>
          <w:sz w:val="32"/>
          <w:szCs w:val="32"/>
        </w:rPr>
        <w:t>六、专业名词解释</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（五）使用非财政拨款结余（含专用结余）：</w:t>
      </w:r>
      <w:r>
        <w:rPr>
          <w:rFonts w:ascii="Times New Roman" w:eastAsia="方正仿宋_GBK" w:hAnsi="Times New Roman"/>
          <w:sz w:val="32"/>
          <w:szCs w:val="32"/>
          <w:shd w:val="clear" w:color="auto" w:fill="FFFFFF"/>
        </w:rPr>
        <w:t>指单位在</w:t>
      </w:r>
      <w:r>
        <w:rPr>
          <w:rFonts w:ascii="Times New Roman" w:eastAsia="方正仿宋_GBK" w:hAnsi="Times New Roman"/>
          <w:sz w:val="32"/>
          <w:szCs w:val="32"/>
          <w:shd w:val="clear" w:color="auto" w:fill="FFFFFF"/>
        </w:rPr>
        <w:lastRenderedPageBreak/>
        <w:t>当年的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（六）</w:t>
      </w:r>
      <w:r>
        <w:rPr>
          <w:rFonts w:ascii="方正楷体_GBK" w:eastAsia="方正楷体_GBK" w:hAnsi="方正楷体_GBK" w:cs="方正楷体_GBK"/>
          <w:color w:val="000000" w:themeColor="text1"/>
          <w:sz w:val="32"/>
          <w:szCs w:val="32"/>
        </w:rPr>
        <w:t>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外的其他支出。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（十二）</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三公</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Times New Roman" w:eastAsia="方正仿宋_GBK" w:hAnsi="Times New Roman"/>
          <w:sz w:val="32"/>
          <w:szCs w:val="32"/>
          <w:shd w:val="clear" w:color="auto" w:fill="FFFFFF"/>
        </w:rPr>
        <w:lastRenderedPageBreak/>
        <w:t>（含车辆购置税）；公务用车运行维护费反映单位</w:t>
      </w:r>
      <w:r>
        <w:rPr>
          <w:rFonts w:ascii="Times New Roman" w:eastAsia="方正仿宋_GBK" w:hAnsi="Times New Roman"/>
          <w:sz w:val="32"/>
          <w:szCs w:val="32"/>
          <w:shd w:val="clear" w:color="auto" w:fill="FFFFFF"/>
        </w:rPr>
        <w:t>按规定保留的公务用车燃料费、维修费、过路过桥费、保险费、安全奖励费用等支出；公务接待费反映单位按规定开支的各类公务接待（含外宾接待）支出。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（十四）工资福利支出（支出经济分类科目类级）：</w:t>
      </w:r>
      <w:r>
        <w:rPr>
          <w:rFonts w:ascii="Times New Roman" w:eastAsia="方正仿宋_GBK" w:hAnsi="Times New Roman"/>
          <w:sz w:val="32"/>
          <w:szCs w:val="32"/>
          <w:shd w:val="clear" w:color="auto" w:fill="FFFFFF"/>
        </w:rPr>
        <w:t>反映单位开支的在职职工和编制外长期聘用人员的</w:t>
      </w:r>
      <w:r>
        <w:rPr>
          <w:rFonts w:ascii="Times New Roman" w:eastAsia="方正仿宋_GBK" w:hAnsi="Times New Roman"/>
          <w:sz w:val="32"/>
          <w:szCs w:val="32"/>
          <w:shd w:val="clear" w:color="auto" w:fill="FFFFFF"/>
        </w:rPr>
        <w:t>各类劳动报酬，以及为上述人员缴纳的各项社会保险费等。</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rPr>
      </w:pPr>
      <w:r>
        <w:rPr>
          <w:rFonts w:ascii="方正楷体_GBK" w:eastAsia="方正楷体_GBK" w:hAnsi="方正楷体_GBK" w:cs="方正楷体_GBK"/>
          <w:color w:val="000000" w:themeColor="text1"/>
          <w:sz w:val="32"/>
          <w:szCs w:val="32"/>
        </w:rPr>
        <w:t>（十七）其他资本性支出（支出经济分类科目类级）：</w:t>
      </w:r>
      <w:r>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E69FC" w:rsidRDefault="004C00A9">
      <w:pPr>
        <w:widowControl w:val="0"/>
        <w:spacing w:line="560" w:lineRule="exact"/>
        <w:ind w:firstLineChars="200" w:firstLine="640"/>
        <w:textAlignment w:val="baseline"/>
        <w:rPr>
          <w:rFonts w:ascii="Times New Roman" w:eastAsia="方正黑体_GBK" w:hAnsi="Times New Roman" w:hint="default"/>
          <w:color w:val="000000" w:themeColor="text1"/>
          <w:sz w:val="32"/>
          <w:szCs w:val="32"/>
        </w:rPr>
      </w:pPr>
      <w:r>
        <w:rPr>
          <w:rFonts w:ascii="Times New Roman" w:eastAsia="方正黑体_GBK" w:hAnsi="Times New Roman" w:hint="default"/>
          <w:color w:val="000000" w:themeColor="text1"/>
          <w:sz w:val="32"/>
          <w:szCs w:val="32"/>
        </w:rPr>
        <w:t>七、决算公开联系方式及信息反馈渠道</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本单位决算公开信息反馈和联系方式：</w:t>
      </w:r>
    </w:p>
    <w:p w:rsidR="001E69FC" w:rsidRDefault="004C00A9">
      <w:pPr>
        <w:pStyle w:val="Char"/>
        <w:widowControl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李云淑</w:t>
      </w:r>
      <w:r>
        <w:rPr>
          <w:rFonts w:ascii="Times New Roman" w:eastAsia="方正仿宋_GBK" w:hAnsi="Times New Roman"/>
          <w:sz w:val="32"/>
          <w:szCs w:val="32"/>
          <w:shd w:val="clear" w:color="auto" w:fill="FFFFFF"/>
        </w:rPr>
        <w:t>023-81858113</w:t>
      </w:r>
    </w:p>
    <w:p w:rsidR="001E69FC" w:rsidRDefault="001E69FC">
      <w:pPr>
        <w:pStyle w:val="1"/>
        <w:autoSpaceDE w:val="0"/>
        <w:spacing w:line="596" w:lineRule="exact"/>
        <w:ind w:firstLine="643"/>
        <w:jc w:val="both"/>
        <w:rPr>
          <w:rStyle w:val="ab"/>
          <w:rFonts w:ascii="Times New Roman" w:eastAsia="方正仿宋_GBK" w:hAnsi="Times New Roman"/>
          <w:sz w:val="32"/>
          <w:szCs w:val="32"/>
          <w:shd w:val="clear" w:color="auto" w:fill="FFFF00"/>
        </w:rPr>
        <w:sectPr w:rsidR="001E69FC">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E69F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E69F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E69F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rPr>
                <w:rFonts w:ascii="Arial" w:hAnsi="Arial" w:cs="Arial" w:hint="default"/>
                <w:color w:val="000000"/>
                <w:sz w:val="22"/>
                <w:szCs w:val="22"/>
              </w:rPr>
            </w:pPr>
            <w:r>
              <w:rPr>
                <w:rFonts w:cs="宋体"/>
                <w:sz w:val="20"/>
                <w:szCs w:val="20"/>
              </w:rPr>
              <w:t>单位：</w:t>
            </w:r>
            <w:r>
              <w:rPr>
                <w:sz w:val="20"/>
              </w:rPr>
              <w:t>丰都县医疗保障事务中心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477.72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57.32</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389.10</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477.72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477.72</w:t>
            </w: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20"/>
                <w:szCs w:val="20"/>
              </w:rPr>
            </w:pPr>
          </w:p>
        </w:tc>
      </w:tr>
      <w:tr w:rsidR="001E69F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477.72</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E69FC" w:rsidRDefault="004C00A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477.72</w:t>
            </w:r>
          </w:p>
        </w:tc>
      </w:tr>
    </w:tbl>
    <w:p w:rsidR="001E69FC" w:rsidRDefault="001E69FC">
      <w:pPr>
        <w:rPr>
          <w:rFonts w:cs="宋体" w:hint="default"/>
          <w:sz w:val="21"/>
          <w:szCs w:val="21"/>
        </w:rPr>
      </w:pPr>
    </w:p>
    <w:p w:rsidR="001E69FC" w:rsidRDefault="004C00A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E69F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E69F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20"/>
                <w:szCs w:val="20"/>
              </w:rPr>
            </w:pPr>
            <w:r>
              <w:rPr>
                <w:rFonts w:cs="宋体"/>
                <w:sz w:val="20"/>
                <w:szCs w:val="20"/>
              </w:rPr>
              <w:t>单位：</w:t>
            </w:r>
            <w:r>
              <w:rPr>
                <w:sz w:val="20"/>
              </w:rPr>
              <w:t>丰都县医疗保障事务中心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E69F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其他收入</w:t>
            </w:r>
          </w:p>
        </w:tc>
      </w:tr>
      <w:tr w:rsidR="001E69F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389.10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389.10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医疗保障管理事务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360.91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360.91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360.91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360.91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E69FC" w:rsidRDefault="004C00A9">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1E69FC" w:rsidRDefault="004C00A9">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E69F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E69F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丰都县医疗保障事务中心</w:t>
            </w:r>
          </w:p>
        </w:tc>
        <w:tc>
          <w:tcPr>
            <w:tcW w:w="57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E69F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对附属单位补助支出</w:t>
            </w:r>
          </w:p>
        </w:tc>
      </w:tr>
      <w:tr w:rsidR="001E69F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69FC" w:rsidRDefault="001E69F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389.10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389.10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医疗保障管理事务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360.91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360.91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360.91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360.91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E69F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E69FC" w:rsidRDefault="004C00A9">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1E69FC" w:rsidRDefault="004C00A9">
      <w:pPr>
        <w:rPr>
          <w:rFonts w:cs="宋体" w:hint="default"/>
          <w:sz w:val="21"/>
          <w:szCs w:val="21"/>
        </w:rPr>
      </w:pPr>
      <w:r>
        <w:rPr>
          <w:rFonts w:cs="宋体"/>
          <w:sz w:val="21"/>
          <w:szCs w:val="21"/>
        </w:rPr>
        <w:br w:type="page"/>
      </w:r>
    </w:p>
    <w:p w:rsidR="001E69FC" w:rsidRDefault="001E69FC">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E69F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E69F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丰都县医疗保障事务中心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E69F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收入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支出</w:t>
            </w:r>
          </w:p>
        </w:tc>
      </w:tr>
      <w:tr w:rsidR="001E69F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E69F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57.32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57.32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389.10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389.10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31.30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31.30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200" w:lineRule="exact"/>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textAlignment w:val="center"/>
              <w:rPr>
                <w:rFonts w:cs="宋体" w:hint="default"/>
                <w:b/>
                <w:bCs/>
                <w:color w:val="000000"/>
                <w:sz w:val="18"/>
                <w:szCs w:val="18"/>
              </w:rPr>
            </w:pP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200" w:lineRule="exact"/>
              <w:jc w:val="right"/>
              <w:rPr>
                <w:rFonts w:ascii="Times New Roman" w:hAnsi="Times New Roman" w:hint="default"/>
                <w:color w:val="000000"/>
                <w:sz w:val="18"/>
                <w:szCs w:val="18"/>
              </w:rPr>
            </w:pPr>
          </w:p>
        </w:tc>
      </w:tr>
      <w:tr w:rsidR="001E69F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477.72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wordWrap w:val="0"/>
              <w:spacing w:line="200" w:lineRule="exact"/>
              <w:jc w:val="right"/>
              <w:textAlignment w:val="center"/>
              <w:rPr>
                <w:rFonts w:ascii="Times New Roman" w:hAnsi="Times New Roman" w:hint="default"/>
                <w:color w:val="000000"/>
                <w:sz w:val="18"/>
                <w:szCs w:val="18"/>
              </w:rPr>
            </w:pPr>
          </w:p>
        </w:tc>
      </w:tr>
    </w:tbl>
    <w:p w:rsidR="001E69FC" w:rsidRDefault="004C00A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E69F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E69F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丰都县医疗保障事务中心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E69F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本年支出</w:t>
            </w:r>
          </w:p>
        </w:tc>
      </w:tr>
      <w:tr w:rsidR="001E69F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项目支出</w:t>
            </w:r>
          </w:p>
        </w:tc>
      </w:tr>
      <w:tr w:rsidR="001E69F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477.72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389.10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389.10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20.49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21015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医疗保障管理事务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2101501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E69F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31.30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31.30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E69FC" w:rsidRDefault="004C00A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1E69FC" w:rsidRDefault="004C00A9">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E69F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E69F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丰都县医疗保障事务中心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E69F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69FC" w:rsidRDefault="001E69F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E69F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w:t>
            </w:r>
            <w:r>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w:t>
            </w:r>
            <w:r>
              <w:rPr>
                <w:rFonts w:cs="宋体"/>
                <w:b/>
                <w:color w:val="000000"/>
                <w:sz w:val="18"/>
                <w:szCs w:val="18"/>
              </w:rPr>
              <w:t>经济</w:t>
            </w:r>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w:t>
            </w:r>
            <w:r>
              <w:rPr>
                <w:rFonts w:cs="宋体"/>
                <w:b/>
                <w:color w:val="000000"/>
                <w:sz w:val="18"/>
                <w:szCs w:val="18"/>
              </w:rPr>
              <w:t>经济</w:t>
            </w:r>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E69F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spacing w:line="192" w:lineRule="exact"/>
              <w:jc w:val="center"/>
              <w:rPr>
                <w:rFonts w:cs="宋体" w:hint="default"/>
                <w:b/>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404.49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117.93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rPr>
                <w:rFonts w:ascii="Times New Roman" w:hAnsi="Times New Roman" w:hint="default"/>
                <w:color w:val="000000"/>
                <w:sz w:val="18"/>
                <w:szCs w:val="18"/>
              </w:rPr>
            </w:pPr>
          </w:p>
        </w:tc>
      </w:tr>
      <w:tr w:rsidR="001E69F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rPr>
                <w:rFonts w:ascii="Times New Roman" w:hAnsi="Times New Roman" w:hint="default"/>
                <w:color w:val="000000"/>
                <w:sz w:val="18"/>
                <w:szCs w:val="18"/>
              </w:rPr>
            </w:pPr>
          </w:p>
        </w:tc>
      </w:tr>
      <w:tr w:rsidR="001E69F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1E69F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textAlignment w:val="center"/>
              <w:rPr>
                <w:rFonts w:cs="宋体" w:hint="default"/>
                <w:color w:val="000000"/>
                <w:sz w:val="18"/>
                <w:szCs w:val="18"/>
              </w:rPr>
            </w:pP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spacing w:line="192" w:lineRule="exact"/>
              <w:jc w:val="right"/>
              <w:rPr>
                <w:rFonts w:ascii="Times New Roman" w:hAnsi="Times New Roman" w:hint="default"/>
                <w:color w:val="000000"/>
                <w:sz w:val="18"/>
                <w:szCs w:val="18"/>
              </w:rPr>
            </w:pPr>
          </w:p>
        </w:tc>
      </w:tr>
      <w:tr w:rsidR="001E69F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4C00A9">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404.49</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73.22</w:t>
            </w:r>
          </w:p>
        </w:tc>
      </w:tr>
    </w:tbl>
    <w:p w:rsidR="001E69FC" w:rsidRDefault="004C00A9">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E69F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E69F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丰都县医疗保障事务中心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E69F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年末结转和结余</w:t>
            </w:r>
          </w:p>
        </w:tc>
      </w:tr>
      <w:tr w:rsidR="001E69F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69F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E69FC" w:rsidRDefault="004C00A9">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E69FC" w:rsidRDefault="004C00A9">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E69F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E69F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丰都县医疗保障事务中心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E69F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69FC" w:rsidRDefault="001E69F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69F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69FC" w:rsidRDefault="004C00A9">
            <w:pPr>
              <w:jc w:val="center"/>
              <w:textAlignment w:val="bottom"/>
              <w:rPr>
                <w:rFonts w:cs="宋体" w:hint="default"/>
                <w:b/>
                <w:color w:val="000000"/>
                <w:sz w:val="20"/>
                <w:szCs w:val="20"/>
              </w:rPr>
            </w:pPr>
            <w:r>
              <w:rPr>
                <w:rFonts w:cs="宋体"/>
                <w:b/>
                <w:color w:val="000000"/>
                <w:sz w:val="20"/>
                <w:szCs w:val="20"/>
              </w:rPr>
              <w:t>本年支出</w:t>
            </w:r>
          </w:p>
        </w:tc>
      </w:tr>
      <w:tr w:rsidR="001E69F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项目支出</w:t>
            </w:r>
          </w:p>
        </w:tc>
      </w:tr>
      <w:tr w:rsidR="001E69F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69FC" w:rsidRDefault="001E69FC">
            <w:pPr>
              <w:jc w:val="center"/>
              <w:rPr>
                <w:rFonts w:cs="宋体" w:hint="default"/>
                <w:b/>
                <w:color w:val="000000"/>
                <w:sz w:val="20"/>
                <w:szCs w:val="20"/>
              </w:rPr>
            </w:pPr>
          </w:p>
        </w:tc>
      </w:tr>
      <w:tr w:rsidR="001E69F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69FC" w:rsidRDefault="004C00A9">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E69F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1E69F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69FC" w:rsidRDefault="004C00A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E69FC" w:rsidRDefault="004C00A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E69FC" w:rsidRDefault="004C00A9">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E69FC">
        <w:trPr>
          <w:trHeight w:val="343"/>
        </w:trPr>
        <w:tc>
          <w:tcPr>
            <w:tcW w:w="5000" w:type="pct"/>
            <w:gridSpan w:val="5"/>
            <w:shd w:val="clear" w:color="auto" w:fill="auto"/>
            <w:noWrap/>
            <w:tcMar>
              <w:top w:w="15" w:type="dxa"/>
              <w:left w:w="15" w:type="dxa"/>
              <w:right w:w="15" w:type="dxa"/>
            </w:tcMar>
            <w:vAlign w:val="bottom"/>
          </w:tcPr>
          <w:p w:rsidR="001E69FC" w:rsidRDefault="004C00A9">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E69FC">
        <w:trPr>
          <w:trHeight w:val="244"/>
        </w:trPr>
        <w:tc>
          <w:tcPr>
            <w:tcW w:w="1124" w:type="pct"/>
            <w:shd w:val="clear" w:color="auto" w:fill="auto"/>
            <w:noWrap/>
            <w:tcMar>
              <w:top w:w="15" w:type="dxa"/>
              <w:left w:w="15" w:type="dxa"/>
              <w:right w:w="15" w:type="dxa"/>
            </w:tcMar>
            <w:vAlign w:val="bottom"/>
          </w:tcPr>
          <w:p w:rsidR="001E69FC" w:rsidRDefault="001E69FC">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E69FC" w:rsidRDefault="001E69FC">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E69FC" w:rsidRDefault="001E69FC">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E69FC" w:rsidRDefault="001E69FC">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E69F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E69FC" w:rsidRDefault="004C00A9">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丰都县医疗保障事务中心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E69FC" w:rsidRDefault="001E69FC">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E69FC" w:rsidRDefault="001E69FC">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E69FC" w:rsidRDefault="004C00A9">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E69F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cs="宋体" w:hint="default"/>
                <w:b/>
                <w:color w:val="000000"/>
                <w:kern w:val="2"/>
                <w:sz w:val="16"/>
                <w:szCs w:val="16"/>
              </w:rPr>
            </w:pPr>
            <w:r>
              <w:rPr>
                <w:rFonts w:cs="宋体"/>
                <w:b/>
                <w:color w:val="000000"/>
                <w:kern w:val="2"/>
                <w:sz w:val="16"/>
                <w:szCs w:val="16"/>
              </w:rPr>
              <w:t>项目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cs="宋体" w:hint="default"/>
                <w:b/>
                <w:color w:val="000000"/>
                <w:kern w:val="2"/>
                <w:sz w:val="16"/>
                <w:szCs w:val="16"/>
              </w:rPr>
            </w:pPr>
            <w:r>
              <w:rPr>
                <w:rFonts w:cs="宋体"/>
                <w:b/>
                <w:color w:val="000000"/>
                <w:kern w:val="2"/>
                <w:sz w:val="16"/>
                <w:szCs w:val="16"/>
              </w:rPr>
              <w:t>项目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E69F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color w:val="000000"/>
                <w:kern w:val="2"/>
                <w:sz w:val="16"/>
                <w:szCs w:val="16"/>
              </w:rPr>
            </w:pPr>
            <w:r>
              <w:rPr>
                <w:rFonts w:cs="宋体"/>
                <w:b/>
                <w:color w:val="000000"/>
                <w:kern w:val="2"/>
                <w:sz w:val="16"/>
                <w:szCs w:val="16"/>
              </w:rPr>
              <w:t>一、</w:t>
            </w:r>
            <w:r>
              <w:rPr>
                <w:rFonts w:cs="宋体"/>
                <w:b/>
                <w:color w:val="000000"/>
                <w:kern w:val="2"/>
                <w:sz w:val="16"/>
                <w:szCs w:val="16"/>
              </w:rPr>
              <w:t>“</w:t>
            </w:r>
            <w:r>
              <w:rPr>
                <w:rFonts w:cs="宋体"/>
                <w:b/>
                <w:color w:val="000000"/>
                <w:kern w:val="2"/>
                <w:sz w:val="16"/>
                <w:szCs w:val="16"/>
              </w:rPr>
              <w:t>三公</w:t>
            </w:r>
            <w:r>
              <w:rPr>
                <w:rFonts w:cs="宋体"/>
                <w:b/>
                <w:color w:val="000000"/>
                <w:kern w:val="2"/>
                <w:sz w:val="16"/>
                <w:szCs w:val="16"/>
              </w:rPr>
              <w:t>”</w:t>
            </w:r>
            <w:r>
              <w:rPr>
                <w:rFonts w:cs="宋体"/>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73.22</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73.22</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kern w:val="2"/>
                <w:sz w:val="16"/>
                <w:szCs w:val="16"/>
              </w:rPr>
            </w:pP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sz w:val="18"/>
                <w:szCs w:val="18"/>
              </w:rPr>
            </w:pPr>
          </w:p>
        </w:tc>
      </w:tr>
      <w:tr w:rsidR="001E69F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1E69F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jc w:val="right"/>
              <w:rPr>
                <w:rFonts w:cs="宋体" w:hint="default"/>
                <w:color w:val="000000"/>
                <w:kern w:val="2"/>
                <w:sz w:val="16"/>
                <w:szCs w:val="16"/>
              </w:rPr>
            </w:pPr>
          </w:p>
        </w:tc>
      </w:tr>
      <w:tr w:rsidR="001E69F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1E69F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jc w:val="right"/>
              <w:rPr>
                <w:rFonts w:cs="宋体" w:hint="default"/>
                <w:color w:val="000000"/>
                <w:kern w:val="2"/>
                <w:sz w:val="16"/>
                <w:szCs w:val="16"/>
              </w:rPr>
            </w:pPr>
          </w:p>
        </w:tc>
      </w:tr>
      <w:tr w:rsidR="001E69F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4C00A9">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4C00A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5.86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69FC" w:rsidRDefault="001E69FC">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69FC" w:rsidRDefault="001E69FC">
            <w:pPr>
              <w:spacing w:line="280" w:lineRule="exact"/>
              <w:jc w:val="right"/>
              <w:rPr>
                <w:rFonts w:cs="宋体" w:hint="default"/>
                <w:color w:val="000000"/>
                <w:sz w:val="16"/>
                <w:szCs w:val="16"/>
              </w:rPr>
            </w:pPr>
          </w:p>
        </w:tc>
      </w:tr>
    </w:tbl>
    <w:p w:rsidR="001E69FC" w:rsidRDefault="004C00A9">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w:t>
      </w:r>
      <w:r>
        <w:rPr>
          <w:rFonts w:cs="宋体"/>
          <w:sz w:val="18"/>
          <w:szCs w:val="18"/>
        </w:rPr>
        <w:t>“</w:t>
      </w:r>
      <w:r>
        <w:rPr>
          <w:rFonts w:cs="宋体"/>
          <w:sz w:val="18"/>
          <w:szCs w:val="18"/>
        </w:rPr>
        <w:t>三公</w:t>
      </w:r>
      <w:r>
        <w:rPr>
          <w:rFonts w:cs="宋体"/>
          <w:sz w:val="18"/>
          <w:szCs w:val="18"/>
        </w:rPr>
        <w:t>”</w:t>
      </w:r>
      <w:r>
        <w:rPr>
          <w:rFonts w:cs="宋体"/>
          <w:sz w:val="18"/>
          <w:szCs w:val="18"/>
        </w:rPr>
        <w:t>经费支出预决算情况。其中，预算数为</w:t>
      </w:r>
      <w:r>
        <w:rPr>
          <w:rFonts w:cs="宋体"/>
          <w:sz w:val="18"/>
          <w:szCs w:val="18"/>
        </w:rPr>
        <w:t>“</w:t>
      </w:r>
      <w:r>
        <w:rPr>
          <w:rFonts w:cs="宋体"/>
          <w:sz w:val="18"/>
          <w:szCs w:val="18"/>
        </w:rPr>
        <w:t>三公</w:t>
      </w:r>
      <w:r>
        <w:rPr>
          <w:rFonts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2.</w:t>
      </w:r>
      <w:r>
        <w:rPr>
          <w:rFonts w:cs="宋体"/>
          <w:sz w:val="18"/>
          <w:szCs w:val="18"/>
        </w:rPr>
        <w:t>本套报表金额单位转换时可能存在尾数误差。</w:t>
      </w:r>
      <w:r>
        <w:rPr>
          <w:rFonts w:cs="宋体"/>
          <w:sz w:val="18"/>
          <w:szCs w:val="18"/>
        </w:rPr>
        <w:br/>
      </w:r>
      <w:r>
        <w:rPr>
          <w:rFonts w:cs="宋体"/>
          <w:sz w:val="18"/>
          <w:szCs w:val="18"/>
        </w:rPr>
        <w:br/>
      </w:r>
    </w:p>
    <w:sectPr w:rsidR="001E69FC">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A9" w:rsidRDefault="004C00A9">
      <w:pPr>
        <w:rPr>
          <w:rFonts w:hint="default"/>
        </w:rPr>
      </w:pPr>
      <w:r>
        <w:separator/>
      </w:r>
    </w:p>
  </w:endnote>
  <w:endnote w:type="continuationSeparator" w:id="0">
    <w:p w:rsidR="004C00A9" w:rsidRDefault="004C00A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FC" w:rsidRDefault="004C00A9">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E69FC" w:rsidRDefault="004C00A9">
                          <w:pPr>
                            <w:pStyle w:val="a7"/>
                            <w:rPr>
                              <w:rFonts w:hint="default"/>
                            </w:rPr>
                          </w:pPr>
                          <w:r>
                            <w:fldChar w:fldCharType="begin"/>
                          </w:r>
                          <w:r>
                            <w:instrText xml:space="preserve"> PAGE  \* MERGEFORMAT </w:instrText>
                          </w:r>
                          <w:r>
                            <w:fldChar w:fldCharType="separate"/>
                          </w:r>
                          <w:r w:rsidR="00D4022E">
                            <w:rPr>
                              <w:rFonts w:hint="default"/>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E69FC" w:rsidRDefault="004C00A9">
                    <w:pPr>
                      <w:pStyle w:val="a7"/>
                      <w:rPr>
                        <w:rFonts w:hint="default"/>
                      </w:rPr>
                    </w:pPr>
                    <w:r>
                      <w:fldChar w:fldCharType="begin"/>
                    </w:r>
                    <w:r>
                      <w:instrText xml:space="preserve"> PAGE  \* MERGEFORMAT </w:instrText>
                    </w:r>
                    <w:r>
                      <w:fldChar w:fldCharType="separate"/>
                    </w:r>
                    <w:r w:rsidR="00D4022E">
                      <w:rPr>
                        <w:rFonts w:hint="default"/>
                        <w:noProof/>
                      </w:rPr>
                      <w:t>- 9 -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FC" w:rsidRDefault="004C00A9">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E69FC" w:rsidRDefault="004C00A9">
                          <w:pPr>
                            <w:pStyle w:val="a7"/>
                            <w:rPr>
                              <w:rFonts w:hint="default"/>
                            </w:rPr>
                          </w:pPr>
                          <w:r>
                            <w:fldChar w:fldCharType="begin"/>
                          </w:r>
                          <w:r>
                            <w:instrText>PAGE   \* MERGEFORMAT</w:instrText>
                          </w:r>
                          <w:r>
                            <w:fldChar w:fldCharType="separate"/>
                          </w:r>
                          <w:r w:rsidR="00D4022E" w:rsidRPr="00D4022E">
                            <w:rPr>
                              <w:rFonts w:hint="default"/>
                              <w:noProof/>
                              <w:lang w:val="zh-CN"/>
                            </w:rPr>
                            <w:t>-</w:t>
                          </w:r>
                          <w:r w:rsidR="00D4022E">
                            <w:rPr>
                              <w:rFonts w:hint="default"/>
                              <w:noProof/>
                            </w:rPr>
                            <w:t xml:space="preserve">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E69FC" w:rsidRDefault="004C00A9">
                    <w:pPr>
                      <w:pStyle w:val="a7"/>
                      <w:rPr>
                        <w:rFonts w:hint="default"/>
                      </w:rPr>
                    </w:pPr>
                    <w:r>
                      <w:fldChar w:fldCharType="begin"/>
                    </w:r>
                    <w:r>
                      <w:instrText>PAGE   \* MERGEFORMAT</w:instrText>
                    </w:r>
                    <w:r>
                      <w:fldChar w:fldCharType="separate"/>
                    </w:r>
                    <w:r w:rsidR="00D4022E" w:rsidRPr="00D4022E">
                      <w:rPr>
                        <w:rFonts w:hint="default"/>
                        <w:noProof/>
                        <w:lang w:val="zh-CN"/>
                      </w:rPr>
                      <w:t>-</w:t>
                    </w:r>
                    <w:r w:rsidR="00D4022E">
                      <w:rPr>
                        <w:rFonts w:hint="default"/>
                        <w:noProof/>
                      </w:rPr>
                      <w:t xml:space="preserve"> 17 -</w:t>
                    </w:r>
                    <w:r>
                      <w:fldChar w:fldCharType="end"/>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E69FC" w:rsidRDefault="004C00A9">
                          <w:pPr>
                            <w:pStyle w:val="a7"/>
                            <w:jc w:val="both"/>
                            <w:rPr>
                              <w:rFonts w:cs="宋体" w:hint="default"/>
                            </w:rPr>
                          </w:pPr>
                          <w:r>
                            <w:rPr>
                              <w:rFonts w:cs="宋体"/>
                            </w:rPr>
                            <w:t>—</w:t>
                          </w:r>
                          <w:r>
                            <w:rPr>
                              <w:rFonts w:cs="宋体"/>
                            </w:rPr>
                            <w:t>27.1</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1E69FC" w:rsidRDefault="004C00A9">
                    <w:pPr>
                      <w:pStyle w:val="a7"/>
                      <w:jc w:val="both"/>
                      <w:rPr>
                        <w:rFonts w:cs="宋体" w:hint="default"/>
                      </w:rPr>
                    </w:pPr>
                    <w:r>
                      <w:rPr>
                        <w:rFonts w:cs="宋体"/>
                      </w:rPr>
                      <w:t>—</w:t>
                    </w:r>
                    <w:r>
                      <w:rPr>
                        <w:rFonts w:cs="宋体"/>
                      </w:rPr>
                      <w:t>27.1</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A9" w:rsidRDefault="004C00A9">
      <w:pPr>
        <w:rPr>
          <w:rFonts w:hint="default"/>
        </w:rPr>
      </w:pPr>
      <w:r>
        <w:separator/>
      </w:r>
    </w:p>
  </w:footnote>
  <w:footnote w:type="continuationSeparator" w:id="0">
    <w:p w:rsidR="004C00A9" w:rsidRDefault="004C00A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FC" w:rsidRDefault="001E69FC">
    <w:pPr>
      <w:pStyle w:val="a8"/>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275AE7"/>
    <w:multiLevelType w:val="singleLevel"/>
    <w:tmpl w:val="F1275AE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1E69FC"/>
    <w:rsid w:val="002B254B"/>
    <w:rsid w:val="0034050A"/>
    <w:rsid w:val="0044504F"/>
    <w:rsid w:val="00466C9B"/>
    <w:rsid w:val="00486CFC"/>
    <w:rsid w:val="00491DDD"/>
    <w:rsid w:val="004C00A9"/>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4022E"/>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163D48"/>
    <w:rsid w:val="1B5D127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77071"/>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4B1DBB"/>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0D0166"/>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5D5ADA"/>
    <w:rsid w:val="7B420052"/>
    <w:rsid w:val="7BD06A28"/>
    <w:rsid w:val="7C3A7C0B"/>
    <w:rsid w:val="7C5248E4"/>
    <w:rsid w:val="7C566698"/>
    <w:rsid w:val="7C5866A3"/>
    <w:rsid w:val="7D7406BB"/>
    <w:rsid w:val="7DE94331"/>
    <w:rsid w:val="7E0B4B4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374229-7C72-4D0D-AAC8-8698FAB0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6">
    <w:name w:val="批注框文本 字符"/>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1977</Words>
  <Characters>11275</Characters>
  <Application>Microsoft Office Word</Application>
  <DocSecurity>0</DocSecurity>
  <Lines>93</Lines>
  <Paragraphs>26</Paragraphs>
  <ScaleCrop>false</ScaleCrop>
  <Company>Microsoft</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2024-07-11T02:00:00Z</dcterms:created>
  <dcterms:modified xsi:type="dcterms:W3CDTF">2025-09-15T07:58:00Z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047FC6444A8444AE81A51C7B1B1EF5E6_13</vt:lpwstr>
  </property>
  <property fmtid="{D5CDD505-2E9C-101B-9397-08002B2CF9AE}" pid="4" name="KSOTemplateDocerSaveRecord">
    <vt:lpwstr>eyJoZGlkIjoiM2QwYTRiMTI0NTlhOGZiYTZkODRjNmZiOTg2ZGQ0N2QiLCJ1c2VySWQiOiI3ODI2ODMzMTUifQ==</vt:lpwstr>
  </property>
</Properties>
</file>