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73675" cy="26670"/>
            <wp:effectExtent l="0" t="0" r="3175" b="1905"/>
            <wp:docPr id="4" name="图片 4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center"/>
        <w:rPr>
          <w:rFonts w:hint="eastAsia"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spacing w:line="600" w:lineRule="exact"/>
        <w:jc w:val="center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（丰都）应急罚〔2025〕危化 4号</w:t>
      </w:r>
    </w:p>
    <w:p>
      <w:pPr>
        <w:spacing w:line="440" w:lineRule="exact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被处罚单位：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烟花爆竹零售店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重庆市丰都县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社区6组48号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邮政编码：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408200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法定代表人（负责人）：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职务：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主要负责人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联系电话：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1569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587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违法事实及证据：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2025年02月25日，我局执法人员对周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烟花爆竹零售店开展执法检查，发现周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烟花爆竹零售店在丰都县三合街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路168号3栋附3号慧思殡葬用品店销售烟花爆竹，变更经营场所未重新办理经营许可证。   以上事实主要证据如下：   证据一：现场检查记录（2025年01月26日）1份，证明2025年01月26日执法检查时，周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烟花爆竹零售店在丰都县三合街道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168号3栋附3号慧思殡葬用品店销售烟花爆竹属实，变更经营场所未重新办理经营许可证；证据二：调查笔录（2025年02月11日）二份，证明周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烟花爆竹零售店在丰都县三合街道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168号3栋附3号慧思殡葬用品店销售烟花爆竹属实，变更经营场所未重新办理经营许可证；证据三：现场照片（2025年01月26日）六张，证明周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烟花爆竹零售店在丰都县三合街道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路168号3栋附3号慧思殡葬用品店销售烟花爆竹属实；证据四：书证（2025年02月11日）四份，证明周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烟花爆竹零售店及主要负责人身份信息和经营符合条件（在丰都县湛普镇白水社区6组）；证据五：书证二份，证明周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烟花爆竹零售店主要负责人周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家庭生活困难。                               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周</w:t>
      </w:r>
      <w:r>
        <w:rPr>
          <w:rFonts w:hint="eastAsia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烟花爆竹零售店在丰都县三合街道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>****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168号3栋附3号慧思殡葬用品店销售烟花爆竹，变更经营场所未重新办理经营许可证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的事实违反了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《烟花爆竹经营许可实施办法》（国家安监总局65号令）第二十一条：“零售许可证的有效期限由发证机关确定，最长不超过2年。零售许可证有效期满后拟继续从事烟花爆竹零售经营活动，或者在有效期内变更零售点名称、主要负责人、零售场所和许可范围的，应当重新申请取得零售许可证”。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之规定，依据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《烟花爆竹经营许可实施办法》（国家安监总局65号令）第三十五条第（一）项：“零售经营者有下列行为之一的，责令其限期改正，处1000元以上5000元以下的罚款；情节严重的，处5000元以上30000元以下的罚款。变更零售点名称、主要负责人或者经营场所，未重新办理零售许可证的” ,鉴于你（单位）：认识态度好，家庭生活困难，按照《重庆市安全生产行政处罚裁量基准》第九条“第二款：当事人有下列情形之一的，可以从轻或者减轻行政处罚：第二项：当事人因残疾或者重大疾病等原因生活确有困难的”的规定，拟给予你（单位）从轻处罚。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,决定对周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**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烟花爆竹零售店作出以下行政处罚：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>1. 罚款2000元（贰仟元整）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处以罚款的，罚款自收到本决定书之日起15日内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缴至，账号，到期不缴本机关有权每日按罚款数额的3%加处罚款。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如果不服本处罚决定，可以依法在60日内向申请行政复议，或者在6个月内依法向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1260" w:right="0" w:firstLine="3914" w:firstLineChars="1864"/>
        <w:jc w:val="both"/>
        <w:textAlignment w:val="auto"/>
        <w:rPr>
          <w:rFonts w:hint="default" w:ascii="Calibri" w:hAnsi="Calibri" w:eastAsia="仿宋_GB2312" w:cs="Times New Roman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</w:pPr>
    </w:p>
    <w:p>
      <w:pPr>
        <w:pStyle w:val="2"/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</w:pPr>
    </w:p>
    <w:p>
      <w:pPr>
        <w:ind w:firstLine="5880" w:firstLineChars="2100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lang w:val="en-US" w:eastAsia="zh-CN" w:bidi="ar"/>
        </w:rPr>
        <w:t>2025年3月5日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bookmarkEnd w:id="0"/>
      <w:r>
        <w:rPr>
          <w:rFonts w:hint="eastAsia" w:ascii="仿宋_GB2312" w:hAnsi="仿宋" w:eastAsia="仿宋_GB2312" w:cs="Calibri"/>
          <w:kern w:val="2"/>
          <w:sz w:val="24"/>
          <w:szCs w:val="24"/>
          <w:lang w:val="en-US" w:eastAsia="zh-CN" w:bidi="ar"/>
        </w:rPr>
        <w:t xml:space="preserve">                </w:t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drawing>
          <wp:inline distT="0" distB="0" distL="114300" distR="114300">
            <wp:extent cx="5273675" cy="26670"/>
            <wp:effectExtent l="0" t="0" r="3175" b="1905"/>
            <wp:docPr id="1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6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br w:type="textWrapping"/>
      </w:r>
      <w:r>
        <w:rPr>
          <w:rFonts w:hint="default" w:ascii="方正仿宋_GB2312" w:hAnsi="方正仿宋_GB2312" w:eastAsia="方正仿宋_GB2312" w:cs="方正仿宋_GB2312"/>
          <w:kern w:val="2"/>
          <w:sz w:val="24"/>
          <w:szCs w:val="24"/>
          <w:lang w:val="en-US" w:eastAsia="zh-CN" w:bidi="ar"/>
        </w:rPr>
        <w:t>本文书一式两份：一份由应急管理部门备案，一份交被处罚人（单位）。</w:t>
      </w:r>
      <w:r>
        <w:rPr>
          <w:rFonts w:hint="default" w:ascii="方正仿宋_GB2312" w:hAnsi="方正仿宋_GB2312" w:eastAsia="方正仿宋_GB2312" w:cs="方正仿宋_GB2312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仿宋_GB2312" w:hAnsi="Calibri" w:eastAsia="宋体" w:cs="仿宋"/>
          <w:kern w:val="2"/>
          <w:sz w:val="21"/>
          <w:szCs w:val="21"/>
          <w:lang w:val="en-US" w:eastAsia="zh-CN" w:bidi="ar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BA7CA5"/>
    <w:rsid w:val="00BA7CA5"/>
    <w:rsid w:val="00E3091F"/>
    <w:rsid w:val="11306001"/>
    <w:rsid w:val="1164101B"/>
    <w:rsid w:val="17021C90"/>
    <w:rsid w:val="782801E4"/>
    <w:rsid w:val="FBB38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table" w:styleId="5">
    <w:name w:val="Table Grid"/>
    <w:basedOn w:val="4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1209</Words>
  <Characters>1325</Characters>
  <Lines>10</Lines>
  <Paragraphs>2</Paragraphs>
  <TotalTime>14</TotalTime>
  <ScaleCrop>false</ScaleCrop>
  <LinksUpToDate>false</LinksUpToDate>
  <CharactersWithSpaces>1511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2025-03-05T17:36:00Z</dcterms:created>
  <dc:creator>Administrator</dc:creator>
  <cp:lastModifiedBy>fengdu</cp:lastModifiedBy>
  <cp:lastPrinted>2025-03-06T09:25:00Z</cp:lastPrinted>
  <dcterms:modified xsi:type="dcterms:W3CDTF">2025-03-13T15:22:47Z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eyJoZGlkIjoiYmM5OWE0MDZiYjFmM2M0ZmVhMzY0MzhiMjFmMjYwN2YiLCJ1c2VySWQiOiI5ODI0Njk0NTYifQ==</vt:lpwstr>
  </property>
  <property fmtid="{D5CDD505-2E9C-101B-9397-08002B2CF9AE}" pid="3" name="KSOProductBuildVer">
    <vt:lpwstr>2052-11.8.2.10386</vt:lpwstr>
  </property>
  <property fmtid="{D5CDD505-2E9C-101B-9397-08002B2CF9AE}" pid="4" name="ICV">
    <vt:lpwstr>92CD9BFA9B5B4259BE006ABD7B682F9A_12</vt:lpwstr>
  </property>
</Properties>
</file>