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丰都县仙女湖镇卫生院</w:t>
      </w: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2025年部门预算情况说明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一、单位基本情况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（一）职能职责。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公共卫生服务：负责辖区城乡居民健康档案管理、健康教育、预防接种、儿童健康管理、孕产妇健康管理、老年人健康管理、高血压患者健康管理、2型糖尿病患者健康管理、重性精神疾病患者管理；中医药健康管理和疾病康复；疾病控制、传染病及突发公共卫生事件报告和处理等。负责辖区其他公共卫生服务项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2.基本医疗服务：开展一般常见病、多发病、地方病的基本医疗服务；现场救护和转诊服务；慢性病管理。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3.计划生育服务：开展避孕节育、生殖健康、优生服务和家庭保健的咨询、指导和技术服务。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4.协助乡镇政府制定和组织实施初级卫生保健、卫生事业发展规划和年度计划，开展爱国卫生工作。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5.指导辖区内诊所、村卫生室业务工作，对村医和村妇幼保健人员进行相关技能培训，做好医疗卫生信息统计报告工作，完整、及时、准确报告相关信息，逐步推进乡村卫生服务一体化管理。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6.开展城乡居民医疗保险政策法规宣传与咨询，协助做好相应的医疗服务和补偿结算等工作。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7.负责辖区公共卫生管理；协助开展辖区内卫生监督工作，承担区域内公共卫生信息收集与报告。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（二）单位构成。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丰都县仙女湖镇卫生院属卫生健康委下面的二级预算单位。内设预防保健科、全科医疗科、内科、普通外科、儿科、医学影像科、医学检验科、办公室、中西医结合科、数字化接种门诊等科室。有彩超、全自动生化分析仪、呼吸机、救护车等大型医疗设备。编制床位30张，实际开放床位30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二、部门收支总体情况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（一）收入预算：</w:t>
      </w:r>
      <w:r>
        <w:rPr>
          <w:rFonts w:hint="default" w:ascii="Times New Roman" w:hAnsi="Times New Roman" w:eastAsia="方正仿宋_GBK" w:cs="Times New Roman"/>
          <w:sz w:val="32"/>
          <w:szCs w:val="32"/>
          <w:highlight w:val="none"/>
        </w:rPr>
        <w:t>2025年年初预算数</w:t>
      </w:r>
      <w:r>
        <w:rPr>
          <w:rFonts w:hint="default" w:ascii="Times New Roman" w:hAnsi="Times New Roman" w:eastAsia="方正仿宋_GBK" w:cs="Times New Roman"/>
          <w:sz w:val="32"/>
          <w:szCs w:val="32"/>
          <w:highlight w:val="none"/>
          <w:lang w:val="en-US" w:eastAsia="zh-CN"/>
        </w:rPr>
        <w:t>289.48</w:t>
      </w:r>
      <w:r>
        <w:rPr>
          <w:rFonts w:hint="default" w:ascii="Times New Roman" w:hAnsi="Times New Roman" w:eastAsia="方正仿宋_GBK" w:cs="Times New Roman"/>
          <w:sz w:val="32"/>
          <w:szCs w:val="32"/>
          <w:highlight w:val="none"/>
        </w:rPr>
        <w:t>万元，上年结转资金</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万元，其中：一般公共预算拨款9.48万元，政府性基金预算拨款</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万元，国有资本经营预算拨款</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万元，事业收入280万元，事业单位经营收入</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万元，其他收入</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万元。一般公共预算拨款较去年持平，事业收入较去年增加了</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（二）支出预算：</w:t>
      </w:r>
      <w:r>
        <w:rPr>
          <w:rFonts w:hint="default" w:ascii="Times New Roman" w:hAnsi="Times New Roman" w:eastAsia="方正仿宋_GBK" w:cs="Times New Roman"/>
          <w:sz w:val="32"/>
          <w:szCs w:val="32"/>
          <w:highlight w:val="none"/>
        </w:rPr>
        <w:t>2025年年初预算数289.48万元，其中：一般公共服务支出</w:t>
      </w:r>
      <w:r>
        <w:rPr>
          <w:rFonts w:hint="default" w:ascii="Times New Roman" w:hAnsi="Times New Roman" w:eastAsia="方正仿宋_GBK" w:cs="Times New Roman"/>
          <w:sz w:val="32"/>
          <w:szCs w:val="32"/>
          <w:highlight w:val="none"/>
          <w:lang w:val="en-US" w:eastAsia="zh-CN"/>
        </w:rPr>
        <w:t>0.00</w:t>
      </w:r>
      <w:r>
        <w:rPr>
          <w:rFonts w:hint="default" w:ascii="Times New Roman" w:hAnsi="Times New Roman" w:eastAsia="方正仿宋_GBK" w:cs="Times New Roman"/>
          <w:sz w:val="32"/>
          <w:szCs w:val="32"/>
          <w:highlight w:val="none"/>
        </w:rPr>
        <w:t>万元，教育支出</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万元，社会保障和就业支出 8.28万元，卫生健康支出281.2万元，住房保障支出 0万元。</w:t>
      </w:r>
      <w:r>
        <w:rPr>
          <w:rFonts w:hint="default" w:ascii="Times New Roman" w:hAnsi="Times New Roman" w:eastAsia="仿宋_GB2312" w:cs="Times New Roman"/>
          <w:sz w:val="32"/>
          <w:highlight w:val="none"/>
        </w:rPr>
        <w:t>支出较去年</w:t>
      </w:r>
      <w:r>
        <w:rPr>
          <w:rFonts w:hint="default" w:ascii="Times New Roman" w:hAnsi="Times New Roman" w:eastAsia="仿宋_GB2312" w:cs="Times New Roman"/>
          <w:sz w:val="32"/>
          <w:highlight w:val="none"/>
          <w:lang w:val="en-US" w:eastAsia="zh-CN"/>
        </w:rPr>
        <w:t>减少10</w:t>
      </w:r>
      <w:r>
        <w:rPr>
          <w:rFonts w:hint="default" w:ascii="Times New Roman" w:hAnsi="Times New Roman" w:eastAsia="仿宋_GB2312" w:cs="Times New Roman"/>
          <w:sz w:val="32"/>
          <w:highlight w:val="none"/>
        </w:rPr>
        <w:t>万元，</w:t>
      </w:r>
      <w:r>
        <w:rPr>
          <w:rFonts w:hint="default" w:ascii="Times New Roman" w:hAnsi="Times New Roman" w:eastAsia="方正仿宋_GBK" w:cs="Times New Roman"/>
          <w:sz w:val="32"/>
          <w:szCs w:val="32"/>
          <w:highlight w:val="none"/>
        </w:rPr>
        <w:t>主要是项目支出</w:t>
      </w:r>
      <w:r>
        <w:rPr>
          <w:rFonts w:hint="default" w:ascii="Times New Roman" w:hAnsi="Times New Roman" w:eastAsia="方正仿宋_GBK" w:cs="Times New Roman"/>
          <w:sz w:val="32"/>
          <w:szCs w:val="32"/>
          <w:highlight w:val="none"/>
          <w:lang w:val="en-US" w:eastAsia="zh-CN"/>
        </w:rPr>
        <w:t>减少</w:t>
      </w:r>
      <w:r>
        <w:rPr>
          <w:rFonts w:hint="default" w:ascii="Times New Roman" w:hAnsi="Times New Roman" w:eastAsia="方正仿宋_GBK" w:cs="Times New Roman"/>
          <w:sz w:val="32"/>
          <w:szCs w:val="32"/>
          <w:highlight w:val="none"/>
        </w:rPr>
        <w:t>10万元。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三、</w:t>
      </w:r>
      <w:r>
        <w:rPr>
          <w:rFonts w:hint="default" w:ascii="Times New Roman" w:hAnsi="Times New Roman" w:eastAsia="方正黑体_GBK" w:cs="Times New Roman"/>
          <w:sz w:val="32"/>
          <w:szCs w:val="32"/>
          <w:highlight w:val="none"/>
        </w:rPr>
        <w:t>部门预算情况说明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highlight w:val="none"/>
          <w:lang w:val="en-US" w:eastAsia="zh-CN"/>
        </w:rPr>
      </w:pPr>
      <w:r>
        <w:rPr>
          <w:rFonts w:hint="default" w:ascii="Times New Roman" w:hAnsi="Times New Roman" w:eastAsia="方正仿宋_GBK" w:cs="方正仿宋_GBK"/>
          <w:sz w:val="32"/>
          <w:szCs w:val="32"/>
          <w:highlight w:val="none"/>
        </w:rPr>
        <w:t>2025年一般公共预算财政拨款收入9.48万元，一般公共预算财政拨款支出9.48万元，</w:t>
      </w:r>
      <w:r>
        <w:rPr>
          <w:rFonts w:hint="default" w:ascii="Times New Roman" w:hAnsi="Times New Roman" w:eastAsia="方正仿宋_GBK" w:cs="方正仿宋_GBK"/>
          <w:sz w:val="32"/>
          <w:szCs w:val="32"/>
          <w:highlight w:val="none"/>
          <w:lang w:val="en-US" w:eastAsia="zh-CN"/>
        </w:rPr>
        <w:t>与</w:t>
      </w:r>
      <w:r>
        <w:rPr>
          <w:rFonts w:hint="default" w:ascii="Times New Roman" w:hAnsi="Times New Roman" w:eastAsia="方正仿宋_GBK" w:cs="方正仿宋_GBK"/>
          <w:sz w:val="32"/>
          <w:szCs w:val="32"/>
          <w:highlight w:val="none"/>
        </w:rPr>
        <w:t>2024年持平。主要是项目支出增加了10万元。社会保障和就业支出主要用于保障退休人员补助；医疗费补助主要用于保障退休人员健康体检。其中：基本支出</w:t>
      </w:r>
      <w:r>
        <w:rPr>
          <w:rFonts w:hint="default" w:ascii="Times New Roman" w:hAnsi="Times New Roman" w:eastAsia="方正仿宋_GBK" w:cs="方正仿宋_GBK"/>
          <w:sz w:val="32"/>
          <w:szCs w:val="32"/>
          <w:highlight w:val="none"/>
          <w:lang w:val="en-US" w:eastAsia="zh-CN"/>
        </w:rPr>
        <w:t>9.48</w:t>
      </w:r>
      <w:r>
        <w:rPr>
          <w:rFonts w:hint="default" w:ascii="Times New Roman" w:hAnsi="Times New Roman" w:eastAsia="方正仿宋_GBK" w:cs="方正仿宋_GBK"/>
          <w:sz w:val="32"/>
          <w:szCs w:val="32"/>
          <w:highlight w:val="none"/>
        </w:rPr>
        <w:t>万元，</w:t>
      </w:r>
      <w:r>
        <w:rPr>
          <w:rFonts w:hint="default" w:ascii="Times New Roman" w:hAnsi="Times New Roman" w:eastAsia="方正仿宋_GBK" w:cs="方正仿宋_GBK"/>
          <w:sz w:val="32"/>
          <w:szCs w:val="32"/>
          <w:highlight w:val="none"/>
          <w:lang w:val="en-US" w:eastAsia="zh-CN"/>
        </w:rPr>
        <w:t>与</w:t>
      </w:r>
      <w:r>
        <w:rPr>
          <w:rFonts w:hint="default" w:ascii="Times New Roman" w:hAnsi="Times New Roman" w:eastAsia="方正仿宋_GBK" w:cs="方正仿宋_GBK"/>
          <w:sz w:val="32"/>
          <w:szCs w:val="32"/>
          <w:highlight w:val="none"/>
        </w:rPr>
        <w:t>2024年持平，主要用于保障在职人员工资福利及社会保险缴费，退休人员补助等，保障部门正常运转的各项商品服务支出；项目支出</w:t>
      </w:r>
      <w:r>
        <w:rPr>
          <w:rFonts w:hint="default" w:ascii="Times New Roman" w:hAnsi="Times New Roman" w:eastAsia="方正仿宋_GBK" w:cs="方正仿宋_GBK"/>
          <w:sz w:val="32"/>
          <w:szCs w:val="32"/>
          <w:highlight w:val="none"/>
          <w:lang w:val="en-US" w:eastAsia="zh-CN"/>
        </w:rPr>
        <w:t>0</w:t>
      </w:r>
      <w:r>
        <w:rPr>
          <w:rFonts w:hint="default" w:ascii="Times New Roman" w:hAnsi="Times New Roman" w:eastAsia="方正仿宋_GBK" w:cs="方正仿宋_GBK"/>
          <w:sz w:val="32"/>
          <w:szCs w:val="32"/>
          <w:highlight w:val="none"/>
        </w:rPr>
        <w:t>万元，</w:t>
      </w:r>
      <w:r>
        <w:rPr>
          <w:rFonts w:hint="default" w:ascii="Times New Roman" w:hAnsi="Times New Roman" w:eastAsia="方正仿宋_GBK" w:cs="方正仿宋_GBK"/>
          <w:sz w:val="32"/>
          <w:szCs w:val="32"/>
          <w:highlight w:val="none"/>
          <w:lang w:val="en-US" w:eastAsia="zh-CN"/>
        </w:rPr>
        <w:t>与</w:t>
      </w:r>
      <w:r>
        <w:rPr>
          <w:rFonts w:hint="default" w:ascii="Times New Roman" w:hAnsi="Times New Roman" w:eastAsia="方正仿宋_GBK" w:cs="方正仿宋_GBK"/>
          <w:sz w:val="32"/>
          <w:szCs w:val="32"/>
          <w:highlight w:val="none"/>
        </w:rPr>
        <w:t>2024年持平</w:t>
      </w:r>
      <w:r>
        <w:rPr>
          <w:rFonts w:hint="eastAsia" w:eastAsia="方正仿宋_GBK" w:cs="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2025年政府性基金预</w:t>
      </w:r>
      <w:bookmarkStart w:id="0" w:name="_GoBack"/>
      <w:bookmarkEnd w:id="0"/>
      <w:r>
        <w:rPr>
          <w:rFonts w:hint="default" w:ascii="Times New Roman" w:hAnsi="Times New Roman" w:eastAsia="方正仿宋_GBK" w:cs="Times New Roman"/>
          <w:sz w:val="32"/>
          <w:szCs w:val="32"/>
          <w:highlight w:val="none"/>
        </w:rPr>
        <w:t>算收</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万元，政府性基金预算支出</w:t>
      </w:r>
      <w:r>
        <w:rPr>
          <w:rFonts w:hint="eastAsia"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万元，与2024年持平。本单位2025年无使用政府性基金预算拨款安排的支出。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025年</w:t>
      </w:r>
      <w:r>
        <w:rPr>
          <w:rFonts w:hint="default" w:ascii="Times New Roman" w:hAnsi="Times New Roman" w:eastAsia="方正仿宋_GBK" w:cs="Times New Roman"/>
          <w:sz w:val="32"/>
          <w:szCs w:val="32"/>
          <w:highlight w:val="none"/>
          <w:lang w:val="en-US" w:eastAsia="zh-CN"/>
        </w:rPr>
        <w:t>国有资本经营</w:t>
      </w:r>
      <w:r>
        <w:rPr>
          <w:rFonts w:hint="default" w:ascii="Times New Roman" w:hAnsi="Times New Roman" w:eastAsia="方正仿宋_GBK" w:cs="Times New Roman"/>
          <w:sz w:val="32"/>
          <w:szCs w:val="32"/>
          <w:highlight w:val="none"/>
        </w:rPr>
        <w:t>预算收入</w:t>
      </w:r>
      <w:r>
        <w:rPr>
          <w:rFonts w:hint="eastAsia"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国有资本经营</w:t>
      </w:r>
      <w:r>
        <w:rPr>
          <w:rFonts w:hint="default" w:ascii="Times New Roman" w:hAnsi="Times New Roman" w:eastAsia="方正仿宋_GBK" w:cs="Times New Roman"/>
          <w:sz w:val="32"/>
          <w:szCs w:val="32"/>
          <w:highlight w:val="none"/>
        </w:rPr>
        <w:t>预算支出</w:t>
      </w:r>
      <w:r>
        <w:rPr>
          <w:rFonts w:hint="eastAsia"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万元，与2024年持平。本单位2025年无使用</w:t>
      </w:r>
      <w:r>
        <w:rPr>
          <w:rFonts w:hint="default" w:ascii="Times New Roman" w:hAnsi="Times New Roman" w:eastAsia="方正仿宋_GBK" w:cs="Times New Roman"/>
          <w:sz w:val="32"/>
          <w:szCs w:val="32"/>
          <w:highlight w:val="none"/>
          <w:lang w:val="en-US" w:eastAsia="zh-CN"/>
        </w:rPr>
        <w:t>国有资本经营</w:t>
      </w:r>
      <w:r>
        <w:rPr>
          <w:rFonts w:hint="default" w:ascii="Times New Roman" w:hAnsi="Times New Roman" w:eastAsia="方正仿宋_GBK" w:cs="Times New Roman"/>
          <w:sz w:val="32"/>
          <w:szCs w:val="32"/>
          <w:highlight w:val="none"/>
        </w:rPr>
        <w:t>预算拨款安排的支出。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四</w:t>
      </w:r>
      <w:r>
        <w:rPr>
          <w:rFonts w:hint="default" w:ascii="Times New Roman" w:hAnsi="Times New Roman" w:eastAsia="方正黑体_GBK" w:cs="Times New Roman"/>
          <w:sz w:val="32"/>
          <w:szCs w:val="32"/>
          <w:highlight w:val="none"/>
        </w:rPr>
        <w:t>、“三公”经费情况说明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2025年“三公”经费预算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万元，与2024年持平。其中：因公出国（境）费用</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万元，与2024年持平；公务接待费</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万元，与2024年持平；公务用车运行维护费</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万元，与2024年持平；公务用车购置费</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万元，与2024年持平。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五</w:t>
      </w:r>
      <w:r>
        <w:rPr>
          <w:rFonts w:hint="eastAsia" w:ascii="方正黑体_GBK" w:hAnsi="方正黑体_GBK" w:eastAsia="方正黑体_GBK" w:cs="方正黑体_GBK"/>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highlight w:val="none"/>
        </w:rPr>
        <w:t>（一）机关运行经费。</w:t>
      </w:r>
      <w:r>
        <w:rPr>
          <w:rFonts w:hint="default" w:ascii="Times New Roman" w:hAnsi="Times New Roman" w:eastAsia="方正仿宋_GBK" w:cs="Times New Roman"/>
          <w:sz w:val="32"/>
          <w:szCs w:val="32"/>
          <w:highlight w:val="none"/>
        </w:rPr>
        <w:t>我单位不在机关运行经费统计范围之内。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highlight w:val="none"/>
        </w:rPr>
        <w:t>（二）政府采购情况。</w:t>
      </w:r>
      <w:r>
        <w:rPr>
          <w:rFonts w:hint="default" w:ascii="Times New Roman" w:hAnsi="Times New Roman" w:eastAsia="方正仿宋_GBK" w:cs="Times New Roman"/>
          <w:sz w:val="32"/>
          <w:szCs w:val="32"/>
          <w:highlight w:val="none"/>
        </w:rPr>
        <w:t>所属各预算单位政府采购预算总额</w:t>
      </w:r>
      <w:r>
        <w:rPr>
          <w:rFonts w:hint="default" w:ascii="Times New Roman" w:hAnsi="Times New Roman" w:eastAsia="方正仿宋_GBK" w:cs="Times New Roman"/>
          <w:sz w:val="32"/>
          <w:szCs w:val="32"/>
          <w:highlight w:val="none"/>
          <w:lang w:val="en-US" w:eastAsia="zh-CN"/>
        </w:rPr>
        <w:t>1.99</w:t>
      </w:r>
      <w:r>
        <w:rPr>
          <w:rFonts w:hint="default" w:ascii="Times New Roman" w:hAnsi="Times New Roman" w:eastAsia="方正仿宋_GBK" w:cs="Times New Roman"/>
          <w:sz w:val="32"/>
          <w:szCs w:val="32"/>
          <w:highlight w:val="none"/>
        </w:rPr>
        <w:t>万元：政府采购货物预算</w:t>
      </w:r>
      <w:r>
        <w:rPr>
          <w:rFonts w:hint="default" w:ascii="Times New Roman" w:hAnsi="Times New Roman" w:eastAsia="方正仿宋_GBK" w:cs="Times New Roman"/>
          <w:sz w:val="32"/>
          <w:szCs w:val="32"/>
          <w:highlight w:val="none"/>
          <w:lang w:val="en-US" w:eastAsia="zh-CN"/>
        </w:rPr>
        <w:t>1.99</w:t>
      </w:r>
      <w:r>
        <w:rPr>
          <w:rFonts w:hint="default" w:ascii="Times New Roman" w:hAnsi="Times New Roman" w:eastAsia="方正仿宋_GBK" w:cs="Times New Roman"/>
          <w:sz w:val="32"/>
          <w:szCs w:val="32"/>
          <w:highlight w:val="none"/>
        </w:rPr>
        <w:t>万元、政府采购工程预算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万元、政府采购服务预算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万元；其中一般公共预算拨款政府采购</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万元：政府采购货物预算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万元、政府采购工程预算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万元、政府采购服务预算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highlight w:val="none"/>
        </w:rPr>
      </w:pPr>
      <w:r>
        <w:rPr>
          <w:rFonts w:hint="default" w:ascii="Times New Roman" w:hAnsi="Times New Roman" w:eastAsia="方正楷体_GBK" w:cs="Times New Roman"/>
          <w:sz w:val="32"/>
          <w:highlight w:val="none"/>
        </w:rPr>
        <w:t>（三）绩效目标设置情况。</w:t>
      </w:r>
      <w:r>
        <w:rPr>
          <w:rFonts w:hint="default" w:ascii="Times New Roman" w:hAnsi="Times New Roman" w:eastAsia="方正仿宋_GBK" w:cs="方正仿宋_GBK"/>
          <w:sz w:val="32"/>
          <w:szCs w:val="32"/>
          <w:highlight w:val="none"/>
        </w:rPr>
        <w:t>2025年项目支出均实行了绩效目标管理，涉及资金量</w:t>
      </w:r>
      <w:r>
        <w:rPr>
          <w:rFonts w:hint="default" w:ascii="Times New Roman" w:hAnsi="Times New Roman" w:eastAsia="方正仿宋_GBK" w:cs="方正仿宋_GBK"/>
          <w:sz w:val="32"/>
          <w:szCs w:val="32"/>
          <w:highlight w:val="none"/>
          <w:lang w:val="en-US" w:eastAsia="zh-CN"/>
        </w:rPr>
        <w:t>280</w:t>
      </w:r>
      <w:r>
        <w:rPr>
          <w:rFonts w:hint="default" w:ascii="Times New Roman" w:hAnsi="Times New Roman" w:eastAsia="方正仿宋_GBK" w:cs="方正仿宋_GBK"/>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4、国有资产占有使用情况。截至2024年12月，所属各预算单位共有车辆</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辆，其中一般公务用车</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辆、执勤执法用车0 辆。2025年一般公共预算安排购置车辆 0辆，其中一般公务用车0 辆、执勤执法用车</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六、专业性名词解释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（一）财政拨款收入：</w:t>
      </w:r>
      <w:r>
        <w:rPr>
          <w:rFonts w:hint="eastAsia" w:ascii="方正仿宋_GBK" w:hAnsi="方正仿宋_GBK" w:eastAsia="方正仿宋_GBK" w:cs="方正仿宋_GBK"/>
          <w:sz w:val="32"/>
          <w:szCs w:val="32"/>
          <w:highlight w:val="none"/>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（二）其他收入：</w:t>
      </w:r>
      <w:r>
        <w:rPr>
          <w:rFonts w:hint="eastAsia" w:ascii="方正仿宋_GBK" w:hAnsi="方正仿宋_GBK" w:eastAsia="方正仿宋_GBK" w:cs="方正仿宋_GBK"/>
          <w:sz w:val="32"/>
          <w:szCs w:val="32"/>
          <w:highlight w:val="none"/>
        </w:rPr>
        <w:t>指单位取得的除“财政拨款收入”、“事业收入”、“经营收入”等以外的收入。</w:t>
      </w: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（三）基本支出：</w:t>
      </w:r>
      <w:r>
        <w:rPr>
          <w:rFonts w:hint="eastAsia" w:ascii="方正仿宋_GBK" w:hAnsi="方正仿宋_GBK" w:eastAsia="方正仿宋_GBK" w:cs="方正仿宋_GBK"/>
          <w:kern w:val="2"/>
          <w:sz w:val="32"/>
          <w:szCs w:val="32"/>
          <w:highlight w:val="none"/>
          <w:lang w:val="en-US" w:eastAsia="zh-CN" w:bidi="ar-SA"/>
        </w:rPr>
        <w:t>指为保障机构正常运转、完成日常工作任务而发生的人员经费和公用经费</w:t>
      </w:r>
      <w:r>
        <w:rPr>
          <w:rFonts w:hint="eastAsia" w:ascii="方正仿宋_GBK" w:hAnsi="方正仿宋_GBK" w:eastAsia="方正仿宋_GBK" w:cs="方正仿宋_GBK"/>
          <w:sz w:val="32"/>
          <w:szCs w:val="32"/>
          <w:highlight w:val="none"/>
        </w:rPr>
        <w:t>。</w:t>
      </w: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（四）项目支出：</w:t>
      </w:r>
      <w:r>
        <w:rPr>
          <w:rFonts w:hint="eastAsia" w:ascii="方正仿宋_GBK" w:hAnsi="方正仿宋_GBK" w:eastAsia="方正仿宋_GBK" w:cs="方正仿宋_GBK"/>
          <w:sz w:val="32"/>
          <w:szCs w:val="32"/>
          <w:highlight w:val="none"/>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（五）“三公”经费：</w:t>
      </w:r>
      <w:r>
        <w:rPr>
          <w:rFonts w:hint="eastAsia" w:ascii="方正仿宋_GBK" w:hAnsi="方正仿宋_GBK" w:eastAsia="方正仿宋_GBK" w:cs="方正仿宋_GBK"/>
          <w:sz w:val="32"/>
          <w:szCs w:val="32"/>
          <w:highlight w:val="none"/>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预算公开联系人：秦建娟  联系方式：</w:t>
      </w:r>
      <w:r>
        <w:rPr>
          <w:rFonts w:hint="default" w:ascii="Times New Roman" w:hAnsi="Times New Roman" w:eastAsia="方正仿宋_GBK" w:cs="Times New Roman"/>
          <w:sz w:val="32"/>
          <w:szCs w:val="32"/>
          <w:highlight w:val="none"/>
        </w:rPr>
        <w:t>023-70609023</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highlight w:val="none"/>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404E"/>
    <w:rsid w:val="001525DD"/>
    <w:rsid w:val="00157ED2"/>
    <w:rsid w:val="00161474"/>
    <w:rsid w:val="00165A74"/>
    <w:rsid w:val="001729B7"/>
    <w:rsid w:val="001957F9"/>
    <w:rsid w:val="001C0A7C"/>
    <w:rsid w:val="001D0CAA"/>
    <w:rsid w:val="001D4937"/>
    <w:rsid w:val="001E1AED"/>
    <w:rsid w:val="001E31D9"/>
    <w:rsid w:val="00202E0A"/>
    <w:rsid w:val="00206C9D"/>
    <w:rsid w:val="002132E9"/>
    <w:rsid w:val="00213635"/>
    <w:rsid w:val="00226F1D"/>
    <w:rsid w:val="00232060"/>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D4196"/>
    <w:rsid w:val="002E19BF"/>
    <w:rsid w:val="002E46A9"/>
    <w:rsid w:val="0030024E"/>
    <w:rsid w:val="003019D9"/>
    <w:rsid w:val="003163CF"/>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052DA"/>
    <w:rsid w:val="00430B72"/>
    <w:rsid w:val="00437D88"/>
    <w:rsid w:val="004417DC"/>
    <w:rsid w:val="00445520"/>
    <w:rsid w:val="00462595"/>
    <w:rsid w:val="0049017F"/>
    <w:rsid w:val="00492FB3"/>
    <w:rsid w:val="004B065E"/>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E18A6"/>
    <w:rsid w:val="005F1960"/>
    <w:rsid w:val="006115F1"/>
    <w:rsid w:val="00620BCE"/>
    <w:rsid w:val="006461EF"/>
    <w:rsid w:val="0066585E"/>
    <w:rsid w:val="006809FA"/>
    <w:rsid w:val="00681F30"/>
    <w:rsid w:val="006839F7"/>
    <w:rsid w:val="0069533C"/>
    <w:rsid w:val="006C01C3"/>
    <w:rsid w:val="006D0C33"/>
    <w:rsid w:val="006D1609"/>
    <w:rsid w:val="006E0BEC"/>
    <w:rsid w:val="006E455F"/>
    <w:rsid w:val="006F7539"/>
    <w:rsid w:val="00714828"/>
    <w:rsid w:val="007158F8"/>
    <w:rsid w:val="0071734A"/>
    <w:rsid w:val="007252E3"/>
    <w:rsid w:val="007336ED"/>
    <w:rsid w:val="00742C4D"/>
    <w:rsid w:val="007620B8"/>
    <w:rsid w:val="00762CF8"/>
    <w:rsid w:val="00765DF5"/>
    <w:rsid w:val="007713EB"/>
    <w:rsid w:val="00791CE4"/>
    <w:rsid w:val="007B10D4"/>
    <w:rsid w:val="007B22D6"/>
    <w:rsid w:val="007B4264"/>
    <w:rsid w:val="007B5ACF"/>
    <w:rsid w:val="007B6182"/>
    <w:rsid w:val="007C4C9B"/>
    <w:rsid w:val="007D2AEA"/>
    <w:rsid w:val="007D4F40"/>
    <w:rsid w:val="007E098F"/>
    <w:rsid w:val="007E0B4D"/>
    <w:rsid w:val="007E6A39"/>
    <w:rsid w:val="007F68E5"/>
    <w:rsid w:val="00801BFF"/>
    <w:rsid w:val="00803270"/>
    <w:rsid w:val="00805D05"/>
    <w:rsid w:val="00810277"/>
    <w:rsid w:val="00813B4F"/>
    <w:rsid w:val="00830BF3"/>
    <w:rsid w:val="00833B65"/>
    <w:rsid w:val="00837BDB"/>
    <w:rsid w:val="008560C6"/>
    <w:rsid w:val="00866533"/>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0509"/>
    <w:rsid w:val="00972AB0"/>
    <w:rsid w:val="00983001"/>
    <w:rsid w:val="0098712E"/>
    <w:rsid w:val="00996417"/>
    <w:rsid w:val="009A6A87"/>
    <w:rsid w:val="009B77D4"/>
    <w:rsid w:val="009E6734"/>
    <w:rsid w:val="009F01A9"/>
    <w:rsid w:val="00A05F72"/>
    <w:rsid w:val="00A07288"/>
    <w:rsid w:val="00A174AB"/>
    <w:rsid w:val="00A21DCD"/>
    <w:rsid w:val="00A329CA"/>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16590"/>
    <w:rsid w:val="00B24FA7"/>
    <w:rsid w:val="00B257E3"/>
    <w:rsid w:val="00B54CE7"/>
    <w:rsid w:val="00B556E6"/>
    <w:rsid w:val="00B558CC"/>
    <w:rsid w:val="00B65450"/>
    <w:rsid w:val="00B72347"/>
    <w:rsid w:val="00B86388"/>
    <w:rsid w:val="00BB3B39"/>
    <w:rsid w:val="00BC2C3D"/>
    <w:rsid w:val="00BD5AA0"/>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3562"/>
    <w:rsid w:val="00D46486"/>
    <w:rsid w:val="00D648D9"/>
    <w:rsid w:val="00D64C2C"/>
    <w:rsid w:val="00D66063"/>
    <w:rsid w:val="00D77D37"/>
    <w:rsid w:val="00D80BC2"/>
    <w:rsid w:val="00D8620E"/>
    <w:rsid w:val="00DA7788"/>
    <w:rsid w:val="00DA7FE6"/>
    <w:rsid w:val="00DB0EC5"/>
    <w:rsid w:val="00DB2D78"/>
    <w:rsid w:val="00DB4539"/>
    <w:rsid w:val="00DC0608"/>
    <w:rsid w:val="00DE3685"/>
    <w:rsid w:val="00DE5805"/>
    <w:rsid w:val="00E00D68"/>
    <w:rsid w:val="00E01CEB"/>
    <w:rsid w:val="00E11FB2"/>
    <w:rsid w:val="00E1530B"/>
    <w:rsid w:val="00E275D0"/>
    <w:rsid w:val="00E40ED1"/>
    <w:rsid w:val="00E4519D"/>
    <w:rsid w:val="00E4747D"/>
    <w:rsid w:val="00E67557"/>
    <w:rsid w:val="00E712B9"/>
    <w:rsid w:val="00E811DF"/>
    <w:rsid w:val="00E96899"/>
    <w:rsid w:val="00EC09E7"/>
    <w:rsid w:val="00EC409D"/>
    <w:rsid w:val="00ED71FB"/>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1A83915"/>
    <w:rsid w:val="03A879FF"/>
    <w:rsid w:val="0463609B"/>
    <w:rsid w:val="07BE1A52"/>
    <w:rsid w:val="08B86B84"/>
    <w:rsid w:val="097377E5"/>
    <w:rsid w:val="0E654A5C"/>
    <w:rsid w:val="0F61655E"/>
    <w:rsid w:val="178E15E9"/>
    <w:rsid w:val="17CC652E"/>
    <w:rsid w:val="185A13F0"/>
    <w:rsid w:val="18CC21E2"/>
    <w:rsid w:val="19C5040D"/>
    <w:rsid w:val="19D75DEA"/>
    <w:rsid w:val="1B7962F3"/>
    <w:rsid w:val="1C4F0B7D"/>
    <w:rsid w:val="1FD35818"/>
    <w:rsid w:val="215C7632"/>
    <w:rsid w:val="22A879B8"/>
    <w:rsid w:val="24951018"/>
    <w:rsid w:val="26442DF1"/>
    <w:rsid w:val="26A21AFE"/>
    <w:rsid w:val="27836639"/>
    <w:rsid w:val="28403565"/>
    <w:rsid w:val="2C2F669F"/>
    <w:rsid w:val="2DA57465"/>
    <w:rsid w:val="2DFB0975"/>
    <w:rsid w:val="2E0A714A"/>
    <w:rsid w:val="2F4D4865"/>
    <w:rsid w:val="317C6D0D"/>
    <w:rsid w:val="31F13A2C"/>
    <w:rsid w:val="3215608A"/>
    <w:rsid w:val="32E038C4"/>
    <w:rsid w:val="34005C38"/>
    <w:rsid w:val="354168D6"/>
    <w:rsid w:val="36400366"/>
    <w:rsid w:val="36A91B9E"/>
    <w:rsid w:val="36EF313C"/>
    <w:rsid w:val="384D5036"/>
    <w:rsid w:val="393F208D"/>
    <w:rsid w:val="3BC5739B"/>
    <w:rsid w:val="3D7E7F35"/>
    <w:rsid w:val="3D855216"/>
    <w:rsid w:val="42B04C67"/>
    <w:rsid w:val="42EF452D"/>
    <w:rsid w:val="47BE5008"/>
    <w:rsid w:val="48310C7F"/>
    <w:rsid w:val="48D969E9"/>
    <w:rsid w:val="48FF630F"/>
    <w:rsid w:val="49746CAE"/>
    <w:rsid w:val="4D8A2C82"/>
    <w:rsid w:val="4E8C27BF"/>
    <w:rsid w:val="4F2633C7"/>
    <w:rsid w:val="5177081B"/>
    <w:rsid w:val="51D27B8C"/>
    <w:rsid w:val="56BB2E72"/>
    <w:rsid w:val="57911D3D"/>
    <w:rsid w:val="586F2E10"/>
    <w:rsid w:val="5B9D3699"/>
    <w:rsid w:val="5D266030"/>
    <w:rsid w:val="5DA3276F"/>
    <w:rsid w:val="5F9D1513"/>
    <w:rsid w:val="620A3FE6"/>
    <w:rsid w:val="65106DD2"/>
    <w:rsid w:val="66D67240"/>
    <w:rsid w:val="6AC41116"/>
    <w:rsid w:val="6CCC46AB"/>
    <w:rsid w:val="6EAB2ECF"/>
    <w:rsid w:val="6F726117"/>
    <w:rsid w:val="6FFA5DD7"/>
    <w:rsid w:val="71CB0848"/>
    <w:rsid w:val="76C73461"/>
    <w:rsid w:val="794D6BD1"/>
    <w:rsid w:val="7A434851"/>
    <w:rsid w:val="7C62146C"/>
    <w:rsid w:val="7F452F1B"/>
    <w:rsid w:val="7F611C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批注框文本 Char"/>
    <w:link w:val="4"/>
    <w:qFormat/>
    <w:uiPriority w:val="0"/>
    <w:rPr>
      <w:kern w:val="2"/>
      <w:sz w:val="18"/>
      <w:szCs w:val="18"/>
    </w:rPr>
  </w:style>
  <w:style w:type="character" w:customStyle="1" w:styleId="11">
    <w:name w:val="页脚 Char"/>
    <w:link w:val="5"/>
    <w:qFormat/>
    <w:uiPriority w:val="0"/>
    <w:rPr>
      <w:kern w:val="2"/>
      <w:sz w:val="18"/>
      <w:szCs w:val="18"/>
    </w:rPr>
  </w:style>
  <w:style w:type="character" w:customStyle="1" w:styleId="12">
    <w:name w:val="页眉 Char"/>
    <w:link w:val="6"/>
    <w:qFormat/>
    <w:uiPriority w:val="0"/>
    <w:rPr>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1968</Words>
  <Characters>2101</Characters>
  <Lines>14</Lines>
  <Paragraphs>3</Paragraphs>
  <TotalTime>2</TotalTime>
  <ScaleCrop>false</ScaleCrop>
  <LinksUpToDate>false</LinksUpToDate>
  <CharactersWithSpaces>2108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卫健委机要秘书</cp:lastModifiedBy>
  <cp:lastPrinted>2018-01-02T16:11:00Z</cp:lastPrinted>
  <dcterms:modified xsi:type="dcterms:W3CDTF">2025-03-13T14:44:58Z</dcterms:modified>
  <dc:title>丰都县仙女湖镇卫生院2023年部门预算情况说明</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EAD3DD30973C4048B3E40EFCE9F20F74_13</vt:lpwstr>
  </property>
  <property fmtid="{D5CDD505-2E9C-101B-9397-08002B2CF9AE}" pid="4" name="KSOTemplateDocerSaveRecord">
    <vt:lpwstr>eyJoZGlkIjoiODQ2NDZiODZlN2I3ZGIwMDAwYWMyYWZhNDNjYjA5YTAiLCJ1c2VySWQiOiIzMDc3OTg0ODAifQ==</vt:lpwstr>
  </property>
</Properties>
</file>