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E42ACB">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丰都县旅游宣传营销中心</w:t>
      </w:r>
    </w:p>
    <w:p w14:paraId="6258F3B0">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2024年度决算公开说明</w:t>
      </w:r>
    </w:p>
    <w:p w14:paraId="16AF6AB8">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both"/>
        <w:textAlignment w:val="auto"/>
        <w:rPr>
          <w:rFonts w:hint="default" w:ascii="Times New Roman" w:hAnsi="Times New Roman" w:eastAsia="方正小标宋_GBK" w:cs="Times New Roman"/>
          <w:sz w:val="44"/>
          <w:szCs w:val="44"/>
          <w:shd w:val="clear" w:color="auto" w:fill="FFFFFF"/>
        </w:rPr>
      </w:pPr>
    </w:p>
    <w:p w14:paraId="71E635D2">
      <w:pPr>
        <w:pStyle w:val="9"/>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Times New Roman" w:hAnsi="Times New Roman" w:eastAsia="黑体" w:cs="Times New Roman"/>
          <w:sz w:val="32"/>
          <w:szCs w:val="32"/>
          <w:shd w:val="clear" w:color="auto" w:fill="FFFFFF"/>
        </w:rPr>
      </w:pPr>
      <w:r>
        <w:rPr>
          <w:rStyle w:val="13"/>
          <w:rFonts w:hint="default" w:ascii="Times New Roman" w:hAnsi="Times New Roman" w:eastAsia="黑体" w:cs="Times New Roman"/>
          <w:sz w:val="32"/>
          <w:szCs w:val="32"/>
          <w:shd w:val="clear" w:color="auto" w:fill="FFFFFF"/>
        </w:rPr>
        <w:t>一、</w:t>
      </w:r>
      <w:r>
        <w:rPr>
          <w:rStyle w:val="13"/>
          <w:rFonts w:hint="default" w:ascii="Times New Roman" w:hAnsi="Times New Roman" w:eastAsia="黑体" w:cs="Times New Roman"/>
          <w:sz w:val="32"/>
          <w:szCs w:val="32"/>
          <w:shd w:val="clear" w:color="auto" w:fill="FFFFFF"/>
          <w:lang w:eastAsia="zh-CN"/>
        </w:rPr>
        <w:t>单位</w:t>
      </w:r>
      <w:r>
        <w:rPr>
          <w:rStyle w:val="13"/>
          <w:rFonts w:hint="default" w:ascii="Times New Roman" w:hAnsi="Times New Roman" w:eastAsia="黑体" w:cs="Times New Roman"/>
          <w:sz w:val="32"/>
          <w:szCs w:val="32"/>
          <w:shd w:val="clear" w:color="auto" w:fill="FFFFFF"/>
        </w:rPr>
        <w:t>基本情况</w:t>
      </w:r>
    </w:p>
    <w:p w14:paraId="0C12CEC2">
      <w:pPr>
        <w:keepNext w:val="0"/>
        <w:keepLines w:val="0"/>
        <w:pageBreakBefore w:val="0"/>
        <w:widowControl/>
        <w:shd w:val="clear" w:color="auto"/>
        <w:kinsoku/>
        <w:wordWrap/>
        <w:overflowPunct/>
        <w:topLinePunct w:val="0"/>
        <w:autoSpaceDN/>
        <w:bidi w:val="0"/>
        <w:adjustRightInd/>
        <w:spacing w:beforeAutospacing="0" w:afterAutospacing="0" w:line="596" w:lineRule="exact"/>
        <w:ind w:firstLine="420"/>
        <w:textAlignment w:val="auto"/>
        <w:rPr>
          <w:rFonts w:hint="default" w:ascii="Times New Roman" w:hAnsi="Times New Roman" w:eastAsia="方正仿宋_GBK" w:cs="Times New Roman"/>
          <w:sz w:val="32"/>
          <w:szCs w:val="32"/>
          <w:lang w:val="en-US" w:eastAsia="zh-CN" w:bidi="ar-SA"/>
        </w:rPr>
      </w:pPr>
      <w:r>
        <w:rPr>
          <w:rStyle w:val="13"/>
          <w:rFonts w:hint="default" w:ascii="Times New Roman" w:hAnsi="Times New Roman" w:eastAsia="楷体" w:cs="Times New Roman"/>
          <w:sz w:val="32"/>
          <w:szCs w:val="32"/>
          <w:shd w:val="clear" w:color="auto" w:fill="FFFFFF"/>
          <w:lang w:val="en-US" w:eastAsia="zh-CN" w:bidi="ar-SA"/>
        </w:rPr>
        <w:t>（一）职能职责</w:t>
      </w:r>
    </w:p>
    <w:p w14:paraId="6D7DD1C4">
      <w:pPr>
        <w:keepNext w:val="0"/>
        <w:keepLines w:val="0"/>
        <w:pageBreakBefore w:val="0"/>
        <w:widowControl/>
        <w:kinsoku/>
        <w:wordWrap/>
        <w:overflowPunct/>
        <w:topLinePunct w:val="0"/>
        <w:autoSpaceDN/>
        <w:bidi w:val="0"/>
        <w:adjustRightInd/>
        <w:snapToGrid w:val="0"/>
        <w:spacing w:beforeAutospacing="0" w:afterAutospacing="0" w:line="596" w:lineRule="exact"/>
        <w:ind w:firstLine="640" w:firstLineChars="200"/>
        <w:jc w:val="both"/>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shd w:val="clear" w:color="auto" w:fill="FFFFFF"/>
          <w:lang w:val="en-US" w:eastAsia="zh-CN" w:bidi="ar-SA"/>
        </w:rPr>
        <w:t>受县文旅委的委托，负责策划、制定全县旅游宣传营销策略和总体方案；负责全县旅游宣传营销工作。</w:t>
      </w:r>
    </w:p>
    <w:p w14:paraId="1904CF66">
      <w:pPr>
        <w:keepNext w:val="0"/>
        <w:keepLines w:val="0"/>
        <w:pageBreakBefore w:val="0"/>
        <w:widowControl/>
        <w:shd w:val="clear" w:color="auto"/>
        <w:kinsoku/>
        <w:wordWrap/>
        <w:overflowPunct/>
        <w:topLinePunct w:val="0"/>
        <w:autoSpaceDN/>
        <w:bidi w:val="0"/>
        <w:adjustRightInd/>
        <w:spacing w:beforeAutospacing="0" w:afterAutospacing="0" w:line="596" w:lineRule="exact"/>
        <w:ind w:firstLine="420"/>
        <w:textAlignment w:val="auto"/>
        <w:rPr>
          <w:rFonts w:hint="default" w:ascii="Times New Roman" w:hAnsi="Times New Roman" w:eastAsia="楷体" w:cs="Times New Roman"/>
          <w:sz w:val="32"/>
          <w:szCs w:val="32"/>
          <w:lang w:val="en-US" w:eastAsia="zh-CN" w:bidi="ar-SA"/>
        </w:rPr>
      </w:pPr>
      <w:r>
        <w:rPr>
          <w:rStyle w:val="13"/>
          <w:rFonts w:hint="default" w:ascii="Times New Roman" w:hAnsi="Times New Roman" w:eastAsia="楷体" w:cs="Times New Roman"/>
          <w:sz w:val="32"/>
          <w:szCs w:val="32"/>
          <w:shd w:val="clear" w:color="auto" w:fill="FFFFFF"/>
          <w:lang w:val="en-US" w:eastAsia="zh-CN" w:bidi="ar-SA"/>
        </w:rPr>
        <w:t>（二）机构设置</w:t>
      </w:r>
    </w:p>
    <w:p w14:paraId="17047429">
      <w:pPr>
        <w:keepNext w:val="0"/>
        <w:keepLines w:val="0"/>
        <w:pageBreakBefore w:val="0"/>
        <w:widowControl/>
        <w:kinsoku/>
        <w:wordWrap/>
        <w:overflowPunct/>
        <w:topLinePunct w:val="0"/>
        <w:autoSpaceDN/>
        <w:bidi w:val="0"/>
        <w:adjustRightInd/>
        <w:spacing w:beforeAutospacing="0" w:afterAutospacing="0" w:line="596"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丰都县旅游宣传营销中心为县文旅委所属的</w:t>
      </w:r>
      <w:r>
        <w:rPr>
          <w:rFonts w:hint="default" w:ascii="Times New Roman" w:hAnsi="Times New Roman" w:eastAsia="方正仿宋_GBK" w:cs="Times New Roman"/>
          <w:sz w:val="32"/>
          <w:szCs w:val="32"/>
          <w:lang w:val="en-US" w:eastAsia="zh-CN" w:bidi="ar"/>
        </w:rPr>
        <w:t>正</w:t>
      </w:r>
      <w:r>
        <w:rPr>
          <w:rFonts w:hint="default" w:ascii="Times New Roman" w:hAnsi="Times New Roman" w:eastAsia="方正仿宋_GBK" w:cs="Times New Roman"/>
          <w:sz w:val="32"/>
          <w:szCs w:val="32"/>
          <w:lang w:bidi="ar"/>
        </w:rPr>
        <w:t>科级财政全额拨款公益一类事业单位。根据上述职责和《丰都县机构设置和编制管理办法》，丰都县旅游宣传营销中心设3个内设机构：</w:t>
      </w:r>
    </w:p>
    <w:p w14:paraId="0B012B79">
      <w:pPr>
        <w:keepNext w:val="0"/>
        <w:keepLines w:val="0"/>
        <w:pageBreakBefore w:val="0"/>
        <w:widowControl/>
        <w:kinsoku/>
        <w:wordWrap/>
        <w:overflowPunct/>
        <w:topLinePunct w:val="0"/>
        <w:autoSpaceDN/>
        <w:bidi w:val="0"/>
        <w:adjustRightInd/>
        <w:spacing w:beforeAutospacing="0" w:afterAutospacing="0" w:line="596"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1.综合科</w:t>
      </w:r>
    </w:p>
    <w:p w14:paraId="6DADB4F4">
      <w:pPr>
        <w:keepNext w:val="0"/>
        <w:keepLines w:val="0"/>
        <w:pageBreakBefore w:val="0"/>
        <w:widowControl/>
        <w:kinsoku/>
        <w:wordWrap/>
        <w:overflowPunct/>
        <w:topLinePunct w:val="0"/>
        <w:autoSpaceDN/>
        <w:bidi w:val="0"/>
        <w:adjustRightInd/>
        <w:spacing w:beforeAutospacing="0" w:afterAutospacing="0" w:line="596"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负责行政事务、党建工作、党风廉政、编制人事、绩效考核、资产和财务管理、议提案办理、安全信访、后勤保障等工作。</w:t>
      </w:r>
    </w:p>
    <w:p w14:paraId="6723039B">
      <w:pPr>
        <w:keepNext w:val="0"/>
        <w:keepLines w:val="0"/>
        <w:pageBreakBefore w:val="0"/>
        <w:widowControl/>
        <w:kinsoku/>
        <w:wordWrap/>
        <w:overflowPunct/>
        <w:topLinePunct w:val="0"/>
        <w:autoSpaceDN/>
        <w:bidi w:val="0"/>
        <w:adjustRightInd/>
        <w:spacing w:beforeAutospacing="0" w:afterAutospacing="0" w:line="596"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2.宣传科</w:t>
      </w:r>
    </w:p>
    <w:p w14:paraId="734CCCD0">
      <w:pPr>
        <w:keepNext w:val="0"/>
        <w:keepLines w:val="0"/>
        <w:pageBreakBefore w:val="0"/>
        <w:widowControl/>
        <w:kinsoku/>
        <w:wordWrap/>
        <w:overflowPunct/>
        <w:topLinePunct w:val="0"/>
        <w:autoSpaceDN/>
        <w:bidi w:val="0"/>
        <w:adjustRightInd/>
        <w:spacing w:beforeAutospacing="0" w:afterAutospacing="0" w:line="596"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负责策划、制定全县旅游宣传总体方案，组织实施以丰都县为目的地的各项旅游宣传活动；负责策划、实施全县大型旅游节庆活动、开展旅游公关活动。</w:t>
      </w:r>
    </w:p>
    <w:p w14:paraId="1BFD8325">
      <w:pPr>
        <w:keepNext w:val="0"/>
        <w:keepLines w:val="0"/>
        <w:pageBreakBefore w:val="0"/>
        <w:widowControl/>
        <w:kinsoku/>
        <w:wordWrap/>
        <w:overflowPunct/>
        <w:topLinePunct w:val="0"/>
        <w:autoSpaceDN/>
        <w:bidi w:val="0"/>
        <w:adjustRightInd/>
        <w:spacing w:beforeAutospacing="0" w:afterAutospacing="0" w:line="596"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3.营销科</w:t>
      </w:r>
    </w:p>
    <w:p w14:paraId="5A49AC15">
      <w:pPr>
        <w:pStyle w:val="9"/>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lang w:bidi="ar"/>
        </w:rPr>
        <w:t>研究分析全县旅游客源市场情况，负责策划、制定全县旅游营销策略和总体方案，组织实施以丰都县为目的地的各项旅游营销活动；负责建立完善网络营销体系；负责对旅行社及旅游景区的营销考核工作。</w:t>
      </w:r>
    </w:p>
    <w:p w14:paraId="476685FA">
      <w:pPr>
        <w:pStyle w:val="9"/>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Times New Roman" w:hAnsi="Times New Roman" w:eastAsia="黑体" w:cs="Times New Roman"/>
          <w:sz w:val="32"/>
          <w:szCs w:val="32"/>
          <w:shd w:val="clear" w:color="auto" w:fill="FFFFFF"/>
        </w:rPr>
      </w:pPr>
      <w:r>
        <w:rPr>
          <w:rStyle w:val="13"/>
          <w:rFonts w:hint="default" w:ascii="Times New Roman" w:hAnsi="Times New Roman" w:eastAsia="黑体" w:cs="Times New Roman"/>
          <w:sz w:val="32"/>
          <w:szCs w:val="32"/>
          <w:shd w:val="clear" w:color="auto" w:fill="FFFFFF"/>
        </w:rPr>
        <w:t>二、</w:t>
      </w:r>
      <w:r>
        <w:rPr>
          <w:rStyle w:val="13"/>
          <w:rFonts w:hint="default" w:ascii="Times New Roman" w:hAnsi="Times New Roman" w:eastAsia="黑体" w:cs="Times New Roman"/>
          <w:sz w:val="32"/>
          <w:szCs w:val="32"/>
          <w:shd w:val="clear" w:color="auto" w:fill="FFFFFF"/>
          <w:lang w:eastAsia="zh-CN"/>
        </w:rPr>
        <w:t>单位</w:t>
      </w:r>
      <w:r>
        <w:rPr>
          <w:rStyle w:val="13"/>
          <w:rFonts w:hint="default" w:ascii="Times New Roman" w:hAnsi="Times New Roman" w:eastAsia="黑体" w:cs="Times New Roman"/>
          <w:sz w:val="32"/>
          <w:szCs w:val="32"/>
          <w:shd w:val="clear" w:color="auto" w:fill="FFFFFF"/>
        </w:rPr>
        <w:t>决算情况说明</w:t>
      </w:r>
    </w:p>
    <w:p w14:paraId="16DD7BBF">
      <w:pPr>
        <w:keepNext w:val="0"/>
        <w:keepLines w:val="0"/>
        <w:pageBreakBefore w:val="0"/>
        <w:widowControl/>
        <w:kinsoku/>
        <w:wordWrap/>
        <w:overflowPunct/>
        <w:topLinePunct w:val="0"/>
        <w:autoSpaceDE w:val="0"/>
        <w:autoSpaceDN/>
        <w:bidi w:val="0"/>
        <w:adjustRightInd/>
        <w:spacing w:beforeAutospacing="0" w:afterAutospacing="0" w:line="596" w:lineRule="exact"/>
        <w:ind w:firstLine="643" w:firstLineChars="200"/>
        <w:textAlignment w:val="auto"/>
        <w:rPr>
          <w:rFonts w:hint="default" w:ascii="Times New Roman" w:hAnsi="Times New Roman" w:eastAsia="楷体" w:cs="Times New Roman"/>
          <w:b/>
          <w:bCs/>
          <w:sz w:val="32"/>
          <w:szCs w:val="32"/>
          <w:shd w:val="clear" w:color="auto" w:fill="FFFFFF"/>
          <w:lang w:val="en-US" w:eastAsia="zh-CN" w:bidi="ar-SA"/>
        </w:rPr>
      </w:pPr>
      <w:r>
        <w:rPr>
          <w:rFonts w:hint="default" w:ascii="Times New Roman" w:hAnsi="Times New Roman" w:eastAsia="楷体" w:cs="Times New Roman"/>
          <w:b/>
          <w:bCs/>
          <w:sz w:val="32"/>
          <w:szCs w:val="32"/>
          <w:shd w:val="clear" w:color="auto" w:fill="FFFFFF"/>
          <w:lang w:val="en-US" w:eastAsia="zh-CN" w:bidi="ar-SA"/>
        </w:rPr>
        <w:t>（一）收入支出决算总体情况说明。</w:t>
      </w:r>
    </w:p>
    <w:p w14:paraId="39F9E157">
      <w:pPr>
        <w:keepNext w:val="0"/>
        <w:keepLines w:val="0"/>
        <w:pageBreakBefore w:val="0"/>
        <w:widowControl/>
        <w:shd w:val="clear" w:color="auto"/>
        <w:kinsoku/>
        <w:wordWrap/>
        <w:overflowPunct/>
        <w:topLinePunct w:val="0"/>
        <w:autoSpaceDN/>
        <w:bidi w:val="0"/>
        <w:adjustRightInd/>
        <w:spacing w:beforeAutospacing="0" w:afterAutospacing="0" w:line="596" w:lineRule="exact"/>
        <w:ind w:firstLine="643" w:firstLineChars="200"/>
        <w:textAlignment w:val="auto"/>
        <w:rPr>
          <w:rFonts w:hint="default" w:ascii="Times New Roman" w:hAnsi="Times New Roman" w:eastAsia="方正仿宋_GBK" w:cs="Times New Roman"/>
          <w:sz w:val="32"/>
          <w:szCs w:val="32"/>
          <w:lang w:val="en-US" w:eastAsia="zh-CN" w:bidi="ar-SA"/>
        </w:rPr>
      </w:pPr>
      <w:r>
        <w:rPr>
          <w:rStyle w:val="13"/>
          <w:rFonts w:hint="default" w:ascii="Times New Roman" w:hAnsi="Times New Roman" w:eastAsia="方正仿宋_GBK" w:cs="Times New Roman"/>
          <w:sz w:val="32"/>
          <w:szCs w:val="32"/>
          <w:shd w:val="clear" w:color="auto" w:fill="FFFFFF"/>
          <w:lang w:val="en-US" w:eastAsia="zh-CN" w:bidi="ar-SA"/>
        </w:rPr>
        <w:t>1.总体情况。</w:t>
      </w:r>
      <w:r>
        <w:rPr>
          <w:rFonts w:hint="default" w:ascii="Times New Roman" w:hAnsi="Times New Roman" w:eastAsia="方正仿宋_GBK" w:cs="Times New Roman"/>
          <w:sz w:val="32"/>
          <w:szCs w:val="32"/>
          <w:shd w:val="clear" w:color="auto" w:fill="FFFFFF"/>
          <w:lang w:val="en-US" w:eastAsia="zh-CN" w:bidi="ar-SA"/>
        </w:rPr>
        <w:t>2024年度收入总计296.28万元，支出总计</w:t>
      </w:r>
      <w:r>
        <w:rPr>
          <w:rFonts w:hint="default" w:ascii="Times New Roman" w:hAnsi="Times New Roman" w:eastAsia="方正仿宋_GBK" w:cs="Times New Roman"/>
          <w:sz w:val="32"/>
          <w:szCs w:val="32"/>
          <w:lang w:val="en-US" w:eastAsia="zh-CN" w:bidi="ar-SA"/>
        </w:rPr>
        <w:t>296.28</w:t>
      </w:r>
      <w:r>
        <w:rPr>
          <w:rFonts w:hint="default" w:ascii="Times New Roman" w:hAnsi="Times New Roman" w:eastAsia="方正仿宋_GBK" w:cs="Times New Roman"/>
          <w:sz w:val="32"/>
          <w:szCs w:val="32"/>
          <w:shd w:val="clear" w:color="auto" w:fill="FFFFFF"/>
          <w:lang w:val="en-US" w:eastAsia="zh-CN" w:bidi="ar-SA"/>
        </w:rPr>
        <w:t>万元。收支较上年决算数增加49.63万元，增长20.12%，主要原因是本年单位新增4</w:t>
      </w:r>
      <w:r>
        <w:rPr>
          <w:rFonts w:hint="default" w:ascii="Times New Roman" w:hAnsi="Times New Roman" w:eastAsia="方正仿宋_GBK" w:cs="Times New Roman"/>
          <w:color w:val="auto"/>
          <w:sz w:val="32"/>
          <w:szCs w:val="32"/>
          <w:shd w:val="clear" w:color="auto" w:fill="FFFFFF"/>
          <w:lang w:val="en-US" w:eastAsia="zh-CN" w:bidi="ar-SA"/>
        </w:rPr>
        <w:t>人。</w:t>
      </w:r>
    </w:p>
    <w:p w14:paraId="1A1683C8">
      <w:pPr>
        <w:keepNext w:val="0"/>
        <w:keepLines w:val="0"/>
        <w:pageBreakBefore w:val="0"/>
        <w:widowControl/>
        <w:kinsoku/>
        <w:wordWrap/>
        <w:overflowPunct/>
        <w:topLinePunct w:val="0"/>
        <w:autoSpaceDN/>
        <w:bidi w:val="0"/>
        <w:adjustRightInd/>
        <w:snapToGrid w:val="0"/>
        <w:spacing w:beforeAutospacing="0" w:afterAutospacing="0" w:line="596" w:lineRule="exact"/>
        <w:ind w:firstLine="643"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Style w:val="13"/>
          <w:rFonts w:hint="default" w:ascii="Times New Roman" w:hAnsi="Times New Roman" w:eastAsia="方正仿宋_GBK" w:cs="Times New Roman"/>
          <w:sz w:val="32"/>
          <w:szCs w:val="32"/>
          <w:shd w:val="clear" w:color="auto" w:fill="FFFFFF"/>
          <w:lang w:val="en-US" w:eastAsia="zh-CN" w:bidi="ar-SA"/>
        </w:rPr>
        <w:t>2.收入情况。</w:t>
      </w:r>
      <w:r>
        <w:rPr>
          <w:rFonts w:hint="default" w:ascii="Times New Roman" w:hAnsi="Times New Roman" w:eastAsia="方正仿宋_GBK" w:cs="Times New Roman"/>
          <w:sz w:val="32"/>
          <w:szCs w:val="32"/>
          <w:shd w:val="clear" w:color="auto" w:fill="FFFFFF"/>
          <w:lang w:val="en-US" w:eastAsia="zh-CN" w:bidi="ar-SA"/>
        </w:rPr>
        <w:t>2024年度收入合计296.28万元，较上年决算数增加49.63万元，增长20.12%，主要原因是单位新增4人。其中：财政拨款收入</w:t>
      </w:r>
      <w:r>
        <w:rPr>
          <w:rFonts w:hint="default" w:ascii="Times New Roman" w:hAnsi="Times New Roman" w:eastAsia="方正仿宋_GBK" w:cs="Times New Roman"/>
          <w:sz w:val="32"/>
          <w:szCs w:val="32"/>
          <w:lang w:val="en-US" w:eastAsia="zh-CN" w:bidi="ar-SA"/>
        </w:rPr>
        <w:t>296.28</w:t>
      </w:r>
      <w:r>
        <w:rPr>
          <w:rFonts w:hint="default" w:ascii="Times New Roman" w:hAnsi="Times New Roman" w:eastAsia="方正仿宋_GBK" w:cs="Times New Roman"/>
          <w:sz w:val="32"/>
          <w:szCs w:val="32"/>
          <w:shd w:val="clear" w:color="auto" w:fill="FFFFFF"/>
          <w:lang w:val="en-US" w:eastAsia="zh-CN" w:bidi="ar-SA"/>
        </w:rPr>
        <w:t>万元，占</w:t>
      </w:r>
      <w:r>
        <w:rPr>
          <w:rFonts w:hint="default" w:ascii="Times New Roman" w:hAnsi="Times New Roman" w:eastAsia="方正仿宋_GBK" w:cs="Times New Roman"/>
          <w:sz w:val="32"/>
          <w:szCs w:val="32"/>
          <w:lang w:val="en-US" w:eastAsia="zh-CN" w:bidi="ar-SA"/>
        </w:rPr>
        <w:t>100.00</w:t>
      </w:r>
      <w:r>
        <w:rPr>
          <w:rFonts w:hint="default" w:ascii="Times New Roman" w:hAnsi="Times New Roman" w:eastAsia="方正仿宋_GBK" w:cs="Times New Roman"/>
          <w:sz w:val="32"/>
          <w:szCs w:val="32"/>
          <w:shd w:val="clear" w:color="auto" w:fill="FFFFFF"/>
          <w:lang w:val="en-US" w:eastAsia="zh-CN" w:bidi="ar-SA"/>
        </w:rPr>
        <w:t>%；事业收入</w:t>
      </w:r>
      <w:r>
        <w:rPr>
          <w:rFonts w:hint="default" w:ascii="Times New Roman" w:hAnsi="Times New Roman" w:eastAsia="方正仿宋_GBK" w:cs="Times New Roman"/>
          <w:sz w:val="32"/>
          <w:szCs w:val="32"/>
          <w:lang w:val="en-US" w:eastAsia="zh-CN" w:bidi="ar-SA"/>
        </w:rPr>
        <w:t>0.00</w:t>
      </w:r>
      <w:r>
        <w:rPr>
          <w:rFonts w:hint="default" w:ascii="Times New Roman" w:hAnsi="Times New Roman" w:eastAsia="方正仿宋_GBK" w:cs="Times New Roman"/>
          <w:sz w:val="32"/>
          <w:szCs w:val="32"/>
          <w:shd w:val="clear" w:color="auto" w:fill="FFFFFF"/>
          <w:lang w:val="en-US" w:eastAsia="zh-CN" w:bidi="ar-SA"/>
        </w:rPr>
        <w:t>万元，占0.00%；经营收入</w:t>
      </w:r>
      <w:r>
        <w:rPr>
          <w:rFonts w:hint="default" w:ascii="Times New Roman" w:hAnsi="Times New Roman" w:eastAsia="方正仿宋_GBK" w:cs="Times New Roman"/>
          <w:sz w:val="32"/>
          <w:szCs w:val="32"/>
          <w:lang w:val="en-US" w:eastAsia="zh-CN" w:bidi="ar-SA"/>
        </w:rPr>
        <w:t>0.00</w:t>
      </w:r>
      <w:r>
        <w:rPr>
          <w:rFonts w:hint="default" w:ascii="Times New Roman" w:hAnsi="Times New Roman" w:eastAsia="方正仿宋_GBK" w:cs="Times New Roman"/>
          <w:sz w:val="32"/>
          <w:szCs w:val="32"/>
          <w:shd w:val="clear" w:color="auto" w:fill="FFFFFF"/>
          <w:lang w:val="en-US" w:eastAsia="zh-CN" w:bidi="ar-SA"/>
        </w:rPr>
        <w:t>万元，占0.00%；其他收入</w:t>
      </w:r>
      <w:r>
        <w:rPr>
          <w:rFonts w:hint="default" w:ascii="Times New Roman" w:hAnsi="Times New Roman" w:eastAsia="方正仿宋_GBK" w:cs="Times New Roman"/>
          <w:sz w:val="32"/>
          <w:szCs w:val="32"/>
          <w:lang w:val="en-US" w:eastAsia="zh-CN" w:bidi="ar-SA"/>
        </w:rPr>
        <w:t>0.00</w:t>
      </w:r>
      <w:r>
        <w:rPr>
          <w:rFonts w:hint="default" w:ascii="Times New Roman" w:hAnsi="Times New Roman" w:eastAsia="方正仿宋_GBK" w:cs="Times New Roman"/>
          <w:sz w:val="32"/>
          <w:szCs w:val="32"/>
          <w:shd w:val="clear" w:color="auto" w:fill="FFFFFF"/>
          <w:lang w:val="en-US" w:eastAsia="zh-CN" w:bidi="ar-SA"/>
        </w:rPr>
        <w:t>万元，占0.00%。此外，使用非财政拨款结余和专用结余</w:t>
      </w:r>
      <w:r>
        <w:rPr>
          <w:rFonts w:hint="default" w:ascii="Times New Roman" w:hAnsi="Times New Roman" w:eastAsia="方正仿宋_GBK" w:cs="Times New Roman"/>
          <w:sz w:val="32"/>
          <w:szCs w:val="32"/>
          <w:lang w:val="en-US" w:eastAsia="zh-CN" w:bidi="ar-SA"/>
        </w:rPr>
        <w:t>0.00</w:t>
      </w:r>
      <w:r>
        <w:rPr>
          <w:rFonts w:hint="default" w:ascii="Times New Roman" w:hAnsi="Times New Roman" w:eastAsia="方正仿宋_GBK" w:cs="Times New Roman"/>
          <w:sz w:val="32"/>
          <w:szCs w:val="32"/>
          <w:shd w:val="clear" w:color="auto" w:fill="FFFFFF"/>
          <w:lang w:val="en-US" w:eastAsia="zh-CN" w:bidi="ar-SA"/>
        </w:rPr>
        <w:t>万元，年初结转和结余</w:t>
      </w:r>
      <w:r>
        <w:rPr>
          <w:rFonts w:hint="default" w:ascii="Times New Roman" w:hAnsi="Times New Roman" w:eastAsia="方正仿宋_GBK" w:cs="Times New Roman"/>
          <w:sz w:val="32"/>
          <w:szCs w:val="32"/>
          <w:lang w:val="en-US" w:eastAsia="zh-CN" w:bidi="ar-SA"/>
        </w:rPr>
        <w:t>1.34</w:t>
      </w:r>
      <w:r>
        <w:rPr>
          <w:rFonts w:hint="default" w:ascii="Times New Roman" w:hAnsi="Times New Roman" w:eastAsia="方正仿宋_GBK" w:cs="Times New Roman"/>
          <w:sz w:val="32"/>
          <w:szCs w:val="32"/>
          <w:shd w:val="clear" w:color="auto" w:fill="FFFFFF"/>
          <w:lang w:val="en-US" w:eastAsia="zh-CN" w:bidi="ar-SA"/>
        </w:rPr>
        <w:t>万元。</w:t>
      </w:r>
    </w:p>
    <w:p w14:paraId="25338E04">
      <w:pPr>
        <w:keepNext w:val="0"/>
        <w:keepLines w:val="0"/>
        <w:pageBreakBefore w:val="0"/>
        <w:widowControl/>
        <w:kinsoku/>
        <w:wordWrap/>
        <w:overflowPunct/>
        <w:topLinePunct w:val="0"/>
        <w:autoSpaceDN/>
        <w:bidi w:val="0"/>
        <w:adjustRightInd/>
        <w:snapToGrid w:val="0"/>
        <w:spacing w:beforeAutospacing="0" w:afterAutospacing="0" w:line="596" w:lineRule="exact"/>
        <w:ind w:firstLine="643"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Style w:val="13"/>
          <w:rFonts w:hint="default" w:ascii="Times New Roman" w:hAnsi="Times New Roman" w:eastAsia="方正仿宋_GBK" w:cs="Times New Roman"/>
          <w:sz w:val="32"/>
          <w:szCs w:val="32"/>
          <w:shd w:val="clear" w:color="auto" w:fill="FFFFFF"/>
          <w:lang w:val="en-US" w:eastAsia="zh-CN" w:bidi="ar-SA"/>
        </w:rPr>
        <w:t>3.支出情况。</w:t>
      </w:r>
      <w:r>
        <w:rPr>
          <w:rFonts w:hint="default" w:ascii="Times New Roman" w:hAnsi="Times New Roman" w:eastAsia="方正仿宋_GBK" w:cs="Times New Roman"/>
          <w:sz w:val="32"/>
          <w:szCs w:val="32"/>
          <w:shd w:val="clear" w:color="auto" w:fill="FFFFFF"/>
          <w:lang w:val="en-US" w:eastAsia="zh-CN" w:bidi="ar-SA"/>
        </w:rPr>
        <w:t>2024年度支出合计</w:t>
      </w:r>
      <w:r>
        <w:rPr>
          <w:rFonts w:hint="default" w:ascii="Times New Roman" w:hAnsi="Times New Roman" w:eastAsia="方正仿宋_GBK" w:cs="Times New Roman"/>
          <w:sz w:val="32"/>
          <w:szCs w:val="32"/>
          <w:lang w:val="en-US" w:eastAsia="zh-CN" w:bidi="ar-SA"/>
        </w:rPr>
        <w:t>296.28</w:t>
      </w:r>
      <w:r>
        <w:rPr>
          <w:rFonts w:hint="default" w:ascii="Times New Roman" w:hAnsi="Times New Roman" w:eastAsia="方正仿宋_GBK" w:cs="Times New Roman"/>
          <w:sz w:val="32"/>
          <w:szCs w:val="32"/>
          <w:shd w:val="clear" w:color="auto" w:fill="FFFFFF"/>
          <w:lang w:val="en-US" w:eastAsia="zh-CN" w:bidi="ar-SA"/>
        </w:rPr>
        <w:t>万元，较上年决算数增加49.63万元，增长20.12%，主要原因是单位新增4人。其中：基本支出</w:t>
      </w:r>
      <w:r>
        <w:rPr>
          <w:rFonts w:hint="default" w:ascii="Times New Roman" w:hAnsi="Times New Roman" w:eastAsia="方正仿宋_GBK" w:cs="Times New Roman"/>
          <w:sz w:val="32"/>
          <w:szCs w:val="32"/>
          <w:lang w:val="en-US" w:eastAsia="zh-CN" w:bidi="ar-SA"/>
        </w:rPr>
        <w:t>288.86</w:t>
      </w:r>
      <w:r>
        <w:rPr>
          <w:rFonts w:hint="default" w:ascii="Times New Roman" w:hAnsi="Times New Roman" w:eastAsia="方正仿宋_GBK" w:cs="Times New Roman"/>
          <w:sz w:val="32"/>
          <w:szCs w:val="32"/>
          <w:shd w:val="clear" w:color="auto" w:fill="FFFFFF"/>
          <w:lang w:val="en-US" w:eastAsia="zh-CN" w:bidi="ar-SA"/>
        </w:rPr>
        <w:t>万元，占97.5%；项目支出</w:t>
      </w:r>
      <w:r>
        <w:rPr>
          <w:rFonts w:hint="default" w:ascii="Times New Roman" w:hAnsi="Times New Roman" w:eastAsia="方正仿宋_GBK" w:cs="Times New Roman"/>
          <w:sz w:val="32"/>
          <w:szCs w:val="32"/>
          <w:lang w:val="en-US" w:eastAsia="zh-CN" w:bidi="ar-SA"/>
        </w:rPr>
        <w:t>7.43</w:t>
      </w:r>
      <w:r>
        <w:rPr>
          <w:rFonts w:hint="default" w:ascii="Times New Roman" w:hAnsi="Times New Roman" w:eastAsia="方正仿宋_GBK" w:cs="Times New Roman"/>
          <w:sz w:val="32"/>
          <w:szCs w:val="32"/>
          <w:shd w:val="clear" w:color="auto" w:fill="FFFFFF"/>
          <w:lang w:val="en-US" w:eastAsia="zh-CN" w:bidi="ar-SA"/>
        </w:rPr>
        <w:t>万元，占2.5%；经营支出</w:t>
      </w:r>
      <w:r>
        <w:rPr>
          <w:rFonts w:hint="default" w:ascii="Times New Roman" w:hAnsi="Times New Roman" w:eastAsia="方正仿宋_GBK" w:cs="Times New Roman"/>
          <w:sz w:val="32"/>
          <w:szCs w:val="32"/>
          <w:lang w:val="en-US" w:eastAsia="zh-CN" w:bidi="ar-SA"/>
        </w:rPr>
        <w:t>0.00</w:t>
      </w:r>
      <w:r>
        <w:rPr>
          <w:rFonts w:hint="default" w:ascii="Times New Roman" w:hAnsi="Times New Roman" w:eastAsia="方正仿宋_GBK" w:cs="Times New Roman"/>
          <w:sz w:val="32"/>
          <w:szCs w:val="32"/>
          <w:shd w:val="clear" w:color="auto" w:fill="FFFFFF"/>
          <w:lang w:val="en-US" w:eastAsia="zh-CN" w:bidi="ar-SA"/>
        </w:rPr>
        <w:t>万元，占0.00%。此外，结余分配</w:t>
      </w:r>
      <w:r>
        <w:rPr>
          <w:rFonts w:hint="default" w:ascii="Times New Roman" w:hAnsi="Times New Roman" w:eastAsia="方正仿宋_GBK" w:cs="Times New Roman"/>
          <w:sz w:val="32"/>
          <w:szCs w:val="32"/>
          <w:lang w:val="en-US" w:eastAsia="zh-CN" w:bidi="ar-SA"/>
        </w:rPr>
        <w:t>0.00</w:t>
      </w:r>
      <w:r>
        <w:rPr>
          <w:rFonts w:hint="default" w:ascii="Times New Roman" w:hAnsi="Times New Roman" w:eastAsia="方正仿宋_GBK" w:cs="Times New Roman"/>
          <w:sz w:val="32"/>
          <w:szCs w:val="32"/>
          <w:shd w:val="clear" w:color="auto" w:fill="FFFFFF"/>
          <w:lang w:val="en-US" w:eastAsia="zh-CN" w:bidi="ar-SA"/>
        </w:rPr>
        <w:t>万元。</w:t>
      </w:r>
    </w:p>
    <w:p w14:paraId="7E47F3E7">
      <w:pPr>
        <w:keepNext w:val="0"/>
        <w:keepLines w:val="0"/>
        <w:pageBreakBefore w:val="0"/>
        <w:widowControl/>
        <w:kinsoku/>
        <w:wordWrap/>
        <w:overflowPunct/>
        <w:topLinePunct w:val="0"/>
        <w:autoSpaceDN/>
        <w:bidi w:val="0"/>
        <w:adjustRightInd/>
        <w:snapToGrid w:val="0"/>
        <w:spacing w:beforeAutospacing="0" w:afterAutospacing="0" w:line="596" w:lineRule="exact"/>
        <w:ind w:firstLine="643" w:firstLineChars="200"/>
        <w:jc w:val="both"/>
        <w:textAlignment w:val="auto"/>
        <w:rPr>
          <w:rFonts w:hint="default" w:ascii="Times New Roman" w:hAnsi="Times New Roman" w:eastAsia="方正仿宋_GBK" w:cs="Times New Roman"/>
          <w:sz w:val="32"/>
          <w:szCs w:val="32"/>
          <w:lang w:val="en-US" w:eastAsia="zh-CN" w:bidi="ar-SA"/>
        </w:rPr>
      </w:pPr>
      <w:r>
        <w:rPr>
          <w:rStyle w:val="13"/>
          <w:rFonts w:hint="default" w:ascii="Times New Roman" w:hAnsi="Times New Roman" w:eastAsia="方正仿宋_GBK" w:cs="Times New Roman"/>
          <w:sz w:val="32"/>
          <w:szCs w:val="32"/>
          <w:shd w:val="clear" w:color="auto" w:fill="FFFFFF"/>
          <w:lang w:val="en-US" w:eastAsia="zh-CN" w:bidi="ar-SA"/>
        </w:rPr>
        <w:t>4.结转结余情况。</w:t>
      </w:r>
      <w:r>
        <w:rPr>
          <w:rFonts w:hint="default" w:ascii="Times New Roman" w:hAnsi="Times New Roman" w:eastAsia="方正仿宋_GBK" w:cs="Times New Roman"/>
          <w:sz w:val="32"/>
          <w:szCs w:val="32"/>
          <w:shd w:val="clear" w:color="auto" w:fill="FFFFFF"/>
          <w:lang w:val="en-US" w:eastAsia="zh-CN" w:bidi="ar-SA"/>
        </w:rPr>
        <w:t>2024年度年末结转和结余</w:t>
      </w:r>
      <w:r>
        <w:rPr>
          <w:rFonts w:hint="default" w:ascii="Times New Roman" w:hAnsi="Times New Roman" w:eastAsia="方正仿宋_GBK" w:cs="Times New Roman"/>
          <w:sz w:val="32"/>
          <w:szCs w:val="32"/>
          <w:lang w:val="en-US" w:eastAsia="zh-CN" w:bidi="ar-SA"/>
        </w:rPr>
        <w:t>0.00</w:t>
      </w:r>
      <w:r>
        <w:rPr>
          <w:rFonts w:hint="default" w:ascii="Times New Roman" w:hAnsi="Times New Roman" w:eastAsia="方正仿宋_GBK" w:cs="Times New Roman"/>
          <w:sz w:val="32"/>
          <w:szCs w:val="32"/>
          <w:shd w:val="clear" w:color="auto" w:fill="FFFFFF"/>
          <w:lang w:val="en-US" w:eastAsia="zh-CN" w:bidi="ar-SA"/>
        </w:rPr>
        <w:t>万元，较上年决算数无增减。</w:t>
      </w:r>
    </w:p>
    <w:p w14:paraId="719BD86A">
      <w:pPr>
        <w:keepNext w:val="0"/>
        <w:keepLines w:val="0"/>
        <w:pageBreakBefore w:val="0"/>
        <w:widowControl/>
        <w:kinsoku/>
        <w:wordWrap/>
        <w:overflowPunct/>
        <w:topLinePunct w:val="0"/>
        <w:autoSpaceDE w:val="0"/>
        <w:autoSpaceDN/>
        <w:bidi w:val="0"/>
        <w:adjustRightInd/>
        <w:spacing w:beforeAutospacing="0" w:afterAutospacing="0" w:line="596" w:lineRule="exact"/>
        <w:ind w:firstLine="643" w:firstLineChars="200"/>
        <w:textAlignment w:val="auto"/>
        <w:rPr>
          <w:rFonts w:hint="default" w:ascii="Times New Roman" w:hAnsi="Times New Roman" w:eastAsia="楷体" w:cs="Times New Roman"/>
          <w:b/>
          <w:bCs/>
          <w:sz w:val="32"/>
          <w:szCs w:val="32"/>
          <w:shd w:val="clear" w:color="auto" w:fill="FFFFFF"/>
          <w:lang w:val="en-US" w:eastAsia="zh-CN" w:bidi="ar-SA"/>
        </w:rPr>
      </w:pPr>
      <w:r>
        <w:rPr>
          <w:rFonts w:hint="default" w:ascii="Times New Roman" w:hAnsi="Times New Roman" w:eastAsia="楷体" w:cs="Times New Roman"/>
          <w:b/>
          <w:bCs/>
          <w:sz w:val="32"/>
          <w:szCs w:val="32"/>
          <w:shd w:val="clear" w:color="auto" w:fill="FFFFFF"/>
          <w:lang w:val="en-US" w:eastAsia="zh-CN" w:bidi="ar-SA"/>
        </w:rPr>
        <w:t>（二）财政拨款收入支出决算总体情况说明</w:t>
      </w:r>
    </w:p>
    <w:p w14:paraId="4FCB2C9D">
      <w:pPr>
        <w:keepNext w:val="0"/>
        <w:keepLines w:val="0"/>
        <w:pageBreakBefore w:val="0"/>
        <w:widowControl/>
        <w:kinsoku/>
        <w:wordWrap/>
        <w:overflowPunct/>
        <w:topLinePunct w:val="0"/>
        <w:autoSpaceDE w:val="0"/>
        <w:autoSpaceDN/>
        <w:bidi w:val="0"/>
        <w:adjustRightInd/>
        <w:spacing w:beforeAutospacing="0" w:afterAutospacing="0" w:line="596" w:lineRule="exact"/>
        <w:ind w:firstLine="640" w:firstLineChars="20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shd w:val="clear" w:color="auto" w:fill="FFFFFF"/>
          <w:lang w:val="en-US" w:eastAsia="zh-CN" w:bidi="ar-SA"/>
        </w:rPr>
        <w:t>2024年度财政拨款收、支总计296.28万元。与2023年相比，财政拨款收、支总计各增加49.63万元，增长20.12%。主要原因是单位新增4人。</w:t>
      </w:r>
    </w:p>
    <w:p w14:paraId="5C51BBF0">
      <w:pPr>
        <w:keepNext w:val="0"/>
        <w:keepLines w:val="0"/>
        <w:pageBreakBefore w:val="0"/>
        <w:widowControl/>
        <w:kinsoku/>
        <w:wordWrap/>
        <w:overflowPunct/>
        <w:topLinePunct w:val="0"/>
        <w:autoSpaceDE w:val="0"/>
        <w:autoSpaceDN/>
        <w:bidi w:val="0"/>
        <w:adjustRightInd/>
        <w:spacing w:beforeAutospacing="0" w:afterAutospacing="0" w:line="596" w:lineRule="exact"/>
        <w:ind w:firstLine="643" w:firstLineChars="200"/>
        <w:textAlignment w:val="auto"/>
        <w:rPr>
          <w:rFonts w:hint="default" w:ascii="Times New Roman" w:hAnsi="Times New Roman" w:eastAsia="楷体" w:cs="Times New Roman"/>
          <w:b/>
          <w:bCs/>
          <w:sz w:val="32"/>
          <w:szCs w:val="32"/>
          <w:shd w:val="clear" w:color="auto" w:fill="FFFFFF"/>
          <w:lang w:val="en-US" w:eastAsia="zh-CN" w:bidi="ar-SA"/>
        </w:rPr>
      </w:pPr>
      <w:r>
        <w:rPr>
          <w:rFonts w:hint="default" w:ascii="Times New Roman" w:hAnsi="Times New Roman" w:eastAsia="楷体" w:cs="Times New Roman"/>
          <w:b/>
          <w:bCs/>
          <w:sz w:val="32"/>
          <w:szCs w:val="32"/>
          <w:shd w:val="clear" w:color="auto" w:fill="FFFFFF"/>
          <w:lang w:val="en-US" w:eastAsia="zh-CN" w:bidi="ar-SA"/>
        </w:rPr>
        <w:t>（三）一般公共预算财政拨款收入支出决算情况说明</w:t>
      </w:r>
    </w:p>
    <w:p w14:paraId="1DDEDA92">
      <w:pPr>
        <w:keepNext w:val="0"/>
        <w:keepLines w:val="0"/>
        <w:pageBreakBefore w:val="0"/>
        <w:widowControl/>
        <w:kinsoku/>
        <w:wordWrap/>
        <w:overflowPunct/>
        <w:topLinePunct w:val="0"/>
        <w:autoSpaceDN/>
        <w:bidi w:val="0"/>
        <w:adjustRightInd/>
        <w:snapToGrid w:val="0"/>
        <w:spacing w:beforeAutospacing="0" w:afterAutospacing="0" w:line="596" w:lineRule="exact"/>
        <w:ind w:firstLine="643" w:firstLineChars="200"/>
        <w:jc w:val="both"/>
        <w:textAlignment w:val="auto"/>
        <w:rPr>
          <w:rFonts w:hint="default" w:ascii="Times New Roman" w:hAnsi="Times New Roman" w:eastAsia="方正仿宋_GBK" w:cs="Times New Roman"/>
          <w:sz w:val="32"/>
          <w:szCs w:val="32"/>
          <w:lang w:val="en-US" w:eastAsia="zh-CN" w:bidi="ar-SA"/>
        </w:rPr>
      </w:pPr>
      <w:r>
        <w:rPr>
          <w:rStyle w:val="13"/>
          <w:rFonts w:hint="default" w:ascii="Times New Roman" w:hAnsi="Times New Roman" w:eastAsia="方正仿宋_GBK" w:cs="Times New Roman"/>
          <w:sz w:val="32"/>
          <w:szCs w:val="32"/>
          <w:shd w:val="clear" w:color="auto" w:fill="FFFFFF"/>
          <w:lang w:val="en-US" w:eastAsia="zh-CN" w:bidi="ar-SA"/>
        </w:rPr>
        <w:t>1.收入情况。</w:t>
      </w:r>
      <w:r>
        <w:rPr>
          <w:rFonts w:hint="default" w:ascii="Times New Roman" w:hAnsi="Times New Roman" w:eastAsia="方正仿宋_GBK" w:cs="Times New Roman"/>
          <w:sz w:val="32"/>
          <w:szCs w:val="32"/>
          <w:shd w:val="clear" w:color="auto" w:fill="FFFFFF"/>
          <w:lang w:val="en-US" w:eastAsia="zh-CN" w:bidi="ar-SA"/>
        </w:rPr>
        <w:t>2024年度一般公共预算财政拨款收入</w:t>
      </w:r>
      <w:r>
        <w:rPr>
          <w:rFonts w:hint="default" w:ascii="Times New Roman" w:hAnsi="Times New Roman" w:eastAsia="方正仿宋_GBK" w:cs="Times New Roman"/>
          <w:sz w:val="32"/>
          <w:szCs w:val="32"/>
          <w:lang w:val="en-US" w:eastAsia="zh-CN" w:bidi="ar-SA"/>
        </w:rPr>
        <w:t>294.94</w:t>
      </w:r>
      <w:r>
        <w:rPr>
          <w:rFonts w:hint="default" w:ascii="Times New Roman" w:hAnsi="Times New Roman" w:eastAsia="方正仿宋_GBK" w:cs="Times New Roman"/>
          <w:sz w:val="32"/>
          <w:szCs w:val="32"/>
          <w:shd w:val="clear" w:color="auto" w:fill="FFFFFF"/>
          <w:lang w:val="en-US" w:eastAsia="zh-CN" w:bidi="ar-SA"/>
        </w:rPr>
        <w:t>万元，较上年决算数增加48.94万元，增长19.89%。主要原因是单位新增4人。较年初预算数增加44.29万元，增长17.67%。主要原因是单位新增4人。此外，年初财政拨款结转和结余</w:t>
      </w:r>
      <w:r>
        <w:rPr>
          <w:rFonts w:hint="default" w:ascii="Times New Roman" w:hAnsi="Times New Roman" w:eastAsia="方正仿宋_GBK" w:cs="Times New Roman"/>
          <w:sz w:val="32"/>
          <w:szCs w:val="32"/>
          <w:lang w:val="en-US" w:eastAsia="zh-CN" w:bidi="ar-SA"/>
        </w:rPr>
        <w:t>1.34</w:t>
      </w:r>
      <w:r>
        <w:rPr>
          <w:rFonts w:hint="default" w:ascii="Times New Roman" w:hAnsi="Times New Roman" w:eastAsia="方正仿宋_GBK" w:cs="Times New Roman"/>
          <w:sz w:val="32"/>
          <w:szCs w:val="32"/>
          <w:shd w:val="clear" w:color="auto" w:fill="FFFFFF"/>
          <w:lang w:val="en-US" w:eastAsia="zh-CN" w:bidi="ar-SA"/>
        </w:rPr>
        <w:t>万元。</w:t>
      </w:r>
    </w:p>
    <w:p w14:paraId="29B44C21">
      <w:pPr>
        <w:keepNext w:val="0"/>
        <w:keepLines w:val="0"/>
        <w:pageBreakBefore w:val="0"/>
        <w:widowControl/>
        <w:kinsoku/>
        <w:wordWrap/>
        <w:overflowPunct/>
        <w:topLinePunct w:val="0"/>
        <w:autoSpaceDN/>
        <w:bidi w:val="0"/>
        <w:adjustRightInd/>
        <w:snapToGrid w:val="0"/>
        <w:spacing w:beforeAutospacing="0" w:afterAutospacing="0" w:line="596" w:lineRule="exact"/>
        <w:ind w:firstLine="643" w:firstLineChars="200"/>
        <w:jc w:val="both"/>
        <w:textAlignment w:val="auto"/>
        <w:rPr>
          <w:rFonts w:hint="default" w:ascii="Times New Roman" w:hAnsi="Times New Roman" w:eastAsia="方正仿宋_GBK" w:cs="Times New Roman"/>
          <w:sz w:val="32"/>
          <w:szCs w:val="32"/>
          <w:lang w:val="en-US" w:eastAsia="zh-CN" w:bidi="ar-SA"/>
        </w:rPr>
      </w:pPr>
      <w:r>
        <w:rPr>
          <w:rStyle w:val="13"/>
          <w:rFonts w:hint="default" w:ascii="Times New Roman" w:hAnsi="Times New Roman" w:eastAsia="方正仿宋_GBK" w:cs="Times New Roman"/>
          <w:sz w:val="32"/>
          <w:szCs w:val="32"/>
          <w:shd w:val="clear" w:color="auto" w:fill="FFFFFF"/>
          <w:lang w:val="en-US" w:eastAsia="zh-CN" w:bidi="ar-SA"/>
        </w:rPr>
        <w:t>2.支出情况。</w:t>
      </w:r>
      <w:r>
        <w:rPr>
          <w:rFonts w:hint="default" w:ascii="Times New Roman" w:hAnsi="Times New Roman" w:eastAsia="方正仿宋_GBK" w:cs="Times New Roman"/>
          <w:sz w:val="32"/>
          <w:szCs w:val="32"/>
          <w:shd w:val="clear" w:color="auto" w:fill="FFFFFF"/>
          <w:lang w:val="en-US" w:eastAsia="zh-CN" w:bidi="ar-SA"/>
        </w:rPr>
        <w:t>2024年度一般公共预算财政拨款支出</w:t>
      </w:r>
      <w:r>
        <w:rPr>
          <w:rFonts w:hint="default" w:ascii="Times New Roman" w:hAnsi="Times New Roman" w:eastAsia="方正仿宋_GBK" w:cs="Times New Roman"/>
          <w:sz w:val="32"/>
          <w:szCs w:val="32"/>
          <w:lang w:val="en-US" w:eastAsia="zh-CN" w:bidi="ar-SA"/>
        </w:rPr>
        <w:t>296.28</w:t>
      </w:r>
      <w:r>
        <w:rPr>
          <w:rFonts w:hint="default" w:ascii="Times New Roman" w:hAnsi="Times New Roman" w:eastAsia="方正仿宋_GBK" w:cs="Times New Roman"/>
          <w:sz w:val="32"/>
          <w:szCs w:val="32"/>
          <w:shd w:val="clear" w:color="auto" w:fill="FFFFFF"/>
          <w:lang w:val="en-US" w:eastAsia="zh-CN" w:bidi="ar-SA"/>
        </w:rPr>
        <w:t>万元，较上年决算数增加49.63万元，增长20.12%。主要原因是单位新增4人。较年初预算数增加45.63万元，增长18.20%。主要原因是单位新增4人。</w:t>
      </w:r>
    </w:p>
    <w:p w14:paraId="495ED1E5">
      <w:pPr>
        <w:keepNext w:val="0"/>
        <w:keepLines w:val="0"/>
        <w:pageBreakBefore w:val="0"/>
        <w:widowControl/>
        <w:kinsoku/>
        <w:wordWrap/>
        <w:overflowPunct/>
        <w:topLinePunct w:val="0"/>
        <w:autoSpaceDN/>
        <w:bidi w:val="0"/>
        <w:adjustRightInd/>
        <w:snapToGrid w:val="0"/>
        <w:spacing w:beforeAutospacing="0" w:afterAutospacing="0" w:line="596" w:lineRule="exact"/>
        <w:ind w:firstLine="643" w:firstLineChars="200"/>
        <w:jc w:val="both"/>
        <w:textAlignment w:val="auto"/>
        <w:rPr>
          <w:rFonts w:hint="default" w:ascii="Times New Roman" w:hAnsi="Times New Roman" w:eastAsia="方正仿宋_GBK" w:cs="Times New Roman"/>
          <w:sz w:val="32"/>
          <w:szCs w:val="32"/>
          <w:lang w:val="en-US" w:eastAsia="zh-CN" w:bidi="ar-SA"/>
        </w:rPr>
      </w:pPr>
      <w:r>
        <w:rPr>
          <w:rStyle w:val="13"/>
          <w:rFonts w:hint="default" w:ascii="Times New Roman" w:hAnsi="Times New Roman" w:eastAsia="方正仿宋_GBK" w:cs="Times New Roman"/>
          <w:sz w:val="32"/>
          <w:szCs w:val="32"/>
          <w:shd w:val="clear" w:color="auto" w:fill="FFFFFF"/>
          <w:lang w:val="en-US" w:eastAsia="zh-CN" w:bidi="ar-SA"/>
        </w:rPr>
        <w:t>3.结转结余情况。</w:t>
      </w:r>
      <w:r>
        <w:rPr>
          <w:rFonts w:hint="default" w:ascii="Times New Roman" w:hAnsi="Times New Roman" w:eastAsia="方正仿宋_GBK" w:cs="Times New Roman"/>
          <w:sz w:val="32"/>
          <w:szCs w:val="32"/>
          <w:shd w:val="clear" w:color="auto" w:fill="FFFFFF"/>
          <w:lang w:val="en-US" w:eastAsia="zh-CN" w:bidi="ar-SA"/>
        </w:rPr>
        <w:t>2024年度年末一般公共预算财政拨款结转和结余</w:t>
      </w:r>
      <w:r>
        <w:rPr>
          <w:rFonts w:hint="default" w:ascii="Times New Roman" w:hAnsi="Times New Roman" w:eastAsia="方正仿宋_GBK" w:cs="Times New Roman"/>
          <w:sz w:val="32"/>
          <w:szCs w:val="32"/>
          <w:lang w:val="en-US" w:eastAsia="zh-CN" w:bidi="ar-SA"/>
        </w:rPr>
        <w:t>0.00</w:t>
      </w:r>
      <w:r>
        <w:rPr>
          <w:rFonts w:hint="default" w:ascii="Times New Roman" w:hAnsi="Times New Roman" w:eastAsia="方正仿宋_GBK" w:cs="Times New Roman"/>
          <w:sz w:val="32"/>
          <w:szCs w:val="32"/>
          <w:shd w:val="clear" w:color="auto" w:fill="FFFFFF"/>
          <w:lang w:val="en-US" w:eastAsia="zh-CN" w:bidi="ar-SA"/>
        </w:rPr>
        <w:t>万元，较上年决算数无增减。</w:t>
      </w:r>
    </w:p>
    <w:p w14:paraId="6C618009">
      <w:pPr>
        <w:keepNext w:val="0"/>
        <w:keepLines w:val="0"/>
        <w:pageBreakBefore w:val="0"/>
        <w:widowControl/>
        <w:kinsoku/>
        <w:wordWrap/>
        <w:overflowPunct/>
        <w:topLinePunct w:val="0"/>
        <w:autoSpaceDN/>
        <w:bidi w:val="0"/>
        <w:adjustRightInd/>
        <w:snapToGrid w:val="0"/>
        <w:spacing w:beforeAutospacing="0" w:afterAutospacing="0" w:line="596" w:lineRule="exact"/>
        <w:ind w:firstLine="643" w:firstLineChars="200"/>
        <w:jc w:val="both"/>
        <w:textAlignment w:val="auto"/>
        <w:rPr>
          <w:rFonts w:hint="default" w:ascii="Times New Roman" w:hAnsi="Times New Roman" w:eastAsia="方正仿宋_GBK" w:cs="Times New Roman"/>
          <w:color w:val="FF0000"/>
          <w:sz w:val="32"/>
          <w:szCs w:val="32"/>
          <w:highlight w:val="cyan"/>
          <w:shd w:val="clear" w:color="auto" w:fill="FFFFFF"/>
          <w:lang w:val="en-US" w:eastAsia="zh-CN" w:bidi="ar-SA"/>
        </w:rPr>
      </w:pPr>
      <w:r>
        <w:rPr>
          <w:rStyle w:val="13"/>
          <w:rFonts w:hint="default" w:ascii="Times New Roman" w:hAnsi="Times New Roman" w:eastAsia="方正仿宋_GBK" w:cs="Times New Roman"/>
          <w:sz w:val="32"/>
          <w:szCs w:val="32"/>
          <w:shd w:val="clear" w:color="auto" w:fill="FFFFFF"/>
          <w:lang w:val="en-US" w:eastAsia="zh-CN" w:bidi="ar-SA"/>
        </w:rPr>
        <w:t>4.比较情况。</w:t>
      </w:r>
      <w:r>
        <w:rPr>
          <w:rFonts w:hint="default" w:ascii="Times New Roman" w:hAnsi="Times New Roman" w:eastAsia="方正仿宋_GBK" w:cs="Times New Roman"/>
          <w:sz w:val="32"/>
          <w:szCs w:val="32"/>
          <w:shd w:val="clear" w:color="auto" w:fill="FFFFFF"/>
          <w:lang w:val="en-US" w:eastAsia="zh-CN" w:bidi="ar-SA"/>
        </w:rPr>
        <w:t>本单位2024年度一般公共预算财政拨款支出主要用于以下几个方面：</w:t>
      </w:r>
    </w:p>
    <w:p w14:paraId="59399E9A">
      <w:pPr>
        <w:keepNext w:val="0"/>
        <w:keepLines w:val="0"/>
        <w:pageBreakBefore w:val="0"/>
        <w:widowControl/>
        <w:kinsoku/>
        <w:wordWrap/>
        <w:overflowPunct/>
        <w:topLinePunct w:val="0"/>
        <w:autoSpaceDN/>
        <w:bidi w:val="0"/>
        <w:adjustRightInd/>
        <w:snapToGrid w:val="0"/>
        <w:spacing w:beforeAutospacing="0" w:afterAutospacing="0" w:line="596" w:lineRule="exact"/>
        <w:ind w:firstLine="640" w:firstLineChars="200"/>
        <w:jc w:val="both"/>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shd w:val="clear" w:color="auto" w:fill="FFFFFF"/>
          <w:lang w:val="en-US" w:eastAsia="zh-CN" w:bidi="ar-SA"/>
        </w:rPr>
        <w:t>（1）文化旅游体育与传媒支出</w:t>
      </w:r>
      <w:r>
        <w:rPr>
          <w:rFonts w:hint="default" w:ascii="Times New Roman" w:hAnsi="Times New Roman" w:eastAsia="方正仿宋_GBK" w:cs="Times New Roman"/>
          <w:sz w:val="32"/>
          <w:szCs w:val="32"/>
          <w:lang w:val="en-US" w:eastAsia="zh-CN" w:bidi="ar-SA"/>
        </w:rPr>
        <w:t>232.65</w:t>
      </w:r>
      <w:r>
        <w:rPr>
          <w:rFonts w:hint="default" w:ascii="Times New Roman" w:hAnsi="Times New Roman" w:eastAsia="方正仿宋_GBK" w:cs="Times New Roman"/>
          <w:sz w:val="32"/>
          <w:szCs w:val="32"/>
          <w:shd w:val="clear" w:color="auto" w:fill="FFFFFF"/>
          <w:lang w:val="en-US" w:eastAsia="zh-CN" w:bidi="ar-SA"/>
        </w:rPr>
        <w:t>万元，占</w:t>
      </w:r>
      <w:r>
        <w:rPr>
          <w:rFonts w:hint="default" w:ascii="Times New Roman" w:hAnsi="Times New Roman" w:eastAsia="方正仿宋_GBK" w:cs="Times New Roman"/>
          <w:sz w:val="32"/>
          <w:szCs w:val="32"/>
          <w:lang w:val="en-US" w:eastAsia="zh-CN" w:bidi="ar-SA"/>
        </w:rPr>
        <w:t>78.52</w:t>
      </w:r>
      <w:r>
        <w:rPr>
          <w:rFonts w:hint="default" w:ascii="Times New Roman" w:hAnsi="Times New Roman" w:eastAsia="方正仿宋_GBK" w:cs="Times New Roman"/>
          <w:sz w:val="32"/>
          <w:szCs w:val="32"/>
          <w:shd w:val="clear" w:color="auto" w:fill="FFFFFF"/>
          <w:lang w:val="en-US" w:eastAsia="zh-CN" w:bidi="ar-SA"/>
        </w:rPr>
        <w:t>%，较年初预算数增加28.73万元，增长14.09%，主要原因是单位新增4人。</w:t>
      </w:r>
    </w:p>
    <w:p w14:paraId="3CA9F9AD">
      <w:pPr>
        <w:keepNext w:val="0"/>
        <w:keepLines w:val="0"/>
        <w:pageBreakBefore w:val="0"/>
        <w:widowControl/>
        <w:kinsoku/>
        <w:wordWrap/>
        <w:overflowPunct/>
        <w:topLinePunct w:val="0"/>
        <w:autoSpaceDN/>
        <w:bidi w:val="0"/>
        <w:adjustRightInd/>
        <w:snapToGrid w:val="0"/>
        <w:spacing w:beforeAutospacing="0" w:afterAutospacing="0" w:line="596" w:lineRule="exact"/>
        <w:ind w:firstLine="640" w:firstLineChars="200"/>
        <w:jc w:val="both"/>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shd w:val="clear" w:color="auto" w:fill="FFFFFF"/>
          <w:lang w:val="en-US" w:eastAsia="zh-CN" w:bidi="ar-SA"/>
        </w:rPr>
        <w:t>（2）社会保障与就业支出</w:t>
      </w:r>
      <w:r>
        <w:rPr>
          <w:rFonts w:hint="default" w:ascii="Times New Roman" w:hAnsi="Times New Roman" w:eastAsia="方正仿宋_GBK" w:cs="Times New Roman"/>
          <w:sz w:val="32"/>
          <w:szCs w:val="32"/>
          <w:lang w:val="en-US" w:eastAsia="zh-CN" w:bidi="ar-SA"/>
        </w:rPr>
        <w:t>38.86</w:t>
      </w:r>
      <w:r>
        <w:rPr>
          <w:rFonts w:hint="default" w:ascii="Times New Roman" w:hAnsi="Times New Roman" w:eastAsia="方正仿宋_GBK" w:cs="Times New Roman"/>
          <w:sz w:val="32"/>
          <w:szCs w:val="32"/>
          <w:shd w:val="clear" w:color="auto" w:fill="FFFFFF"/>
          <w:lang w:val="en-US" w:eastAsia="zh-CN" w:bidi="ar-SA"/>
        </w:rPr>
        <w:t>万元，占</w:t>
      </w:r>
      <w:r>
        <w:rPr>
          <w:rFonts w:hint="default" w:ascii="Times New Roman" w:hAnsi="Times New Roman" w:eastAsia="方正仿宋_GBK" w:cs="Times New Roman"/>
          <w:sz w:val="32"/>
          <w:szCs w:val="32"/>
          <w:lang w:val="en-US" w:eastAsia="zh-CN" w:bidi="ar-SA"/>
        </w:rPr>
        <w:t>13.12</w:t>
      </w:r>
      <w:r>
        <w:rPr>
          <w:rFonts w:hint="default" w:ascii="Times New Roman" w:hAnsi="Times New Roman" w:eastAsia="方正仿宋_GBK" w:cs="Times New Roman"/>
          <w:sz w:val="32"/>
          <w:szCs w:val="32"/>
          <w:shd w:val="clear" w:color="auto" w:fill="FFFFFF"/>
          <w:lang w:val="en-US" w:eastAsia="zh-CN" w:bidi="ar-SA"/>
        </w:rPr>
        <w:t>%，较年初预算数增加14.74万元，增长61.11%，主要原因是单位补缴2024年社保经费。</w:t>
      </w:r>
    </w:p>
    <w:p w14:paraId="02DEE3E7">
      <w:pPr>
        <w:keepNext w:val="0"/>
        <w:keepLines w:val="0"/>
        <w:pageBreakBefore w:val="0"/>
        <w:widowControl/>
        <w:kinsoku/>
        <w:wordWrap/>
        <w:overflowPunct/>
        <w:topLinePunct w:val="0"/>
        <w:autoSpaceDN/>
        <w:bidi w:val="0"/>
        <w:adjustRightInd/>
        <w:snapToGrid w:val="0"/>
        <w:spacing w:beforeAutospacing="0" w:afterAutospacing="0" w:line="596" w:lineRule="exact"/>
        <w:ind w:firstLine="640" w:firstLineChars="200"/>
        <w:jc w:val="both"/>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shd w:val="clear" w:color="auto" w:fill="FFFFFF"/>
          <w:lang w:val="en-US" w:eastAsia="zh-CN" w:bidi="ar-SA"/>
        </w:rPr>
        <w:t>（3）卫生健康支出</w:t>
      </w:r>
      <w:r>
        <w:rPr>
          <w:rFonts w:hint="default" w:ascii="Times New Roman" w:hAnsi="Times New Roman" w:eastAsia="方正仿宋_GBK" w:cs="Times New Roman"/>
          <w:sz w:val="32"/>
          <w:szCs w:val="32"/>
          <w:lang w:val="en-US" w:eastAsia="zh-CN" w:bidi="ar-SA"/>
        </w:rPr>
        <w:t>12.58</w:t>
      </w:r>
      <w:r>
        <w:rPr>
          <w:rFonts w:hint="default" w:ascii="Times New Roman" w:hAnsi="Times New Roman" w:eastAsia="方正仿宋_GBK" w:cs="Times New Roman"/>
          <w:sz w:val="32"/>
          <w:szCs w:val="32"/>
          <w:shd w:val="clear" w:color="auto" w:fill="FFFFFF"/>
          <w:lang w:val="en-US" w:eastAsia="zh-CN" w:bidi="ar-SA"/>
        </w:rPr>
        <w:t>万元，占</w:t>
      </w:r>
      <w:r>
        <w:rPr>
          <w:rFonts w:hint="default" w:ascii="Times New Roman" w:hAnsi="Times New Roman" w:eastAsia="方正仿宋_GBK" w:cs="Times New Roman"/>
          <w:sz w:val="32"/>
          <w:szCs w:val="32"/>
          <w:lang w:val="en-US" w:eastAsia="zh-CN" w:bidi="ar-SA"/>
        </w:rPr>
        <w:t>4.25</w:t>
      </w:r>
      <w:r>
        <w:rPr>
          <w:rFonts w:hint="default" w:ascii="Times New Roman" w:hAnsi="Times New Roman" w:eastAsia="方正仿宋_GBK" w:cs="Times New Roman"/>
          <w:sz w:val="32"/>
          <w:szCs w:val="32"/>
          <w:shd w:val="clear" w:color="auto" w:fill="FFFFFF"/>
          <w:lang w:val="en-US" w:eastAsia="zh-CN" w:bidi="ar-SA"/>
        </w:rPr>
        <w:t>%，较年初预算数增加1万元，增长8.64%，主要原因是单位新增4人医保缴费。</w:t>
      </w:r>
    </w:p>
    <w:p w14:paraId="486833A0">
      <w:pPr>
        <w:keepNext w:val="0"/>
        <w:keepLines w:val="0"/>
        <w:pageBreakBefore w:val="0"/>
        <w:widowControl/>
        <w:kinsoku/>
        <w:wordWrap/>
        <w:overflowPunct/>
        <w:topLinePunct w:val="0"/>
        <w:autoSpaceDN/>
        <w:bidi w:val="0"/>
        <w:adjustRightInd/>
        <w:spacing w:beforeAutospacing="0" w:afterAutospacing="0" w:line="596"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（4）</w:t>
      </w:r>
      <w:r>
        <w:rPr>
          <w:rFonts w:hint="default" w:ascii="Times New Roman" w:hAnsi="Times New Roman" w:eastAsia="方正仿宋_GBK" w:cs="Times New Roman"/>
          <w:sz w:val="32"/>
          <w:szCs w:val="32"/>
        </w:rPr>
        <w:t>住房保障支出</w:t>
      </w:r>
      <w:r>
        <w:rPr>
          <w:rFonts w:hint="default" w:ascii="Times New Roman" w:hAnsi="Times New Roman" w:eastAsia="方正仿宋_GBK" w:cs="Times New Roman"/>
          <w:sz w:val="32"/>
          <w:szCs w:val="32"/>
          <w:lang w:val="en-US" w:eastAsia="zh-CN"/>
        </w:rPr>
        <w:t>12.19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shd w:val="clear" w:color="auto" w:fill="FFFFFF"/>
        </w:rPr>
        <w:t>%，较年初预算数</w:t>
      </w:r>
      <w:r>
        <w:rPr>
          <w:rFonts w:hint="default" w:ascii="Times New Roman" w:hAnsi="Times New Roman" w:eastAsia="方正仿宋_GBK" w:cs="Times New Roman"/>
          <w:sz w:val="32"/>
          <w:szCs w:val="32"/>
          <w:shd w:val="clear" w:color="auto" w:fill="FFFFFF"/>
          <w:lang w:val="en-US" w:eastAsia="zh-CN"/>
        </w:rPr>
        <w:t>增加1.16</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val="en-US" w:eastAsia="zh-CN"/>
        </w:rPr>
        <w:t>增长10.52</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单位新增4人公积金缴费</w:t>
      </w:r>
      <w:r>
        <w:rPr>
          <w:rFonts w:hint="default" w:ascii="Times New Roman" w:hAnsi="Times New Roman" w:eastAsia="方正仿宋_GBK" w:cs="Times New Roman"/>
          <w:sz w:val="32"/>
          <w:szCs w:val="32"/>
          <w:shd w:val="clear" w:color="auto" w:fill="FFFFFF"/>
        </w:rPr>
        <w:t>。</w:t>
      </w:r>
    </w:p>
    <w:p w14:paraId="1524337D">
      <w:pPr>
        <w:keepNext w:val="0"/>
        <w:keepLines w:val="0"/>
        <w:pageBreakBefore w:val="0"/>
        <w:widowControl/>
        <w:kinsoku/>
        <w:wordWrap/>
        <w:overflowPunct/>
        <w:topLinePunct w:val="0"/>
        <w:autoSpaceDE w:val="0"/>
        <w:autoSpaceDN/>
        <w:bidi w:val="0"/>
        <w:adjustRightInd/>
        <w:spacing w:beforeAutospacing="0" w:afterAutospacing="0" w:line="596" w:lineRule="exact"/>
        <w:ind w:firstLine="643" w:firstLineChars="200"/>
        <w:textAlignment w:val="auto"/>
        <w:rPr>
          <w:rFonts w:hint="default" w:ascii="Times New Roman" w:hAnsi="Times New Roman" w:eastAsia="楷体" w:cs="Times New Roman"/>
          <w:b/>
          <w:bCs/>
          <w:sz w:val="32"/>
          <w:szCs w:val="32"/>
          <w:shd w:val="clear" w:color="auto" w:fill="FFFFFF"/>
          <w:lang w:val="en-US" w:eastAsia="zh-CN" w:bidi="ar-SA"/>
        </w:rPr>
      </w:pPr>
      <w:r>
        <w:rPr>
          <w:rFonts w:hint="default" w:ascii="Times New Roman" w:hAnsi="Times New Roman" w:eastAsia="楷体" w:cs="Times New Roman"/>
          <w:b/>
          <w:bCs/>
          <w:sz w:val="32"/>
          <w:szCs w:val="32"/>
          <w:shd w:val="clear" w:color="auto" w:fill="FFFFFF"/>
          <w:lang w:val="en-US" w:eastAsia="zh-CN" w:bidi="ar-SA"/>
        </w:rPr>
        <w:t>（四）一般公共预算财政拨款基本支出决算情况说明</w:t>
      </w:r>
    </w:p>
    <w:p w14:paraId="12FE56FA">
      <w:pPr>
        <w:keepNext w:val="0"/>
        <w:keepLines w:val="0"/>
        <w:pageBreakBefore w:val="0"/>
        <w:widowControl/>
        <w:kinsoku/>
        <w:wordWrap/>
        <w:overflowPunct/>
        <w:topLinePunct w:val="0"/>
        <w:autoSpaceDN/>
        <w:bidi w:val="0"/>
        <w:adjustRightInd/>
        <w:snapToGrid w:val="0"/>
        <w:spacing w:beforeAutospacing="0" w:afterAutospacing="0" w:line="596" w:lineRule="exact"/>
        <w:ind w:firstLine="640" w:firstLineChars="200"/>
        <w:jc w:val="both"/>
        <w:textAlignment w:val="auto"/>
        <w:rPr>
          <w:rFonts w:hint="default" w:ascii="Times New Roman" w:hAnsi="Times New Roman" w:eastAsia="方正仿宋_GBK" w:cs="Times New Roman"/>
          <w:sz w:val="32"/>
          <w:szCs w:val="32"/>
          <w:lang w:val="en-US" w:eastAsia="zh-CN" w:bidi="ar-SA"/>
        </w:rPr>
      </w:pPr>
      <w:bookmarkStart w:id="0" w:name="_GoBack"/>
      <w:bookmarkEnd w:id="0"/>
      <w:r>
        <w:rPr>
          <w:rFonts w:hint="default" w:ascii="Times New Roman" w:hAnsi="Times New Roman" w:eastAsia="方正仿宋_GBK" w:cs="Times New Roman"/>
          <w:sz w:val="32"/>
          <w:szCs w:val="32"/>
          <w:shd w:val="clear" w:color="auto" w:fill="FFFFFF"/>
          <w:lang w:val="en-US" w:eastAsia="zh-CN" w:bidi="ar-SA"/>
        </w:rPr>
        <w:t>2024年度一般公共财政拨款基本支出</w:t>
      </w:r>
      <w:r>
        <w:rPr>
          <w:rFonts w:hint="default" w:ascii="Times New Roman" w:hAnsi="Times New Roman" w:eastAsia="方正仿宋_GBK" w:cs="Times New Roman"/>
          <w:sz w:val="32"/>
          <w:szCs w:val="32"/>
          <w:lang w:val="en-US" w:eastAsia="zh-CN" w:bidi="ar-SA"/>
        </w:rPr>
        <w:t>288.86</w:t>
      </w:r>
      <w:r>
        <w:rPr>
          <w:rFonts w:hint="default" w:ascii="Times New Roman" w:hAnsi="Times New Roman" w:eastAsia="方正仿宋_GBK" w:cs="Times New Roman"/>
          <w:sz w:val="32"/>
          <w:szCs w:val="32"/>
          <w:shd w:val="clear" w:color="auto" w:fill="FFFFFF"/>
          <w:lang w:val="en-US" w:eastAsia="zh-CN" w:bidi="ar-SA"/>
        </w:rPr>
        <w:t>万元。其中：人员经费</w:t>
      </w:r>
      <w:r>
        <w:rPr>
          <w:rFonts w:hint="default" w:ascii="Times New Roman" w:hAnsi="Times New Roman" w:eastAsia="方正仿宋_GBK" w:cs="Times New Roman"/>
          <w:sz w:val="32"/>
          <w:szCs w:val="32"/>
          <w:lang w:val="en-US" w:eastAsia="zh-CN" w:bidi="ar-SA"/>
        </w:rPr>
        <w:t>259.17</w:t>
      </w:r>
      <w:r>
        <w:rPr>
          <w:rFonts w:hint="default" w:ascii="Times New Roman" w:hAnsi="Times New Roman" w:eastAsia="方正仿宋_GBK" w:cs="Times New Roman"/>
          <w:sz w:val="32"/>
          <w:szCs w:val="32"/>
          <w:shd w:val="clear" w:color="auto" w:fill="FFFFFF"/>
          <w:lang w:val="en-US" w:eastAsia="zh-CN" w:bidi="ar-SA"/>
        </w:rPr>
        <w:t>万元，较上年决算数增加44.51万元，增长20.74%，主要原因是单位新增4人。人员经费用途主要包括</w:t>
      </w:r>
      <w:r>
        <w:rPr>
          <w:rFonts w:hint="default" w:ascii="Times New Roman" w:hAnsi="Times New Roman" w:eastAsia="方正仿宋_GBK" w:cs="Times New Roman"/>
          <w:sz w:val="32"/>
          <w:szCs w:val="32"/>
          <w:lang w:val="en-US" w:eastAsia="zh-CN" w:bidi="ar-SA"/>
        </w:rPr>
        <w:t>工资、社保、医保、公积金等</w:t>
      </w:r>
      <w:r>
        <w:rPr>
          <w:rFonts w:hint="default" w:ascii="Times New Roman" w:hAnsi="Times New Roman" w:eastAsia="方正仿宋_GBK" w:cs="Times New Roman"/>
          <w:sz w:val="32"/>
          <w:szCs w:val="32"/>
          <w:shd w:val="clear" w:color="auto" w:fill="FFFFFF"/>
          <w:lang w:val="en-US" w:eastAsia="zh-CN" w:bidi="ar-SA"/>
        </w:rPr>
        <w:t>。公用经费</w:t>
      </w:r>
      <w:r>
        <w:rPr>
          <w:rFonts w:hint="default" w:ascii="Times New Roman" w:hAnsi="Times New Roman" w:eastAsia="方正仿宋_GBK" w:cs="Times New Roman"/>
          <w:sz w:val="32"/>
          <w:szCs w:val="32"/>
          <w:lang w:val="en-US" w:eastAsia="zh-CN" w:bidi="ar-SA"/>
        </w:rPr>
        <w:t>29.68</w:t>
      </w:r>
      <w:r>
        <w:rPr>
          <w:rFonts w:hint="default" w:ascii="Times New Roman" w:hAnsi="Times New Roman" w:eastAsia="方正仿宋_GBK" w:cs="Times New Roman"/>
          <w:sz w:val="32"/>
          <w:szCs w:val="32"/>
          <w:shd w:val="clear" w:color="auto" w:fill="FFFFFF"/>
          <w:lang w:val="en-US" w:eastAsia="zh-CN" w:bidi="ar-SA"/>
        </w:rPr>
        <w:t>万元，较上年决算数减少2.31万元，减少7.22%，主要原因是单位厉行节俭，减少不必要的出差开支等。公用经费用途主要包括</w:t>
      </w:r>
      <w:r>
        <w:rPr>
          <w:rFonts w:hint="default" w:ascii="Times New Roman" w:hAnsi="Times New Roman" w:eastAsia="方正仿宋_GBK" w:cs="Times New Roman"/>
          <w:sz w:val="32"/>
          <w:szCs w:val="32"/>
          <w:lang w:val="en-US" w:eastAsia="zh-CN" w:bidi="ar-SA"/>
        </w:rPr>
        <w:t>办公费、差旅费、手续费等支出</w:t>
      </w:r>
      <w:r>
        <w:rPr>
          <w:rFonts w:hint="default" w:ascii="Times New Roman" w:hAnsi="Times New Roman" w:eastAsia="方正仿宋_GBK" w:cs="Times New Roman"/>
          <w:sz w:val="32"/>
          <w:szCs w:val="32"/>
          <w:shd w:val="clear" w:color="auto" w:fill="FFFFFF"/>
          <w:lang w:val="en-US" w:eastAsia="zh-CN" w:bidi="ar-SA"/>
        </w:rPr>
        <w:t>。</w:t>
      </w:r>
    </w:p>
    <w:p w14:paraId="714C18A1">
      <w:pPr>
        <w:keepNext w:val="0"/>
        <w:keepLines w:val="0"/>
        <w:pageBreakBefore w:val="0"/>
        <w:widowControl/>
        <w:kinsoku/>
        <w:wordWrap/>
        <w:overflowPunct/>
        <w:topLinePunct w:val="0"/>
        <w:autoSpaceDE w:val="0"/>
        <w:autoSpaceDN/>
        <w:bidi w:val="0"/>
        <w:adjustRightInd/>
        <w:spacing w:beforeAutospacing="0" w:afterAutospacing="0" w:line="596" w:lineRule="exact"/>
        <w:ind w:firstLine="643" w:firstLineChars="200"/>
        <w:textAlignment w:val="auto"/>
        <w:rPr>
          <w:rFonts w:hint="default" w:ascii="Times New Roman" w:hAnsi="Times New Roman" w:eastAsia="楷体" w:cs="Times New Roman"/>
          <w:b/>
          <w:bCs/>
          <w:sz w:val="32"/>
          <w:szCs w:val="32"/>
          <w:shd w:val="clear" w:color="auto" w:fill="FFFFFF"/>
          <w:lang w:val="en-US" w:eastAsia="zh-CN" w:bidi="ar-SA"/>
        </w:rPr>
      </w:pPr>
      <w:r>
        <w:rPr>
          <w:rFonts w:hint="default" w:ascii="Times New Roman" w:hAnsi="Times New Roman" w:eastAsia="楷体" w:cs="Times New Roman"/>
          <w:b/>
          <w:bCs/>
          <w:sz w:val="32"/>
          <w:szCs w:val="32"/>
          <w:shd w:val="clear" w:color="auto" w:fill="FFFFFF"/>
          <w:lang w:val="en-US" w:eastAsia="zh-CN" w:bidi="ar-SA"/>
        </w:rPr>
        <w:t>（五）政府性基金预算收支决算情况说明</w:t>
      </w:r>
    </w:p>
    <w:p w14:paraId="51F9A63A">
      <w:pPr>
        <w:keepNext w:val="0"/>
        <w:keepLines w:val="0"/>
        <w:pageBreakBefore w:val="0"/>
        <w:widowControl/>
        <w:kinsoku/>
        <w:wordWrap/>
        <w:overflowPunct/>
        <w:topLinePunct w:val="0"/>
        <w:autoSpaceDN/>
        <w:bidi w:val="0"/>
        <w:adjustRightInd/>
        <w:snapToGrid w:val="0"/>
        <w:spacing w:beforeAutospacing="0" w:afterAutospacing="0" w:line="596" w:lineRule="exact"/>
        <w:ind w:firstLine="640" w:firstLineChars="200"/>
        <w:jc w:val="both"/>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shd w:val="clear" w:color="auto" w:fill="FFFFFF"/>
          <w:lang w:val="en-US" w:eastAsia="zh-CN" w:bidi="ar-SA"/>
        </w:rPr>
        <w:t>本单位2024年度无政府性基金预算财政拨款收支。</w:t>
      </w:r>
    </w:p>
    <w:p w14:paraId="567D12BA">
      <w:pPr>
        <w:keepNext w:val="0"/>
        <w:keepLines w:val="0"/>
        <w:pageBreakBefore w:val="0"/>
        <w:widowControl/>
        <w:kinsoku/>
        <w:wordWrap/>
        <w:overflowPunct/>
        <w:topLinePunct w:val="0"/>
        <w:autoSpaceDE w:val="0"/>
        <w:autoSpaceDN/>
        <w:bidi w:val="0"/>
        <w:adjustRightInd/>
        <w:spacing w:beforeAutospacing="0" w:afterAutospacing="0" w:line="596" w:lineRule="exact"/>
        <w:ind w:firstLine="643" w:firstLineChars="200"/>
        <w:textAlignment w:val="auto"/>
        <w:rPr>
          <w:rFonts w:hint="default" w:ascii="Times New Roman" w:hAnsi="Times New Roman" w:eastAsia="楷体" w:cs="Times New Roman"/>
          <w:b/>
          <w:bCs/>
          <w:sz w:val="32"/>
          <w:szCs w:val="32"/>
          <w:shd w:val="clear" w:color="auto" w:fill="FFFFFF"/>
          <w:lang w:val="en-US" w:eastAsia="zh-CN" w:bidi="ar-SA"/>
        </w:rPr>
      </w:pPr>
      <w:r>
        <w:rPr>
          <w:rFonts w:hint="default" w:ascii="Times New Roman" w:hAnsi="Times New Roman" w:eastAsia="楷体" w:cs="Times New Roman"/>
          <w:b/>
          <w:bCs/>
          <w:sz w:val="32"/>
          <w:szCs w:val="32"/>
          <w:shd w:val="clear" w:color="auto" w:fill="FFFFFF"/>
          <w:lang w:val="en-US" w:eastAsia="zh-CN" w:bidi="ar-SA"/>
        </w:rPr>
        <w:t>（六）国有资本经营预算财政拨款支出决算情况说明</w:t>
      </w:r>
    </w:p>
    <w:p w14:paraId="354395E6">
      <w:pPr>
        <w:keepNext w:val="0"/>
        <w:keepLines w:val="0"/>
        <w:pageBreakBefore w:val="0"/>
        <w:widowControl/>
        <w:kinsoku/>
        <w:wordWrap/>
        <w:overflowPunct/>
        <w:topLinePunct w:val="0"/>
        <w:autoSpaceDN/>
        <w:bidi w:val="0"/>
        <w:adjustRightInd/>
        <w:snapToGrid w:val="0"/>
        <w:spacing w:beforeAutospacing="0" w:afterAutospacing="0" w:line="596" w:lineRule="exact"/>
        <w:ind w:firstLine="640" w:firstLineChars="200"/>
        <w:jc w:val="both"/>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shd w:val="clear" w:color="auto" w:fill="FFFFFF"/>
          <w:lang w:val="en-US" w:eastAsia="zh-CN" w:bidi="ar-SA"/>
        </w:rPr>
        <w:t>本单位2024年度无国有资本经营预算财政拨款支出。</w:t>
      </w:r>
    </w:p>
    <w:p w14:paraId="16E306B6">
      <w:pPr>
        <w:pStyle w:val="9"/>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Times New Roman" w:hAnsi="Times New Roman" w:eastAsia="黑体" w:cs="Times New Roman"/>
          <w:sz w:val="32"/>
          <w:szCs w:val="32"/>
          <w:shd w:val="clear" w:color="auto" w:fill="FFFFFF"/>
        </w:rPr>
      </w:pPr>
      <w:r>
        <w:rPr>
          <w:rStyle w:val="13"/>
          <w:rFonts w:hint="default" w:ascii="Times New Roman" w:hAnsi="Times New Roman" w:eastAsia="黑体" w:cs="Times New Roman"/>
          <w:sz w:val="32"/>
          <w:szCs w:val="32"/>
          <w:shd w:val="clear" w:color="auto" w:fill="FFFFFF"/>
        </w:rPr>
        <w:t>三、</w:t>
      </w:r>
      <w:r>
        <w:rPr>
          <w:rStyle w:val="13"/>
          <w:rFonts w:hint="default" w:ascii="Times New Roman" w:hAnsi="Times New Roman" w:eastAsia="黑体" w:cs="Times New Roman"/>
          <w:sz w:val="32"/>
          <w:szCs w:val="32"/>
          <w:shd w:val="clear" w:color="auto" w:fill="FFFFFF"/>
          <w:lang w:eastAsia="zh-CN"/>
        </w:rPr>
        <w:t>财政拨款</w:t>
      </w:r>
      <w:r>
        <w:rPr>
          <w:rStyle w:val="13"/>
          <w:rFonts w:hint="default" w:ascii="Times New Roman" w:hAnsi="Times New Roman" w:eastAsia="黑体" w:cs="Times New Roman"/>
          <w:sz w:val="32"/>
          <w:szCs w:val="32"/>
          <w:shd w:val="clear" w:color="auto" w:fill="FFFFFF"/>
        </w:rPr>
        <w:t>“三公”经费情况说明</w:t>
      </w:r>
    </w:p>
    <w:p w14:paraId="68C0D89C">
      <w:pPr>
        <w:keepNext w:val="0"/>
        <w:keepLines w:val="0"/>
        <w:pageBreakBefore w:val="0"/>
        <w:widowControl/>
        <w:kinsoku/>
        <w:wordWrap/>
        <w:overflowPunct/>
        <w:topLinePunct w:val="0"/>
        <w:autoSpaceDE w:val="0"/>
        <w:autoSpaceDN/>
        <w:bidi w:val="0"/>
        <w:adjustRightInd/>
        <w:spacing w:beforeAutospacing="0" w:afterAutospacing="0" w:line="596" w:lineRule="exact"/>
        <w:ind w:firstLine="643" w:firstLineChars="200"/>
        <w:textAlignment w:val="auto"/>
        <w:rPr>
          <w:rFonts w:hint="default" w:ascii="Times New Roman" w:hAnsi="Times New Roman" w:eastAsia="楷体" w:cs="Times New Roman"/>
          <w:b/>
          <w:bCs/>
          <w:sz w:val="32"/>
          <w:szCs w:val="32"/>
          <w:shd w:val="clear" w:color="auto" w:fill="FFFFFF"/>
          <w:lang w:val="en-US" w:eastAsia="zh-CN" w:bidi="ar-SA"/>
        </w:rPr>
      </w:pPr>
      <w:r>
        <w:rPr>
          <w:rFonts w:hint="default" w:ascii="Times New Roman" w:hAnsi="Times New Roman" w:eastAsia="楷体" w:cs="Times New Roman"/>
          <w:b/>
          <w:bCs/>
          <w:sz w:val="32"/>
          <w:szCs w:val="32"/>
          <w:shd w:val="clear" w:color="auto" w:fill="FFFFFF"/>
          <w:lang w:val="en-US" w:eastAsia="zh-CN" w:bidi="ar-SA"/>
        </w:rPr>
        <w:t>（一）“三公”经费支出总体情况说明</w:t>
      </w:r>
    </w:p>
    <w:p w14:paraId="70AA3A68">
      <w:pPr>
        <w:keepNext w:val="0"/>
        <w:keepLines w:val="0"/>
        <w:pageBreakBefore w:val="0"/>
        <w:widowControl/>
        <w:kinsoku/>
        <w:wordWrap/>
        <w:overflowPunct/>
        <w:topLinePunct w:val="0"/>
        <w:autoSpaceDN/>
        <w:bidi w:val="0"/>
        <w:adjustRightInd/>
        <w:snapToGrid w:val="0"/>
        <w:spacing w:beforeAutospacing="0" w:afterAutospacing="0" w:line="596" w:lineRule="exact"/>
        <w:ind w:firstLine="640" w:firstLineChars="200"/>
        <w:jc w:val="both"/>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shd w:val="clear" w:color="auto" w:fill="FFFFFF"/>
          <w:lang w:val="en-US" w:eastAsia="zh-CN" w:bidi="ar-SA"/>
        </w:rPr>
        <w:t>2024年度“三公”经费支出共计</w:t>
      </w:r>
      <w:r>
        <w:rPr>
          <w:rFonts w:hint="default" w:ascii="Times New Roman" w:hAnsi="Times New Roman" w:eastAsia="方正仿宋_GBK" w:cs="Times New Roman"/>
          <w:sz w:val="32"/>
          <w:szCs w:val="32"/>
          <w:lang w:val="en-US" w:eastAsia="zh-CN" w:bidi="ar-SA"/>
        </w:rPr>
        <w:t>0.00</w:t>
      </w:r>
      <w:r>
        <w:rPr>
          <w:rFonts w:hint="default" w:ascii="Times New Roman" w:hAnsi="Times New Roman" w:eastAsia="方正仿宋_GBK" w:cs="Times New Roman"/>
          <w:sz w:val="32"/>
          <w:szCs w:val="32"/>
          <w:shd w:val="clear" w:color="auto" w:fill="FFFFFF"/>
          <w:lang w:val="en-US" w:eastAsia="zh-CN" w:bidi="ar-SA"/>
        </w:rPr>
        <w:t>万元，较年初预算数无增减，主要原因是我单位属于同机关合署办公的下属事业单位，本单位本年无“三公”经费支出。</w:t>
      </w:r>
    </w:p>
    <w:p w14:paraId="6E445883">
      <w:pPr>
        <w:keepNext w:val="0"/>
        <w:keepLines w:val="0"/>
        <w:pageBreakBefore w:val="0"/>
        <w:widowControl/>
        <w:kinsoku/>
        <w:wordWrap/>
        <w:overflowPunct/>
        <w:topLinePunct w:val="0"/>
        <w:autoSpaceDE w:val="0"/>
        <w:autoSpaceDN/>
        <w:bidi w:val="0"/>
        <w:adjustRightInd/>
        <w:spacing w:beforeAutospacing="0" w:afterAutospacing="0" w:line="596" w:lineRule="exact"/>
        <w:ind w:firstLine="643" w:firstLineChars="200"/>
        <w:textAlignment w:val="auto"/>
        <w:rPr>
          <w:rFonts w:hint="default" w:ascii="Times New Roman" w:hAnsi="Times New Roman" w:eastAsia="楷体" w:cs="Times New Roman"/>
          <w:b/>
          <w:bCs/>
          <w:sz w:val="32"/>
          <w:szCs w:val="32"/>
          <w:shd w:val="clear" w:color="auto" w:fill="FFFFFF"/>
          <w:lang w:val="en-US" w:eastAsia="zh-CN" w:bidi="ar-SA"/>
        </w:rPr>
      </w:pPr>
      <w:r>
        <w:rPr>
          <w:rFonts w:hint="default" w:ascii="Times New Roman" w:hAnsi="Times New Roman" w:eastAsia="楷体" w:cs="Times New Roman"/>
          <w:b/>
          <w:bCs/>
          <w:sz w:val="32"/>
          <w:szCs w:val="32"/>
          <w:shd w:val="clear" w:color="auto" w:fill="FFFFFF"/>
          <w:lang w:val="en-US" w:eastAsia="zh-CN" w:bidi="ar-SA"/>
        </w:rPr>
        <w:t>（二）“三公”经费分项支出情况</w:t>
      </w:r>
    </w:p>
    <w:p w14:paraId="4C782DD7">
      <w:pPr>
        <w:keepNext w:val="0"/>
        <w:keepLines w:val="0"/>
        <w:pageBreakBefore w:val="0"/>
        <w:widowControl/>
        <w:kinsoku/>
        <w:wordWrap/>
        <w:overflowPunct/>
        <w:topLinePunct w:val="0"/>
        <w:autoSpaceDN/>
        <w:bidi w:val="0"/>
        <w:adjustRightInd/>
        <w:snapToGrid w:val="0"/>
        <w:spacing w:beforeAutospacing="0" w:afterAutospacing="0" w:line="596" w:lineRule="exact"/>
        <w:ind w:firstLine="640" w:firstLineChars="200"/>
        <w:jc w:val="both"/>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shd w:val="clear" w:color="auto" w:fill="FFFFFF"/>
          <w:lang w:val="en-US" w:eastAsia="zh-CN" w:bidi="ar-SA"/>
        </w:rPr>
        <w:t>2024年度本单位因公出国（境）费用</w:t>
      </w:r>
      <w:r>
        <w:rPr>
          <w:rFonts w:hint="default" w:ascii="Times New Roman" w:hAnsi="Times New Roman" w:eastAsia="方正仿宋_GBK" w:cs="Times New Roman"/>
          <w:sz w:val="32"/>
          <w:szCs w:val="32"/>
          <w:lang w:val="en-US" w:eastAsia="zh-CN" w:bidi="ar-SA"/>
        </w:rPr>
        <w:t>0.00</w:t>
      </w:r>
      <w:r>
        <w:rPr>
          <w:rFonts w:hint="default" w:ascii="Times New Roman" w:hAnsi="Times New Roman" w:eastAsia="方正仿宋_GBK" w:cs="Times New Roman"/>
          <w:sz w:val="32"/>
          <w:szCs w:val="32"/>
          <w:shd w:val="clear" w:color="auto" w:fill="FFFFFF"/>
          <w:lang w:val="en-US" w:eastAsia="zh-CN" w:bidi="ar-SA"/>
        </w:rPr>
        <w:t>万元，公务车购置费</w:t>
      </w:r>
      <w:r>
        <w:rPr>
          <w:rFonts w:hint="default" w:ascii="Times New Roman" w:hAnsi="Times New Roman" w:eastAsia="方正仿宋_GBK" w:cs="Times New Roman"/>
          <w:sz w:val="32"/>
          <w:szCs w:val="32"/>
          <w:lang w:val="en-US" w:eastAsia="zh-CN" w:bidi="ar-SA"/>
        </w:rPr>
        <w:t>0.00</w:t>
      </w:r>
      <w:r>
        <w:rPr>
          <w:rFonts w:hint="default" w:ascii="Times New Roman" w:hAnsi="Times New Roman" w:eastAsia="方正仿宋_GBK" w:cs="Times New Roman"/>
          <w:sz w:val="32"/>
          <w:szCs w:val="32"/>
          <w:shd w:val="clear" w:color="auto" w:fill="FFFFFF"/>
          <w:lang w:val="en-US" w:eastAsia="zh-CN" w:bidi="ar-SA"/>
        </w:rPr>
        <w:t>万元，公务车运行维护费</w:t>
      </w:r>
      <w:r>
        <w:rPr>
          <w:rFonts w:hint="default" w:ascii="Times New Roman" w:hAnsi="Times New Roman" w:eastAsia="方正仿宋_GBK" w:cs="Times New Roman"/>
          <w:sz w:val="32"/>
          <w:szCs w:val="32"/>
          <w:lang w:val="en-US" w:eastAsia="zh-CN" w:bidi="ar-SA"/>
        </w:rPr>
        <w:t>0.00</w:t>
      </w:r>
      <w:r>
        <w:rPr>
          <w:rFonts w:hint="default" w:ascii="Times New Roman" w:hAnsi="Times New Roman" w:eastAsia="方正仿宋_GBK" w:cs="Times New Roman"/>
          <w:sz w:val="32"/>
          <w:szCs w:val="32"/>
          <w:shd w:val="clear" w:color="auto" w:fill="FFFFFF"/>
          <w:lang w:val="en-US" w:eastAsia="zh-CN" w:bidi="ar-SA"/>
        </w:rPr>
        <w:t>万元，公务接待费</w:t>
      </w:r>
      <w:r>
        <w:rPr>
          <w:rFonts w:hint="default" w:ascii="Times New Roman" w:hAnsi="Times New Roman" w:eastAsia="方正仿宋_GBK" w:cs="Times New Roman"/>
          <w:sz w:val="32"/>
          <w:szCs w:val="32"/>
          <w:lang w:val="en-US" w:eastAsia="zh-CN" w:bidi="ar-SA"/>
        </w:rPr>
        <w:t>0.00</w:t>
      </w:r>
      <w:r>
        <w:rPr>
          <w:rFonts w:hint="default" w:ascii="Times New Roman" w:hAnsi="Times New Roman" w:eastAsia="方正仿宋_GBK" w:cs="Times New Roman"/>
          <w:sz w:val="32"/>
          <w:szCs w:val="32"/>
          <w:shd w:val="clear" w:color="auto" w:fill="FFFFFF"/>
          <w:lang w:val="en-US" w:eastAsia="zh-CN" w:bidi="ar-SA"/>
        </w:rPr>
        <w:t>万元。</w:t>
      </w:r>
    </w:p>
    <w:p w14:paraId="6F0D464D">
      <w:pPr>
        <w:keepNext w:val="0"/>
        <w:keepLines w:val="0"/>
        <w:pageBreakBefore w:val="0"/>
        <w:widowControl/>
        <w:kinsoku/>
        <w:wordWrap/>
        <w:overflowPunct/>
        <w:topLinePunct w:val="0"/>
        <w:autoSpaceDE w:val="0"/>
        <w:autoSpaceDN/>
        <w:bidi w:val="0"/>
        <w:adjustRightInd/>
        <w:spacing w:beforeAutospacing="0" w:afterAutospacing="0" w:line="596" w:lineRule="exact"/>
        <w:ind w:firstLine="643" w:firstLineChars="200"/>
        <w:textAlignment w:val="auto"/>
        <w:rPr>
          <w:rFonts w:hint="default" w:ascii="Times New Roman" w:hAnsi="Times New Roman" w:eastAsia="楷体" w:cs="Times New Roman"/>
          <w:b/>
          <w:bCs/>
          <w:sz w:val="32"/>
          <w:szCs w:val="32"/>
          <w:shd w:val="clear" w:color="auto" w:fill="FFFFFF"/>
          <w:lang w:val="en-US" w:eastAsia="zh-CN" w:bidi="ar-SA"/>
        </w:rPr>
      </w:pPr>
      <w:r>
        <w:rPr>
          <w:rFonts w:hint="default" w:ascii="Times New Roman" w:hAnsi="Times New Roman" w:eastAsia="楷体" w:cs="Times New Roman"/>
          <w:b/>
          <w:bCs/>
          <w:sz w:val="32"/>
          <w:szCs w:val="32"/>
          <w:shd w:val="clear" w:color="auto" w:fill="FFFFFF"/>
          <w:lang w:val="en-US" w:eastAsia="zh-CN" w:bidi="ar-SA"/>
        </w:rPr>
        <w:t>（三）“三公”经费实物量情况</w:t>
      </w:r>
    </w:p>
    <w:p w14:paraId="3B20185C">
      <w:pPr>
        <w:keepNext w:val="0"/>
        <w:keepLines w:val="0"/>
        <w:pageBreakBefore w:val="0"/>
        <w:widowControl/>
        <w:kinsoku/>
        <w:wordWrap/>
        <w:overflowPunct/>
        <w:topLinePunct w:val="0"/>
        <w:autoSpaceDN/>
        <w:bidi w:val="0"/>
        <w:adjustRightInd/>
        <w:snapToGrid w:val="0"/>
        <w:spacing w:beforeAutospacing="0" w:afterAutospacing="0" w:line="596" w:lineRule="exact"/>
        <w:ind w:firstLine="640" w:firstLineChars="200"/>
        <w:jc w:val="both"/>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shd w:val="clear" w:color="auto" w:fill="FFFFFF"/>
          <w:lang w:val="en-US" w:eastAsia="zh-CN" w:bidi="ar-SA"/>
        </w:rPr>
        <w:t> 2024年度本单位因公出国（境）共计</w:t>
      </w:r>
      <w:r>
        <w:rPr>
          <w:rFonts w:hint="default" w:ascii="Times New Roman" w:hAnsi="Times New Roman" w:eastAsia="方正仿宋_GBK" w:cs="Times New Roman"/>
          <w:sz w:val="32"/>
          <w:szCs w:val="32"/>
          <w:lang w:val="en-US" w:eastAsia="zh-CN" w:bidi="ar-SA"/>
        </w:rPr>
        <w:t>0</w:t>
      </w:r>
      <w:r>
        <w:rPr>
          <w:rFonts w:hint="default" w:ascii="Times New Roman" w:hAnsi="Times New Roman" w:eastAsia="方正仿宋_GBK" w:cs="Times New Roman"/>
          <w:sz w:val="32"/>
          <w:szCs w:val="32"/>
          <w:shd w:val="clear" w:color="auto" w:fill="FFFFFF"/>
          <w:lang w:val="en-US" w:eastAsia="zh-CN" w:bidi="ar-SA"/>
        </w:rPr>
        <w:t>个团组，</w:t>
      </w:r>
      <w:r>
        <w:rPr>
          <w:rFonts w:hint="default" w:ascii="Times New Roman" w:hAnsi="Times New Roman" w:eastAsia="方正仿宋_GBK" w:cs="Times New Roman"/>
          <w:sz w:val="32"/>
          <w:szCs w:val="32"/>
          <w:lang w:val="en-US" w:eastAsia="zh-CN" w:bidi="ar-SA"/>
        </w:rPr>
        <w:t>0</w:t>
      </w:r>
      <w:r>
        <w:rPr>
          <w:rFonts w:hint="default" w:ascii="Times New Roman" w:hAnsi="Times New Roman" w:eastAsia="方正仿宋_GBK" w:cs="Times New Roman"/>
          <w:sz w:val="32"/>
          <w:szCs w:val="32"/>
          <w:shd w:val="clear" w:color="auto" w:fill="FFFFFF"/>
          <w:lang w:val="en-US" w:eastAsia="zh-CN" w:bidi="ar-SA"/>
        </w:rPr>
        <w:t>人；公务用车购置</w:t>
      </w:r>
      <w:r>
        <w:rPr>
          <w:rFonts w:hint="default" w:ascii="Times New Roman" w:hAnsi="Times New Roman" w:eastAsia="方正仿宋_GBK" w:cs="Times New Roman"/>
          <w:sz w:val="32"/>
          <w:szCs w:val="32"/>
          <w:lang w:val="en-US" w:eastAsia="zh-CN" w:bidi="ar-SA"/>
        </w:rPr>
        <w:t>0</w:t>
      </w:r>
      <w:r>
        <w:rPr>
          <w:rFonts w:hint="default" w:ascii="Times New Roman" w:hAnsi="Times New Roman" w:eastAsia="方正仿宋_GBK" w:cs="Times New Roman"/>
          <w:sz w:val="32"/>
          <w:szCs w:val="32"/>
          <w:shd w:val="clear" w:color="auto" w:fill="FFFFFF"/>
          <w:lang w:val="en-US" w:eastAsia="zh-CN" w:bidi="ar-SA"/>
        </w:rPr>
        <w:t>辆，公务车保有量为</w:t>
      </w:r>
      <w:r>
        <w:rPr>
          <w:rFonts w:hint="default" w:ascii="Times New Roman" w:hAnsi="Times New Roman" w:eastAsia="方正仿宋_GBK" w:cs="Times New Roman"/>
          <w:sz w:val="32"/>
          <w:szCs w:val="32"/>
          <w:lang w:val="en-US" w:eastAsia="zh-CN" w:bidi="ar-SA"/>
        </w:rPr>
        <w:t>0</w:t>
      </w:r>
      <w:r>
        <w:rPr>
          <w:rFonts w:hint="default" w:ascii="Times New Roman" w:hAnsi="Times New Roman" w:eastAsia="方正仿宋_GBK" w:cs="Times New Roman"/>
          <w:sz w:val="32"/>
          <w:szCs w:val="32"/>
          <w:shd w:val="clear" w:color="auto" w:fill="FFFFFF"/>
          <w:lang w:val="en-US" w:eastAsia="zh-CN" w:bidi="ar-SA"/>
        </w:rPr>
        <w:t>辆；国内公务接待</w:t>
      </w:r>
      <w:r>
        <w:rPr>
          <w:rFonts w:hint="default" w:ascii="Times New Roman" w:hAnsi="Times New Roman" w:eastAsia="方正仿宋_GBK" w:cs="Times New Roman"/>
          <w:sz w:val="32"/>
          <w:szCs w:val="32"/>
          <w:lang w:val="en-US" w:eastAsia="zh-CN" w:bidi="ar-SA"/>
        </w:rPr>
        <w:t>0</w:t>
      </w:r>
      <w:r>
        <w:rPr>
          <w:rFonts w:hint="default" w:ascii="Times New Roman" w:hAnsi="Times New Roman" w:eastAsia="方正仿宋_GBK" w:cs="Times New Roman"/>
          <w:sz w:val="32"/>
          <w:szCs w:val="32"/>
          <w:shd w:val="clear" w:color="auto" w:fill="FFFFFF"/>
          <w:lang w:val="en-US" w:eastAsia="zh-CN" w:bidi="ar-SA"/>
        </w:rPr>
        <w:t>批次</w:t>
      </w:r>
      <w:r>
        <w:rPr>
          <w:rFonts w:hint="default" w:ascii="Times New Roman" w:hAnsi="Times New Roman" w:eastAsia="方正仿宋_GBK" w:cs="Times New Roman"/>
          <w:sz w:val="32"/>
          <w:szCs w:val="32"/>
          <w:lang w:val="en-US" w:eastAsia="zh-CN" w:bidi="ar-SA"/>
        </w:rPr>
        <w:t>0</w:t>
      </w:r>
      <w:r>
        <w:rPr>
          <w:rFonts w:hint="default" w:ascii="Times New Roman" w:hAnsi="Times New Roman" w:eastAsia="方正仿宋_GBK" w:cs="Times New Roman"/>
          <w:sz w:val="32"/>
          <w:szCs w:val="32"/>
          <w:shd w:val="clear" w:color="auto" w:fill="FFFFFF"/>
          <w:lang w:val="en-US" w:eastAsia="zh-CN" w:bidi="ar-SA"/>
        </w:rPr>
        <w:t>人，其中：国内外事接待</w:t>
      </w:r>
      <w:r>
        <w:rPr>
          <w:rFonts w:hint="default" w:ascii="Times New Roman" w:hAnsi="Times New Roman" w:eastAsia="方正仿宋_GBK" w:cs="Times New Roman"/>
          <w:sz w:val="32"/>
          <w:szCs w:val="32"/>
          <w:lang w:val="en-US" w:eastAsia="zh-CN" w:bidi="ar-SA"/>
        </w:rPr>
        <w:t>0</w:t>
      </w:r>
      <w:r>
        <w:rPr>
          <w:rFonts w:hint="default" w:ascii="Times New Roman" w:hAnsi="Times New Roman" w:eastAsia="方正仿宋_GBK" w:cs="Times New Roman"/>
          <w:sz w:val="32"/>
          <w:szCs w:val="32"/>
          <w:shd w:val="clear" w:color="auto" w:fill="FFFFFF"/>
          <w:lang w:val="en-US" w:eastAsia="zh-CN" w:bidi="ar-SA"/>
        </w:rPr>
        <w:t>批次，</w:t>
      </w:r>
      <w:r>
        <w:rPr>
          <w:rFonts w:hint="default" w:ascii="Times New Roman" w:hAnsi="Times New Roman" w:eastAsia="方正仿宋_GBK" w:cs="Times New Roman"/>
          <w:sz w:val="32"/>
          <w:szCs w:val="32"/>
          <w:lang w:val="en-US" w:eastAsia="zh-CN" w:bidi="ar-SA"/>
        </w:rPr>
        <w:t>0</w:t>
      </w:r>
      <w:r>
        <w:rPr>
          <w:rFonts w:hint="default" w:ascii="Times New Roman" w:hAnsi="Times New Roman" w:eastAsia="方正仿宋_GBK" w:cs="Times New Roman"/>
          <w:sz w:val="32"/>
          <w:szCs w:val="32"/>
          <w:shd w:val="clear" w:color="auto" w:fill="FFFFFF"/>
          <w:lang w:val="en-US" w:eastAsia="zh-CN" w:bidi="ar-SA"/>
        </w:rPr>
        <w:t>人；国（境）外公务接待</w:t>
      </w:r>
      <w:r>
        <w:rPr>
          <w:rFonts w:hint="default" w:ascii="Times New Roman" w:hAnsi="Times New Roman" w:eastAsia="方正仿宋_GBK" w:cs="Times New Roman"/>
          <w:sz w:val="32"/>
          <w:szCs w:val="32"/>
          <w:lang w:val="en-US" w:eastAsia="zh-CN" w:bidi="ar-SA"/>
        </w:rPr>
        <w:t>0</w:t>
      </w:r>
      <w:r>
        <w:rPr>
          <w:rFonts w:hint="default" w:ascii="Times New Roman" w:hAnsi="Times New Roman" w:eastAsia="方正仿宋_GBK" w:cs="Times New Roman"/>
          <w:sz w:val="32"/>
          <w:szCs w:val="32"/>
          <w:shd w:val="clear" w:color="auto" w:fill="FFFFFF"/>
          <w:lang w:val="en-US" w:eastAsia="zh-CN" w:bidi="ar-SA"/>
        </w:rPr>
        <w:t>批次，</w:t>
      </w:r>
      <w:r>
        <w:rPr>
          <w:rFonts w:hint="default" w:ascii="Times New Roman" w:hAnsi="Times New Roman" w:eastAsia="方正仿宋_GBK" w:cs="Times New Roman"/>
          <w:sz w:val="32"/>
          <w:szCs w:val="32"/>
          <w:lang w:val="en-US" w:eastAsia="zh-CN" w:bidi="ar-SA"/>
        </w:rPr>
        <w:t>0</w:t>
      </w:r>
      <w:r>
        <w:rPr>
          <w:rFonts w:hint="default" w:ascii="Times New Roman" w:hAnsi="Times New Roman" w:eastAsia="方正仿宋_GBK" w:cs="Times New Roman"/>
          <w:sz w:val="32"/>
          <w:szCs w:val="32"/>
          <w:shd w:val="clear" w:color="auto" w:fill="FFFFFF"/>
          <w:lang w:val="en-US" w:eastAsia="zh-CN" w:bidi="ar-SA"/>
        </w:rPr>
        <w:t>人。2024年本单位人均接待费</w:t>
      </w:r>
      <w:r>
        <w:rPr>
          <w:rFonts w:hint="default" w:ascii="Times New Roman" w:hAnsi="Times New Roman" w:eastAsia="方正仿宋_GBK" w:cs="Times New Roman"/>
          <w:sz w:val="32"/>
          <w:szCs w:val="32"/>
          <w:lang w:val="en-US" w:eastAsia="zh-CN" w:bidi="ar-SA"/>
        </w:rPr>
        <w:t>0</w:t>
      </w:r>
      <w:r>
        <w:rPr>
          <w:rFonts w:hint="default" w:ascii="Times New Roman" w:hAnsi="Times New Roman" w:eastAsia="方正仿宋_GBK" w:cs="Times New Roman"/>
          <w:sz w:val="32"/>
          <w:szCs w:val="32"/>
          <w:shd w:val="clear" w:color="auto" w:fill="FFFFFF"/>
          <w:lang w:val="en-US" w:eastAsia="zh-CN" w:bidi="ar-SA"/>
        </w:rPr>
        <w:t>元，车均购置费</w:t>
      </w:r>
      <w:r>
        <w:rPr>
          <w:rFonts w:hint="default" w:ascii="Times New Roman" w:hAnsi="Times New Roman" w:eastAsia="方正仿宋_GBK" w:cs="Times New Roman"/>
          <w:sz w:val="32"/>
          <w:szCs w:val="32"/>
          <w:lang w:val="en-US" w:eastAsia="zh-CN" w:bidi="ar-SA"/>
        </w:rPr>
        <w:t>0</w:t>
      </w:r>
      <w:r>
        <w:rPr>
          <w:rFonts w:hint="default" w:ascii="Times New Roman" w:hAnsi="Times New Roman" w:eastAsia="方正仿宋_GBK" w:cs="Times New Roman"/>
          <w:sz w:val="32"/>
          <w:szCs w:val="32"/>
          <w:shd w:val="clear" w:color="auto" w:fill="FFFFFF"/>
          <w:lang w:val="en-US" w:eastAsia="zh-CN" w:bidi="ar-SA"/>
        </w:rPr>
        <w:t>万元，车均维护费</w:t>
      </w:r>
      <w:r>
        <w:rPr>
          <w:rFonts w:hint="default" w:ascii="Times New Roman" w:hAnsi="Times New Roman" w:eastAsia="方正仿宋_GBK" w:cs="Times New Roman"/>
          <w:sz w:val="32"/>
          <w:szCs w:val="32"/>
          <w:lang w:val="en-US" w:eastAsia="zh-CN" w:bidi="ar-SA"/>
        </w:rPr>
        <w:t>0</w:t>
      </w:r>
      <w:r>
        <w:rPr>
          <w:rFonts w:hint="default" w:ascii="Times New Roman" w:hAnsi="Times New Roman" w:eastAsia="方正仿宋_GBK" w:cs="Times New Roman"/>
          <w:sz w:val="32"/>
          <w:szCs w:val="32"/>
          <w:shd w:val="clear" w:color="auto" w:fill="FFFFFF"/>
          <w:lang w:val="en-US" w:eastAsia="zh-CN" w:bidi="ar-SA"/>
        </w:rPr>
        <w:t>万元。</w:t>
      </w:r>
    </w:p>
    <w:p w14:paraId="4CF214D1">
      <w:pPr>
        <w:pStyle w:val="9"/>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Times New Roman" w:hAnsi="Times New Roman" w:eastAsia="黑体" w:cs="Times New Roman"/>
          <w:sz w:val="32"/>
          <w:szCs w:val="32"/>
          <w:shd w:val="clear" w:color="auto" w:fill="FFFFFF"/>
        </w:rPr>
      </w:pPr>
      <w:r>
        <w:rPr>
          <w:rStyle w:val="13"/>
          <w:rFonts w:hint="default" w:ascii="Times New Roman" w:hAnsi="Times New Roman" w:eastAsia="黑体" w:cs="Times New Roman"/>
          <w:sz w:val="32"/>
          <w:szCs w:val="32"/>
          <w:shd w:val="clear" w:color="auto" w:fill="FFFFFF"/>
        </w:rPr>
        <w:t>四、其他需要说明的事项</w:t>
      </w:r>
    </w:p>
    <w:p w14:paraId="3AAC73E7">
      <w:pPr>
        <w:keepNext w:val="0"/>
        <w:keepLines w:val="0"/>
        <w:pageBreakBefore w:val="0"/>
        <w:widowControl/>
        <w:kinsoku/>
        <w:wordWrap/>
        <w:overflowPunct/>
        <w:topLinePunct w:val="0"/>
        <w:autoSpaceDE w:val="0"/>
        <w:autoSpaceDN/>
        <w:bidi w:val="0"/>
        <w:adjustRightInd/>
        <w:spacing w:beforeAutospacing="0" w:afterAutospacing="0" w:line="596" w:lineRule="exact"/>
        <w:ind w:firstLine="643" w:firstLineChars="200"/>
        <w:textAlignment w:val="auto"/>
        <w:rPr>
          <w:rFonts w:hint="default" w:ascii="Times New Roman" w:hAnsi="Times New Roman" w:eastAsia="楷体" w:cs="Times New Roman"/>
          <w:b/>
          <w:bCs/>
          <w:sz w:val="32"/>
          <w:szCs w:val="32"/>
          <w:shd w:val="clear" w:color="auto" w:fill="FFFFFF"/>
          <w:lang w:val="en-US" w:eastAsia="zh-CN" w:bidi="ar-SA"/>
        </w:rPr>
      </w:pPr>
      <w:r>
        <w:rPr>
          <w:rFonts w:hint="default" w:ascii="Times New Roman" w:hAnsi="Times New Roman" w:eastAsia="楷体" w:cs="Times New Roman"/>
          <w:b/>
          <w:bCs/>
          <w:sz w:val="32"/>
          <w:szCs w:val="32"/>
          <w:shd w:val="clear" w:color="auto" w:fill="FFFFFF"/>
          <w:lang w:val="en-US" w:eastAsia="zh-CN" w:bidi="ar-SA"/>
        </w:rPr>
        <w:t>（一）财政拨款会议费和培训费情况说明</w:t>
      </w:r>
    </w:p>
    <w:p w14:paraId="317C2F1A">
      <w:pPr>
        <w:keepNext w:val="0"/>
        <w:keepLines w:val="0"/>
        <w:pageBreakBefore w:val="0"/>
        <w:widowControl/>
        <w:kinsoku/>
        <w:wordWrap/>
        <w:overflowPunct/>
        <w:topLinePunct w:val="0"/>
        <w:autoSpaceDN/>
        <w:bidi w:val="0"/>
        <w:adjustRightInd/>
        <w:snapToGrid w:val="0"/>
        <w:spacing w:beforeAutospacing="0" w:afterAutospacing="0" w:line="596" w:lineRule="exact"/>
        <w:ind w:firstLine="640" w:firstLineChars="200"/>
        <w:jc w:val="both"/>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shd w:val="clear" w:color="auto" w:fill="FFFFFF"/>
          <w:lang w:val="en-US" w:eastAsia="zh-CN" w:bidi="ar-SA"/>
        </w:rPr>
        <w:t>本年度会议费支出0万元，主要原因是本年未开展会议，未使用财政资金保障会议费。本年度培训费支出0.39万元，与2023年度相比，增加0.37万元，增加1850%，主要原因是产生部分专技人员培训费。本年度差旅费支出9.59万元，与2023年度相比，减少3.74万元，下降28.1%，主</w:t>
      </w:r>
      <w:r>
        <w:rPr>
          <w:rFonts w:hint="default" w:ascii="Times New Roman" w:hAnsi="Times New Roman" w:eastAsia="方正仿宋_GBK" w:cs="Times New Roman"/>
          <w:sz w:val="32"/>
          <w:szCs w:val="32"/>
          <w:shd w:val="clear" w:color="auto" w:fill="FFFFFF"/>
        </w:rPr>
        <w:t>要原因是</w:t>
      </w:r>
      <w:r>
        <w:rPr>
          <w:rFonts w:hint="default" w:ascii="Times New Roman" w:hAnsi="Times New Roman" w:eastAsia="方正仿宋_GBK" w:cs="Times New Roman"/>
          <w:sz w:val="32"/>
          <w:szCs w:val="32"/>
          <w:shd w:val="clear" w:color="auto" w:fill="FFFFFF"/>
          <w:lang w:val="en-US" w:eastAsia="zh-CN" w:bidi="ar-SA"/>
        </w:rPr>
        <w:t>单位厉行节俭，减少不必要的出差开支。</w:t>
      </w:r>
    </w:p>
    <w:p w14:paraId="6C4515C0">
      <w:pPr>
        <w:keepNext w:val="0"/>
        <w:keepLines w:val="0"/>
        <w:pageBreakBefore w:val="0"/>
        <w:widowControl/>
        <w:kinsoku/>
        <w:wordWrap/>
        <w:overflowPunct/>
        <w:topLinePunct w:val="0"/>
        <w:autoSpaceDE w:val="0"/>
        <w:autoSpaceDN/>
        <w:bidi w:val="0"/>
        <w:adjustRightInd/>
        <w:spacing w:beforeAutospacing="0" w:afterAutospacing="0" w:line="596" w:lineRule="exact"/>
        <w:ind w:firstLine="643" w:firstLineChars="200"/>
        <w:textAlignment w:val="auto"/>
        <w:rPr>
          <w:rFonts w:hint="default" w:ascii="Times New Roman" w:hAnsi="Times New Roman" w:eastAsia="楷体" w:cs="Times New Roman"/>
          <w:b/>
          <w:bCs/>
          <w:sz w:val="32"/>
          <w:szCs w:val="32"/>
          <w:shd w:val="clear" w:color="auto" w:fill="FFFFFF"/>
          <w:lang w:val="en-US" w:eastAsia="zh-CN" w:bidi="ar-SA"/>
        </w:rPr>
      </w:pPr>
      <w:r>
        <w:rPr>
          <w:rFonts w:hint="default" w:ascii="Times New Roman" w:hAnsi="Times New Roman" w:eastAsia="楷体" w:cs="Times New Roman"/>
          <w:b/>
          <w:bCs/>
          <w:sz w:val="32"/>
          <w:szCs w:val="32"/>
          <w:shd w:val="clear" w:color="auto" w:fill="FFFFFF"/>
          <w:lang w:val="en-US" w:eastAsia="zh-CN" w:bidi="ar-SA"/>
        </w:rPr>
        <w:t>（二）机关运行经费情况说明</w:t>
      </w:r>
    </w:p>
    <w:p w14:paraId="40D54919">
      <w:pPr>
        <w:keepNext w:val="0"/>
        <w:keepLines w:val="0"/>
        <w:pageBreakBefore w:val="0"/>
        <w:widowControl/>
        <w:kinsoku/>
        <w:wordWrap/>
        <w:overflowPunct/>
        <w:topLinePunct w:val="0"/>
        <w:autoSpaceDN/>
        <w:bidi w:val="0"/>
        <w:adjustRightInd/>
        <w:snapToGrid w:val="0"/>
        <w:spacing w:beforeAutospacing="0" w:afterAutospacing="0" w:line="596" w:lineRule="exact"/>
        <w:ind w:firstLine="640" w:firstLineChars="200"/>
        <w:jc w:val="both"/>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shd w:val="clear" w:color="auto" w:fill="FFFFFF"/>
          <w:lang w:val="en-US" w:eastAsia="zh-CN" w:bidi="ar-SA"/>
        </w:rPr>
        <w:t>按照单位决算列报口径，我单位不在机关运行经费统计范围之内。</w:t>
      </w:r>
    </w:p>
    <w:p w14:paraId="30968215">
      <w:pPr>
        <w:keepNext w:val="0"/>
        <w:keepLines w:val="0"/>
        <w:pageBreakBefore w:val="0"/>
        <w:widowControl/>
        <w:kinsoku/>
        <w:wordWrap/>
        <w:overflowPunct/>
        <w:topLinePunct w:val="0"/>
        <w:autoSpaceDE w:val="0"/>
        <w:autoSpaceDN/>
        <w:bidi w:val="0"/>
        <w:adjustRightInd/>
        <w:spacing w:beforeAutospacing="0" w:afterAutospacing="0" w:line="596" w:lineRule="exact"/>
        <w:ind w:firstLine="643" w:firstLineChars="200"/>
        <w:textAlignment w:val="auto"/>
        <w:rPr>
          <w:rFonts w:hint="default" w:ascii="Times New Roman" w:hAnsi="Times New Roman" w:eastAsia="楷体" w:cs="Times New Roman"/>
          <w:b/>
          <w:bCs/>
          <w:sz w:val="32"/>
          <w:szCs w:val="32"/>
          <w:shd w:val="clear" w:color="auto" w:fill="FFFFFF"/>
          <w:lang w:val="en-US" w:eastAsia="zh-CN" w:bidi="ar-SA"/>
        </w:rPr>
      </w:pPr>
      <w:r>
        <w:rPr>
          <w:rFonts w:hint="default" w:ascii="Times New Roman" w:hAnsi="Times New Roman" w:eastAsia="楷体" w:cs="Times New Roman"/>
          <w:b/>
          <w:bCs/>
          <w:sz w:val="32"/>
          <w:szCs w:val="32"/>
          <w:shd w:val="clear" w:color="auto" w:fill="FFFFFF"/>
          <w:lang w:val="en-US" w:eastAsia="zh-CN" w:bidi="ar-SA"/>
        </w:rPr>
        <w:t>（三）国有资产占用情况说明</w:t>
      </w:r>
    </w:p>
    <w:p w14:paraId="3054F4F7">
      <w:pPr>
        <w:keepNext w:val="0"/>
        <w:keepLines w:val="0"/>
        <w:pageBreakBefore w:val="0"/>
        <w:widowControl/>
        <w:kinsoku/>
        <w:wordWrap/>
        <w:overflowPunct/>
        <w:topLinePunct w:val="0"/>
        <w:autoSpaceDN/>
        <w:bidi w:val="0"/>
        <w:adjustRightInd/>
        <w:snapToGrid w:val="0"/>
        <w:spacing w:beforeAutospacing="0" w:afterAutospacing="0" w:line="596" w:lineRule="exact"/>
        <w:ind w:firstLine="640" w:firstLineChars="200"/>
        <w:jc w:val="both"/>
        <w:textAlignment w:val="auto"/>
        <w:rPr>
          <w:rFonts w:hint="default" w:ascii="Times New Roman" w:hAnsi="Times New Roman" w:eastAsia="方正仿宋_GBK" w:cs="Times New Roman"/>
          <w:color w:val="FF0000"/>
          <w:sz w:val="32"/>
          <w:szCs w:val="32"/>
          <w:lang w:val="en-US" w:eastAsia="zh-CN" w:bidi="ar-SA"/>
        </w:rPr>
      </w:pPr>
      <w:r>
        <w:rPr>
          <w:rFonts w:hint="default" w:ascii="Times New Roman" w:hAnsi="Times New Roman" w:eastAsia="方正仿宋_GBK" w:cs="Times New Roman"/>
          <w:sz w:val="32"/>
          <w:szCs w:val="32"/>
          <w:shd w:val="clear" w:color="auto" w:fill="FFFFFF"/>
          <w:lang w:val="en-US" w:eastAsia="zh-CN" w:bidi="ar-SA"/>
        </w:rPr>
        <w:t>因我单位无车辆等国有资产，我单位资产未纳入部门决算报表。</w:t>
      </w:r>
    </w:p>
    <w:p w14:paraId="5A003F19">
      <w:pPr>
        <w:keepNext w:val="0"/>
        <w:keepLines w:val="0"/>
        <w:pageBreakBefore w:val="0"/>
        <w:widowControl/>
        <w:kinsoku/>
        <w:wordWrap/>
        <w:overflowPunct/>
        <w:topLinePunct w:val="0"/>
        <w:autoSpaceDE w:val="0"/>
        <w:autoSpaceDN/>
        <w:bidi w:val="0"/>
        <w:adjustRightInd/>
        <w:spacing w:beforeAutospacing="0" w:afterAutospacing="0" w:line="596" w:lineRule="exact"/>
        <w:ind w:firstLine="643" w:firstLineChars="200"/>
        <w:textAlignment w:val="auto"/>
        <w:rPr>
          <w:rFonts w:hint="default" w:ascii="Times New Roman" w:hAnsi="Times New Roman" w:eastAsia="楷体" w:cs="Times New Roman"/>
          <w:b/>
          <w:bCs/>
          <w:sz w:val="32"/>
          <w:szCs w:val="32"/>
          <w:shd w:val="clear" w:color="auto" w:fill="FFFFFF"/>
          <w:lang w:val="en-US" w:eastAsia="zh-CN" w:bidi="ar-SA"/>
        </w:rPr>
      </w:pPr>
      <w:r>
        <w:rPr>
          <w:rFonts w:hint="default" w:ascii="Times New Roman" w:hAnsi="Times New Roman" w:eastAsia="楷体" w:cs="Times New Roman"/>
          <w:b/>
          <w:bCs/>
          <w:sz w:val="32"/>
          <w:szCs w:val="32"/>
          <w:shd w:val="clear" w:color="auto" w:fill="FFFFFF"/>
          <w:lang w:val="en-US" w:eastAsia="zh-CN" w:bidi="ar-SA"/>
        </w:rPr>
        <w:t>（四）政府采购支出情况说明</w:t>
      </w:r>
    </w:p>
    <w:p w14:paraId="4EEE4E28">
      <w:pPr>
        <w:keepNext w:val="0"/>
        <w:keepLines w:val="0"/>
        <w:pageBreakBefore w:val="0"/>
        <w:widowControl/>
        <w:kinsoku/>
        <w:wordWrap/>
        <w:overflowPunct/>
        <w:topLinePunct w:val="0"/>
        <w:autoSpaceDN/>
        <w:bidi w:val="0"/>
        <w:adjustRightInd/>
        <w:snapToGrid w:val="0"/>
        <w:spacing w:beforeAutospacing="0" w:afterAutospacing="0" w:line="596" w:lineRule="exact"/>
        <w:ind w:firstLine="640" w:firstLineChars="200"/>
        <w:jc w:val="both"/>
        <w:textAlignment w:val="auto"/>
        <w:rPr>
          <w:rFonts w:hint="default" w:ascii="Times New Roman" w:hAnsi="Times New Roman" w:eastAsia="方正仿宋_GBK" w:cs="Times New Roman"/>
          <w:color w:val="auto"/>
          <w:sz w:val="32"/>
          <w:szCs w:val="32"/>
          <w:highlight w:val="yellow"/>
        </w:rPr>
      </w:pPr>
      <w:r>
        <w:rPr>
          <w:rFonts w:hint="default" w:ascii="Times New Roman" w:hAnsi="Times New Roman" w:eastAsia="方正仿宋_GBK" w:cs="Times New Roman"/>
          <w:sz w:val="32"/>
          <w:szCs w:val="32"/>
          <w:shd w:val="clear" w:color="auto" w:fill="FFFFFF"/>
          <w:lang w:val="en-US" w:eastAsia="zh-CN" w:bidi="ar-SA"/>
        </w:rPr>
        <w:t>2024年度我单位未发生政府采购事项，无相关经费支出。</w:t>
      </w:r>
    </w:p>
    <w:p w14:paraId="4B2623B3">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Times New Roman" w:hAnsi="Times New Roman" w:eastAsia="黑体" w:cs="Times New Roman"/>
          <w:sz w:val="32"/>
          <w:szCs w:val="32"/>
          <w:shd w:val="clear" w:color="auto" w:fill="FFFFFF"/>
          <w:lang w:val="en-US" w:eastAsia="zh-CN" w:bidi="ar-SA"/>
        </w:rPr>
      </w:pPr>
      <w:r>
        <w:rPr>
          <w:rStyle w:val="13"/>
          <w:rFonts w:hint="default" w:ascii="Times New Roman" w:hAnsi="Times New Roman" w:eastAsia="黑体" w:cs="Times New Roman"/>
          <w:sz w:val="32"/>
          <w:szCs w:val="32"/>
          <w:shd w:val="clear" w:color="auto" w:fill="FFFFFF"/>
          <w:lang w:val="en-US" w:eastAsia="zh-CN" w:bidi="ar-SA"/>
        </w:rPr>
        <w:t>五、2024年度预算绩效管理情况说明</w:t>
      </w:r>
    </w:p>
    <w:p w14:paraId="55730FEF">
      <w:pPr>
        <w:keepNext w:val="0"/>
        <w:keepLines w:val="0"/>
        <w:pageBreakBefore w:val="0"/>
        <w:widowControl/>
        <w:kinsoku/>
        <w:wordWrap/>
        <w:overflowPunct/>
        <w:topLinePunct w:val="0"/>
        <w:autoSpaceDE w:val="0"/>
        <w:autoSpaceDN/>
        <w:bidi w:val="0"/>
        <w:adjustRightInd/>
        <w:spacing w:beforeAutospacing="0" w:afterAutospacing="0" w:line="596" w:lineRule="exact"/>
        <w:ind w:firstLine="643" w:firstLineChars="200"/>
        <w:textAlignment w:val="auto"/>
        <w:rPr>
          <w:rFonts w:hint="default" w:ascii="Times New Roman" w:hAnsi="Times New Roman" w:eastAsia="楷体" w:cs="Times New Roman"/>
          <w:b/>
          <w:bCs/>
          <w:sz w:val="32"/>
          <w:szCs w:val="32"/>
          <w:shd w:val="clear" w:color="auto" w:fill="FFFFFF"/>
          <w:lang w:val="en-US" w:eastAsia="zh-CN" w:bidi="ar-SA"/>
        </w:rPr>
      </w:pPr>
      <w:r>
        <w:rPr>
          <w:rFonts w:hint="default" w:ascii="Times New Roman" w:hAnsi="Times New Roman" w:eastAsia="楷体" w:cs="Times New Roman"/>
          <w:b/>
          <w:bCs/>
          <w:sz w:val="32"/>
          <w:szCs w:val="32"/>
          <w:shd w:val="clear" w:color="auto" w:fill="FFFFFF"/>
          <w:lang w:val="en-US" w:eastAsia="zh-CN" w:bidi="ar-SA"/>
        </w:rPr>
        <w:t>（一）单位自评情况</w:t>
      </w:r>
    </w:p>
    <w:p w14:paraId="188019D8">
      <w:pPr>
        <w:keepNext w:val="0"/>
        <w:keepLines w:val="0"/>
        <w:pageBreakBefore w:val="0"/>
        <w:widowControl/>
        <w:kinsoku/>
        <w:wordWrap/>
        <w:overflowPunct/>
        <w:topLinePunct w:val="0"/>
        <w:autoSpaceDE w:val="0"/>
        <w:autoSpaceDN/>
        <w:bidi w:val="0"/>
        <w:adjustRightInd/>
        <w:spacing w:beforeAutospacing="0" w:afterAutospacing="0" w:line="596" w:lineRule="exact"/>
        <w:ind w:firstLine="640" w:firstLineChars="200"/>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根据预算绩效管理要求，我单位对单位2个项目开展了绩效自评，涉及财政拨款项目支出资金7.43万元。</w:t>
      </w:r>
    </w:p>
    <w:p w14:paraId="44CE357E">
      <w:pPr>
        <w:keepNext w:val="0"/>
        <w:keepLines w:val="0"/>
        <w:pageBreakBefore w:val="0"/>
        <w:widowControl/>
        <w:kinsoku/>
        <w:wordWrap/>
        <w:overflowPunct/>
        <w:topLinePunct w:val="0"/>
        <w:autoSpaceDE w:val="0"/>
        <w:autoSpaceDN/>
        <w:bidi w:val="0"/>
        <w:adjustRightInd/>
        <w:spacing w:beforeAutospacing="0" w:afterAutospacing="0" w:line="596" w:lineRule="exact"/>
        <w:ind w:firstLine="640" w:firstLineChars="200"/>
        <w:jc w:val="center"/>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2024年度二级项目绩效自评表</w:t>
      </w:r>
    </w:p>
    <w:p w14:paraId="5C4486CD">
      <w:pPr>
        <w:autoSpaceDE w:val="0"/>
        <w:ind w:firstLine="480" w:firstLineChars="200"/>
        <w:rPr>
          <w:rFonts w:hint="default" w:ascii="Times New Roman" w:hAnsi="Times New Roman" w:cs="Times New Roman"/>
        </w:rPr>
      </w:pPr>
      <w:r>
        <w:rPr>
          <w:rFonts w:hint="default" w:ascii="Times New Roman" w:hAnsi="Times New Roman" w:cs="Times New Roman"/>
        </w:rPr>
        <w:drawing>
          <wp:inline distT="0" distB="0" distL="114300" distR="114300">
            <wp:extent cx="5273040" cy="4197985"/>
            <wp:effectExtent l="0" t="0" r="3810"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273040" cy="4197985"/>
                    </a:xfrm>
                    <a:prstGeom prst="rect">
                      <a:avLst/>
                    </a:prstGeom>
                    <a:noFill/>
                    <a:ln>
                      <a:noFill/>
                    </a:ln>
                  </pic:spPr>
                </pic:pic>
              </a:graphicData>
            </a:graphic>
          </wp:inline>
        </w:drawing>
      </w:r>
    </w:p>
    <w:p w14:paraId="58FFEFD4">
      <w:pPr>
        <w:autoSpaceDE w:val="0"/>
        <w:ind w:firstLine="480" w:firstLineChars="200"/>
        <w:rPr>
          <w:rFonts w:hint="default" w:ascii="Times New Roman" w:hAnsi="Times New Roman" w:cs="Times New Roman"/>
          <w:lang w:val="en-US" w:eastAsia="zh-CN"/>
        </w:rPr>
      </w:pPr>
      <w:r>
        <w:rPr>
          <w:rFonts w:hint="default" w:ascii="Times New Roman" w:hAnsi="Times New Roman" w:cs="Times New Roman"/>
        </w:rPr>
        <w:drawing>
          <wp:inline distT="0" distB="0" distL="114300" distR="114300">
            <wp:extent cx="5272405" cy="3201670"/>
            <wp:effectExtent l="0" t="0" r="4445" b="177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5272405" cy="3201670"/>
                    </a:xfrm>
                    <a:prstGeom prst="rect">
                      <a:avLst/>
                    </a:prstGeom>
                    <a:noFill/>
                    <a:ln>
                      <a:noFill/>
                    </a:ln>
                  </pic:spPr>
                </pic:pic>
              </a:graphicData>
            </a:graphic>
          </wp:inline>
        </w:drawing>
      </w:r>
    </w:p>
    <w:p w14:paraId="0DCD4C72">
      <w:pPr>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楷体" w:cs="Times New Roman"/>
          <w:b/>
          <w:bCs/>
          <w:sz w:val="32"/>
          <w:szCs w:val="32"/>
          <w:shd w:val="clear" w:color="auto" w:fill="FFFFFF"/>
          <w:lang w:val="en-US" w:eastAsia="zh-CN" w:bidi="ar-SA"/>
        </w:rPr>
        <w:t>（二）单位绩效评价情况</w:t>
      </w:r>
    </w:p>
    <w:p w14:paraId="62362FD1">
      <w:pPr>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default" w:ascii="Times New Roman" w:hAnsi="Times New Roman" w:eastAsia="楷体" w:cs="Times New Roman"/>
          <w:b/>
          <w:bCs/>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我单位对</w:t>
      </w:r>
      <w:r>
        <w:rPr>
          <w:rFonts w:hint="default" w:ascii="Times New Roman" w:hAnsi="Times New Roman" w:eastAsia="方正仿宋_GBK" w:cs="Times New Roman"/>
          <w:sz w:val="32"/>
          <w:szCs w:val="32"/>
          <w:lang w:val="en-US" w:eastAsia="zh-CN" w:bidi="ar-SA"/>
        </w:rPr>
        <w:t>旅游宣传营销经费和创新人才安家补助</w:t>
      </w:r>
      <w:r>
        <w:rPr>
          <w:rFonts w:hint="default" w:ascii="Times New Roman" w:hAnsi="Times New Roman" w:eastAsia="方正仿宋_GBK" w:cs="Times New Roman"/>
          <w:sz w:val="32"/>
          <w:szCs w:val="32"/>
          <w:shd w:val="clear" w:color="auto" w:fill="FFFFFF"/>
          <w:lang w:val="en-US" w:eastAsia="zh-CN" w:bidi="ar-SA"/>
        </w:rPr>
        <w:t>开展了绩效评价，涉及财政拨款项目资金</w:t>
      </w:r>
      <w:r>
        <w:rPr>
          <w:rFonts w:hint="default" w:ascii="Times New Roman" w:hAnsi="Times New Roman" w:eastAsia="方正仿宋_GBK" w:cs="Times New Roman"/>
          <w:sz w:val="32"/>
          <w:szCs w:val="32"/>
          <w:lang w:val="en-US" w:eastAsia="zh-CN" w:bidi="ar-SA"/>
        </w:rPr>
        <w:t>7.43</w:t>
      </w:r>
      <w:r>
        <w:rPr>
          <w:rFonts w:hint="default" w:ascii="Times New Roman" w:hAnsi="Times New Roman" w:eastAsia="方正仿宋_GBK" w:cs="Times New Roman"/>
          <w:sz w:val="32"/>
          <w:szCs w:val="32"/>
          <w:shd w:val="clear" w:color="auto" w:fill="FFFFFF"/>
          <w:lang w:val="en-US" w:eastAsia="zh-CN" w:bidi="ar-SA"/>
        </w:rPr>
        <w:t>万元，评价得分</w:t>
      </w:r>
      <w:r>
        <w:rPr>
          <w:rFonts w:hint="default" w:ascii="Times New Roman" w:hAnsi="Times New Roman" w:eastAsia="方正仿宋_GBK" w:cs="Times New Roman"/>
          <w:sz w:val="32"/>
          <w:szCs w:val="32"/>
          <w:lang w:val="en-US" w:eastAsia="zh-CN" w:bidi="ar-SA"/>
        </w:rPr>
        <w:t>分别为100</w:t>
      </w:r>
      <w:r>
        <w:rPr>
          <w:rFonts w:hint="default" w:ascii="Times New Roman" w:hAnsi="Times New Roman" w:eastAsia="方正仿宋_GBK" w:cs="Times New Roman"/>
          <w:sz w:val="32"/>
          <w:szCs w:val="32"/>
          <w:shd w:val="clear" w:color="auto" w:fill="FFFFFF"/>
          <w:lang w:val="en-US" w:eastAsia="zh-CN" w:bidi="ar-SA"/>
        </w:rPr>
        <w:t>分和</w:t>
      </w:r>
      <w:r>
        <w:rPr>
          <w:rFonts w:hint="default" w:ascii="Times New Roman" w:hAnsi="Times New Roman" w:eastAsia="方正仿宋_GBK" w:cs="Times New Roman"/>
          <w:sz w:val="32"/>
          <w:szCs w:val="32"/>
          <w:lang w:val="en-US" w:eastAsia="zh-CN" w:bidi="ar-SA"/>
        </w:rPr>
        <w:t>91.42</w:t>
      </w:r>
      <w:r>
        <w:rPr>
          <w:rFonts w:hint="default" w:ascii="Times New Roman" w:hAnsi="Times New Roman" w:eastAsia="方正仿宋_GBK" w:cs="Times New Roman"/>
          <w:sz w:val="32"/>
          <w:szCs w:val="32"/>
          <w:shd w:val="clear" w:color="auto" w:fill="FFFFFF"/>
          <w:lang w:val="en-US" w:eastAsia="zh-CN" w:bidi="ar-SA"/>
        </w:rPr>
        <w:t>分，评价等次为</w:t>
      </w:r>
      <w:r>
        <w:rPr>
          <w:rFonts w:hint="default" w:ascii="Times New Roman" w:hAnsi="Times New Roman" w:eastAsia="方正仿宋_GBK" w:cs="Times New Roman"/>
          <w:sz w:val="32"/>
          <w:szCs w:val="32"/>
          <w:lang w:val="en-US" w:eastAsia="zh-CN" w:bidi="ar-SA"/>
        </w:rPr>
        <w:t>优</w:t>
      </w:r>
      <w:r>
        <w:rPr>
          <w:rFonts w:hint="default" w:ascii="Times New Roman" w:hAnsi="Times New Roman" w:eastAsia="方正仿宋_GBK" w:cs="Times New Roman"/>
          <w:sz w:val="32"/>
          <w:szCs w:val="32"/>
          <w:shd w:val="clear" w:color="auto" w:fill="FFFFFF"/>
          <w:lang w:val="en-US" w:eastAsia="zh-CN" w:bidi="ar-SA"/>
        </w:rPr>
        <w:t>，绩效评价未发现问题。</w:t>
      </w:r>
    </w:p>
    <w:p w14:paraId="70920505">
      <w:pPr>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lang w:val="en-US" w:eastAsia="zh-CN" w:bidi="ar-SA"/>
        </w:rPr>
      </w:pPr>
      <w:r>
        <w:rPr>
          <w:rFonts w:hint="default" w:ascii="Times New Roman" w:hAnsi="Times New Roman" w:eastAsia="楷体" w:cs="Times New Roman"/>
          <w:b/>
          <w:bCs/>
          <w:sz w:val="32"/>
          <w:szCs w:val="32"/>
          <w:shd w:val="clear" w:color="auto" w:fill="FFFFFF"/>
          <w:lang w:val="en-US" w:eastAsia="zh-CN" w:bidi="ar-SA"/>
        </w:rPr>
        <w:t>（三）财政绩效评价情况</w:t>
      </w:r>
    </w:p>
    <w:p w14:paraId="4C2B35AB">
      <w:pPr>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县财政局未委托第三方对我单位开展绩效评价。</w:t>
      </w:r>
    </w:p>
    <w:p w14:paraId="40A3692D">
      <w:pPr>
        <w:pStyle w:val="19"/>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Fonts w:hint="default" w:ascii="Times New Roman" w:hAnsi="Times New Roman" w:eastAsia="方正仿宋_GBK" w:cs="Times New Roman"/>
          <w:kern w:val="0"/>
          <w:sz w:val="32"/>
          <w:szCs w:val="32"/>
          <w:shd w:val="clear" w:fill="FFFFFF"/>
        </w:rPr>
      </w:pPr>
    </w:p>
    <w:p w14:paraId="6736A3E0">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default" w:ascii="Times New Roman" w:hAnsi="Times New Roman" w:eastAsia="方正仿宋_GBK" w:cs="Times New Roman"/>
          <w:kern w:val="0"/>
          <w:sz w:val="32"/>
          <w:szCs w:val="32"/>
        </w:rPr>
      </w:pPr>
      <w:r>
        <w:rPr>
          <w:rStyle w:val="16"/>
          <w:rFonts w:hint="default" w:ascii="Times New Roman" w:hAnsi="Times New Roman" w:eastAsia="方正仿宋_GBK" w:cs="Times New Roman"/>
          <w:b/>
          <w:bCs/>
          <w:sz w:val="32"/>
          <w:szCs w:val="32"/>
          <w:shd w:val="clear" w:fill="FFFFFF"/>
        </w:rPr>
        <w:t xml:space="preserve"> </w:t>
      </w:r>
      <w:r>
        <w:rPr>
          <w:rStyle w:val="16"/>
          <w:rFonts w:hint="default" w:ascii="Times New Roman" w:hAnsi="Times New Roman" w:eastAsia="方正仿宋_GBK" w:cs="Times New Roman"/>
          <w:b/>
          <w:bCs/>
          <w:sz w:val="32"/>
          <w:szCs w:val="32"/>
          <w:shd w:val="clear" w:fill="FFFFFF"/>
          <w:lang w:val="en-US" w:eastAsia="zh-CN"/>
        </w:rPr>
        <w:t xml:space="preserve">  </w:t>
      </w:r>
      <w:r>
        <w:rPr>
          <w:rStyle w:val="13"/>
          <w:rFonts w:hint="default" w:ascii="Times New Roman" w:hAnsi="Times New Roman" w:eastAsia="黑体" w:cs="Times New Roman"/>
          <w:sz w:val="32"/>
          <w:szCs w:val="32"/>
          <w:shd w:val="clear" w:color="auto" w:fill="FFFFFF"/>
          <w:lang w:val="en-US" w:eastAsia="zh-CN" w:bidi="ar-SA"/>
        </w:rPr>
        <w:t xml:space="preserve"> 六、专业名词解释</w:t>
      </w:r>
    </w:p>
    <w:p w14:paraId="54AAAD00">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default" w:ascii="Times New Roman" w:hAnsi="Times New Roman" w:eastAsia="方正仿宋_GBK" w:cs="Times New Roman"/>
          <w:kern w:val="0"/>
          <w:sz w:val="32"/>
          <w:szCs w:val="32"/>
        </w:rPr>
      </w:pPr>
      <w:r>
        <w:rPr>
          <w:rStyle w:val="13"/>
          <w:rFonts w:hint="default" w:ascii="Times New Roman" w:hAnsi="Times New Roman" w:eastAsia="楷体" w:cs="Times New Roman"/>
          <w:sz w:val="32"/>
          <w:szCs w:val="32"/>
          <w:shd w:val="clear" w:color="auto" w:fill="FFFFFF"/>
          <w:lang w:val="en-US" w:eastAsia="zh-CN" w:bidi="ar-SA"/>
        </w:rPr>
        <w:t>（一）财政拨款收入：</w:t>
      </w:r>
      <w:r>
        <w:rPr>
          <w:rFonts w:hint="default" w:ascii="Times New Roman" w:hAnsi="Times New Roman" w:eastAsia="方正仿宋_GBK" w:cs="Times New Roman"/>
          <w:kern w:val="0"/>
          <w:sz w:val="32"/>
          <w:szCs w:val="32"/>
          <w:shd w:val="clear" w:fill="FFFFFF"/>
        </w:rPr>
        <w:t>指本年度从本级财政部门取得的财政拨款，包括一般公共预算财政拨款和政府性基金预算财政拨款。</w:t>
      </w:r>
    </w:p>
    <w:p w14:paraId="16BFE0BD">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default" w:ascii="Times New Roman" w:hAnsi="Times New Roman" w:eastAsia="方正仿宋_GBK" w:cs="Times New Roman"/>
          <w:kern w:val="0"/>
          <w:sz w:val="32"/>
          <w:szCs w:val="32"/>
        </w:rPr>
      </w:pPr>
      <w:r>
        <w:rPr>
          <w:rStyle w:val="13"/>
          <w:rFonts w:hint="default" w:ascii="Times New Roman" w:hAnsi="Times New Roman" w:eastAsia="楷体" w:cs="Times New Roman"/>
          <w:sz w:val="32"/>
          <w:szCs w:val="32"/>
          <w:shd w:val="clear" w:color="auto" w:fill="FFFFFF"/>
          <w:lang w:val="en-US" w:eastAsia="zh-CN" w:bidi="ar-SA"/>
        </w:rPr>
        <w:t>（二）事业收入：</w:t>
      </w:r>
      <w:r>
        <w:rPr>
          <w:rFonts w:hint="default" w:ascii="Times New Roman" w:hAnsi="Times New Roman" w:eastAsia="方正仿宋_GBK" w:cs="Times New Roman"/>
          <w:kern w:val="0"/>
          <w:sz w:val="32"/>
          <w:szCs w:val="32"/>
          <w:shd w:val="clear" w:fill="FFFFFF"/>
        </w:rPr>
        <w:t>指事业单位开展专业业务活动及其辅助活动取得的现金流入；事业单位收到的财政专户实际核拨的教育收费等资金在此反映。</w:t>
      </w:r>
    </w:p>
    <w:p w14:paraId="3E89F278">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default" w:ascii="Times New Roman" w:hAnsi="Times New Roman" w:eastAsia="方正仿宋_GBK" w:cs="Times New Roman"/>
          <w:kern w:val="0"/>
          <w:sz w:val="32"/>
          <w:szCs w:val="32"/>
        </w:rPr>
      </w:pPr>
      <w:r>
        <w:rPr>
          <w:rStyle w:val="13"/>
          <w:rFonts w:hint="default" w:ascii="Times New Roman" w:hAnsi="Times New Roman" w:eastAsia="楷体" w:cs="Times New Roman"/>
          <w:sz w:val="32"/>
          <w:szCs w:val="32"/>
          <w:shd w:val="clear" w:color="auto" w:fill="FFFFFF"/>
          <w:lang w:val="en-US" w:eastAsia="zh-CN" w:bidi="ar-SA"/>
        </w:rPr>
        <w:t>（三）经营收入：</w:t>
      </w:r>
      <w:r>
        <w:rPr>
          <w:rFonts w:hint="default" w:ascii="Times New Roman" w:hAnsi="Times New Roman" w:eastAsia="方正仿宋_GBK" w:cs="Times New Roman"/>
          <w:kern w:val="0"/>
          <w:sz w:val="32"/>
          <w:szCs w:val="32"/>
          <w:shd w:val="clear" w:fill="FFFFFF"/>
        </w:rPr>
        <w:t>指事业单位在专业业务活动及其辅助活动之外开展非独立核算经营活动取得的现金流入。</w:t>
      </w:r>
    </w:p>
    <w:p w14:paraId="6A2FF33E">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default" w:ascii="Times New Roman" w:hAnsi="Times New Roman" w:eastAsia="方正仿宋_GBK" w:cs="Times New Roman"/>
          <w:kern w:val="0"/>
          <w:sz w:val="32"/>
          <w:szCs w:val="32"/>
        </w:rPr>
      </w:pPr>
      <w:r>
        <w:rPr>
          <w:rStyle w:val="13"/>
          <w:rFonts w:hint="default" w:ascii="Times New Roman" w:hAnsi="Times New Roman" w:eastAsia="楷体" w:cs="Times New Roman"/>
          <w:sz w:val="32"/>
          <w:szCs w:val="32"/>
          <w:shd w:val="clear" w:color="auto" w:fill="FFFFFF"/>
          <w:lang w:val="en-US" w:eastAsia="zh-CN" w:bidi="ar-SA"/>
        </w:rPr>
        <w:t>（四）其他收入：</w:t>
      </w:r>
      <w:r>
        <w:rPr>
          <w:rFonts w:hint="default" w:ascii="Times New Roman" w:hAnsi="Times New Roman" w:eastAsia="方正仿宋_GBK" w:cs="Times New Roman"/>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3BDBA10">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default" w:ascii="Times New Roman" w:hAnsi="Times New Roman" w:eastAsia="方正仿宋_GBK" w:cs="Times New Roman"/>
          <w:kern w:val="0"/>
          <w:sz w:val="32"/>
          <w:szCs w:val="32"/>
        </w:rPr>
      </w:pPr>
      <w:r>
        <w:rPr>
          <w:rStyle w:val="13"/>
          <w:rFonts w:hint="default" w:ascii="Times New Roman" w:hAnsi="Times New Roman" w:eastAsia="楷体" w:cs="Times New Roman"/>
          <w:sz w:val="32"/>
          <w:szCs w:val="32"/>
          <w:shd w:val="clear" w:color="auto" w:fill="FFFFFF"/>
          <w:lang w:val="en-US" w:eastAsia="zh-CN" w:bidi="ar-SA"/>
        </w:rPr>
        <w:t>（五）使用非财政拨款结余（含专用结余）：</w:t>
      </w:r>
      <w:r>
        <w:rPr>
          <w:rFonts w:hint="default" w:ascii="Times New Roman" w:hAnsi="Times New Roman" w:eastAsia="方正仿宋_GBK" w:cs="Times New Roman"/>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5E1D9C4C">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default" w:ascii="Times New Roman" w:hAnsi="Times New Roman" w:eastAsia="方正仿宋_GBK" w:cs="Times New Roman"/>
          <w:kern w:val="0"/>
          <w:sz w:val="32"/>
          <w:szCs w:val="32"/>
        </w:rPr>
      </w:pPr>
      <w:r>
        <w:rPr>
          <w:rStyle w:val="13"/>
          <w:rFonts w:hint="default" w:ascii="Times New Roman" w:hAnsi="Times New Roman" w:eastAsia="楷体" w:cs="Times New Roman"/>
          <w:sz w:val="32"/>
          <w:szCs w:val="32"/>
          <w:shd w:val="clear" w:color="auto" w:fill="FFFFFF"/>
          <w:lang w:val="en-US" w:eastAsia="zh-CN" w:bidi="ar-SA"/>
        </w:rPr>
        <w:t>（六）年初结转和结余：</w:t>
      </w:r>
      <w:r>
        <w:rPr>
          <w:rFonts w:hint="default" w:ascii="Times New Roman" w:hAnsi="Times New Roman" w:eastAsia="方正仿宋_GBK" w:cs="Times New Roman"/>
          <w:kern w:val="0"/>
          <w:sz w:val="32"/>
          <w:szCs w:val="32"/>
          <w:shd w:val="clear" w:fill="FFFFFF"/>
        </w:rPr>
        <w:t>指单位上年结转本年使用的基本支出结转、项目支出结转和结余、经营结余。</w:t>
      </w:r>
    </w:p>
    <w:p w14:paraId="3E9032B6">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default" w:ascii="Times New Roman" w:hAnsi="Times New Roman" w:eastAsia="方正仿宋_GBK" w:cs="Times New Roman"/>
          <w:kern w:val="0"/>
          <w:sz w:val="32"/>
          <w:szCs w:val="32"/>
        </w:rPr>
      </w:pPr>
      <w:r>
        <w:rPr>
          <w:rStyle w:val="13"/>
          <w:rFonts w:hint="default" w:ascii="Times New Roman" w:hAnsi="Times New Roman" w:eastAsia="楷体" w:cs="Times New Roman"/>
          <w:sz w:val="32"/>
          <w:szCs w:val="32"/>
          <w:shd w:val="clear" w:color="auto" w:fill="FFFFFF"/>
          <w:lang w:val="en-US" w:eastAsia="zh-CN" w:bidi="ar-SA"/>
        </w:rPr>
        <w:t>（七）结余分配：</w:t>
      </w:r>
      <w:r>
        <w:rPr>
          <w:rFonts w:hint="default" w:ascii="Times New Roman" w:hAnsi="Times New Roman" w:eastAsia="方正仿宋_GBK" w:cs="Times New Roman"/>
          <w:kern w:val="0"/>
          <w:sz w:val="32"/>
          <w:szCs w:val="32"/>
          <w:shd w:val="clear" w:fill="FFFFFF"/>
        </w:rPr>
        <w:t>指单位按照国家有关规定，</w:t>
      </w:r>
      <w:r>
        <w:rPr>
          <w:rFonts w:hint="default" w:ascii="Times New Roman" w:hAnsi="Times New Roman" w:eastAsia="方正仿宋_GBK" w:cs="Times New Roman"/>
          <w:kern w:val="0"/>
          <w:sz w:val="32"/>
          <w:szCs w:val="32"/>
          <w:shd w:val="clear" w:fill="FFFFFF"/>
          <w:lang w:val="en-US" w:eastAsia="zh-CN"/>
        </w:rPr>
        <w:t>交</w:t>
      </w:r>
      <w:r>
        <w:rPr>
          <w:rFonts w:hint="default" w:ascii="Times New Roman" w:hAnsi="Times New Roman" w:eastAsia="方正仿宋_GBK" w:cs="Times New Roman"/>
          <w:kern w:val="0"/>
          <w:sz w:val="32"/>
          <w:szCs w:val="32"/>
          <w:shd w:val="clear" w:fill="FFFFFF"/>
        </w:rPr>
        <w:t>纳所得税、提取专用基金、转入非财政拨款结余等当年结余的分配情况。</w:t>
      </w:r>
    </w:p>
    <w:p w14:paraId="1C9B69B8">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default" w:ascii="Times New Roman" w:hAnsi="Times New Roman" w:eastAsia="方正仿宋_GBK" w:cs="Times New Roman"/>
          <w:kern w:val="0"/>
          <w:sz w:val="32"/>
          <w:szCs w:val="32"/>
        </w:rPr>
      </w:pPr>
      <w:r>
        <w:rPr>
          <w:rStyle w:val="13"/>
          <w:rFonts w:hint="default" w:ascii="Times New Roman" w:hAnsi="Times New Roman" w:eastAsia="楷体" w:cs="Times New Roman"/>
          <w:sz w:val="32"/>
          <w:szCs w:val="32"/>
          <w:shd w:val="clear" w:color="auto" w:fill="FFFFFF"/>
          <w:lang w:val="en-US" w:eastAsia="zh-CN" w:bidi="ar-SA"/>
        </w:rPr>
        <w:t>（八）年末结转和结余：</w:t>
      </w:r>
      <w:r>
        <w:rPr>
          <w:rFonts w:hint="default" w:ascii="Times New Roman" w:hAnsi="Times New Roman" w:eastAsia="方正仿宋_GBK" w:cs="Times New Roman"/>
          <w:kern w:val="0"/>
          <w:sz w:val="32"/>
          <w:szCs w:val="32"/>
          <w:shd w:val="clear" w:fill="FFFFFF"/>
        </w:rPr>
        <w:t>指单位结转下年的基本支出结转、项目支出结转和结余、经营结余。</w:t>
      </w:r>
    </w:p>
    <w:p w14:paraId="5201837D">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default" w:ascii="Times New Roman" w:hAnsi="Times New Roman" w:eastAsia="方正仿宋_GBK" w:cs="Times New Roman"/>
          <w:kern w:val="0"/>
          <w:sz w:val="32"/>
          <w:szCs w:val="32"/>
        </w:rPr>
      </w:pPr>
      <w:r>
        <w:rPr>
          <w:rStyle w:val="13"/>
          <w:rFonts w:hint="default" w:ascii="Times New Roman" w:hAnsi="Times New Roman" w:eastAsia="楷体" w:cs="Times New Roman"/>
          <w:sz w:val="32"/>
          <w:szCs w:val="32"/>
          <w:shd w:val="clear" w:color="auto" w:fill="FFFFFF"/>
          <w:lang w:val="en-US" w:eastAsia="zh-CN" w:bidi="ar-SA"/>
        </w:rPr>
        <w:t>（九）基本支出：</w:t>
      </w:r>
      <w:r>
        <w:rPr>
          <w:rFonts w:hint="default" w:ascii="Times New Roman" w:hAnsi="Times New Roman" w:eastAsia="方正仿宋_GBK" w:cs="Times New Roman"/>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5943817">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default" w:ascii="Times New Roman" w:hAnsi="Times New Roman" w:eastAsia="方正仿宋_GBK" w:cs="Times New Roman"/>
          <w:kern w:val="0"/>
          <w:sz w:val="32"/>
          <w:szCs w:val="32"/>
        </w:rPr>
      </w:pPr>
      <w:r>
        <w:rPr>
          <w:rStyle w:val="13"/>
          <w:rFonts w:hint="default" w:ascii="Times New Roman" w:hAnsi="Times New Roman" w:eastAsia="楷体" w:cs="Times New Roman"/>
          <w:sz w:val="32"/>
          <w:szCs w:val="32"/>
          <w:shd w:val="clear" w:color="auto" w:fill="FFFFFF"/>
          <w:lang w:val="en-US" w:eastAsia="zh-CN" w:bidi="ar-SA"/>
        </w:rPr>
        <w:t>（十）项目支出：</w:t>
      </w:r>
      <w:r>
        <w:rPr>
          <w:rFonts w:hint="default" w:ascii="Times New Roman" w:hAnsi="Times New Roman" w:eastAsia="方正仿宋_GBK" w:cs="Times New Roman"/>
          <w:kern w:val="0"/>
          <w:sz w:val="32"/>
          <w:szCs w:val="32"/>
          <w:shd w:val="clear" w:fill="FFFFFF"/>
        </w:rPr>
        <w:t>指在基本支出之外为完成特定行政任务和事业发展目标所发生的支出。</w:t>
      </w:r>
    </w:p>
    <w:p w14:paraId="18A9ACC9">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default" w:ascii="Times New Roman" w:hAnsi="Times New Roman" w:eastAsia="方正仿宋_GBK" w:cs="Times New Roman"/>
          <w:kern w:val="0"/>
          <w:sz w:val="32"/>
          <w:szCs w:val="32"/>
        </w:rPr>
      </w:pPr>
      <w:r>
        <w:rPr>
          <w:rStyle w:val="13"/>
          <w:rFonts w:hint="default" w:ascii="Times New Roman" w:hAnsi="Times New Roman" w:eastAsia="楷体" w:cs="Times New Roman"/>
          <w:sz w:val="32"/>
          <w:szCs w:val="32"/>
          <w:shd w:val="clear" w:color="auto" w:fill="FFFFFF"/>
          <w:lang w:val="en-US" w:eastAsia="zh-CN" w:bidi="ar-SA"/>
        </w:rPr>
        <w:t>（十一）经营支出：</w:t>
      </w:r>
      <w:r>
        <w:rPr>
          <w:rFonts w:hint="default" w:ascii="Times New Roman" w:hAnsi="Times New Roman" w:eastAsia="方正仿宋_GBK" w:cs="Times New Roman"/>
          <w:kern w:val="0"/>
          <w:sz w:val="32"/>
          <w:szCs w:val="32"/>
          <w:shd w:val="clear" w:fill="FFFFFF"/>
        </w:rPr>
        <w:t>指事业单位在专业业务活动及其辅助活动之外开展非独立核算经营活动发生的支出。</w:t>
      </w:r>
    </w:p>
    <w:p w14:paraId="1A036726">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default" w:ascii="Times New Roman" w:hAnsi="Times New Roman" w:eastAsia="方正仿宋_GBK" w:cs="Times New Roman"/>
          <w:kern w:val="0"/>
          <w:sz w:val="32"/>
          <w:szCs w:val="32"/>
        </w:rPr>
      </w:pPr>
      <w:r>
        <w:rPr>
          <w:rStyle w:val="13"/>
          <w:rFonts w:hint="default" w:ascii="Times New Roman" w:hAnsi="Times New Roman" w:eastAsia="楷体" w:cs="Times New Roman"/>
          <w:sz w:val="32"/>
          <w:szCs w:val="32"/>
          <w:shd w:val="clear" w:color="auto" w:fill="FFFFFF"/>
          <w:lang w:val="en-US" w:eastAsia="zh-CN" w:bidi="ar-SA"/>
        </w:rPr>
        <w:t>（十二）“三公”经费：</w:t>
      </w:r>
      <w:r>
        <w:rPr>
          <w:rFonts w:hint="default" w:ascii="Times New Roman" w:hAnsi="Times New Roman" w:eastAsia="方正仿宋_GBK" w:cs="Times New Roman"/>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F3DFCD6">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default" w:ascii="Times New Roman" w:hAnsi="Times New Roman" w:eastAsia="方正仿宋_GBK" w:cs="Times New Roman"/>
          <w:kern w:val="0"/>
          <w:sz w:val="32"/>
          <w:szCs w:val="32"/>
        </w:rPr>
      </w:pPr>
      <w:r>
        <w:rPr>
          <w:rStyle w:val="13"/>
          <w:rFonts w:hint="default" w:ascii="Times New Roman" w:hAnsi="Times New Roman" w:eastAsia="楷体" w:cs="Times New Roman"/>
          <w:sz w:val="32"/>
          <w:szCs w:val="32"/>
          <w:shd w:val="clear" w:color="auto" w:fill="FFFFFF"/>
          <w:lang w:val="en-US" w:eastAsia="zh-CN" w:bidi="ar-SA"/>
        </w:rPr>
        <w:t>（十三）机关运行经费：</w:t>
      </w:r>
      <w:r>
        <w:rPr>
          <w:rFonts w:hint="default" w:ascii="Times New Roman" w:hAnsi="Times New Roman" w:eastAsia="方正仿宋_GBK" w:cs="Times New Roman"/>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CE233BB">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default" w:ascii="Times New Roman" w:hAnsi="Times New Roman" w:eastAsia="方正仿宋_GBK" w:cs="Times New Roman"/>
          <w:kern w:val="0"/>
          <w:sz w:val="32"/>
          <w:szCs w:val="32"/>
        </w:rPr>
      </w:pPr>
      <w:r>
        <w:rPr>
          <w:rStyle w:val="13"/>
          <w:rFonts w:hint="default" w:ascii="Times New Roman" w:hAnsi="Times New Roman" w:eastAsia="楷体" w:cs="Times New Roman"/>
          <w:sz w:val="32"/>
          <w:szCs w:val="32"/>
          <w:shd w:val="clear" w:color="auto" w:fill="FFFFFF"/>
          <w:lang w:val="en-US" w:eastAsia="zh-CN" w:bidi="ar-SA"/>
        </w:rPr>
        <w:t>（十四）工资福利支出（支出经济分类科目类级）：</w:t>
      </w:r>
      <w:r>
        <w:rPr>
          <w:rFonts w:hint="default" w:ascii="Times New Roman" w:hAnsi="Times New Roman" w:eastAsia="方正仿宋_GBK" w:cs="Times New Roman"/>
          <w:kern w:val="0"/>
          <w:sz w:val="32"/>
          <w:szCs w:val="32"/>
          <w:shd w:val="clear" w:fill="FFFFFF"/>
        </w:rPr>
        <w:t>反映单位开支的在职职工和编制外长期聘用人员的各类劳动报酬，以及为上述人员缴纳的各项社会保险费等。</w:t>
      </w:r>
    </w:p>
    <w:p w14:paraId="6CBB5001">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default" w:ascii="Times New Roman" w:hAnsi="Times New Roman" w:eastAsia="方正仿宋_GBK" w:cs="Times New Roman"/>
          <w:kern w:val="0"/>
          <w:sz w:val="32"/>
          <w:szCs w:val="32"/>
        </w:rPr>
      </w:pPr>
      <w:r>
        <w:rPr>
          <w:rStyle w:val="13"/>
          <w:rFonts w:hint="default" w:ascii="Times New Roman" w:hAnsi="Times New Roman" w:eastAsia="楷体" w:cs="Times New Roman"/>
          <w:sz w:val="32"/>
          <w:szCs w:val="32"/>
          <w:shd w:val="clear" w:color="auto" w:fill="FFFFFF"/>
          <w:lang w:val="en-US" w:eastAsia="zh-CN" w:bidi="ar-SA"/>
        </w:rPr>
        <w:t>（十五）商品和服务支出（支出经济分类科目类级）：</w:t>
      </w:r>
      <w:r>
        <w:rPr>
          <w:rFonts w:hint="default" w:ascii="Times New Roman" w:hAnsi="Times New Roman" w:eastAsia="方正仿宋_GBK" w:cs="Times New Roman"/>
          <w:kern w:val="0"/>
          <w:sz w:val="32"/>
          <w:szCs w:val="32"/>
          <w:shd w:val="clear" w:fill="FFFFFF"/>
        </w:rPr>
        <w:t>反映单位购买商品和服务的支出（不包括用于购置固定资产的支出、战略性和应急储备支出）。</w:t>
      </w:r>
    </w:p>
    <w:p w14:paraId="3EF08EE4">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default" w:ascii="Times New Roman" w:hAnsi="Times New Roman" w:eastAsia="方正仿宋_GBK" w:cs="Times New Roman"/>
          <w:kern w:val="0"/>
          <w:sz w:val="32"/>
          <w:szCs w:val="32"/>
        </w:rPr>
      </w:pPr>
      <w:r>
        <w:rPr>
          <w:rStyle w:val="13"/>
          <w:rFonts w:hint="default" w:ascii="Times New Roman" w:hAnsi="Times New Roman" w:eastAsia="楷体" w:cs="Times New Roman"/>
          <w:sz w:val="32"/>
          <w:szCs w:val="32"/>
          <w:shd w:val="clear" w:color="auto" w:fill="FFFFFF"/>
          <w:lang w:val="en-US" w:eastAsia="zh-CN" w:bidi="ar-SA"/>
        </w:rPr>
        <w:t>（十六）对个人和家庭的补助（支出经济分类科目类级）：</w:t>
      </w:r>
      <w:r>
        <w:rPr>
          <w:rFonts w:hint="default" w:ascii="Times New Roman" w:hAnsi="Times New Roman" w:eastAsia="方正仿宋_GBK" w:cs="Times New Roman"/>
          <w:kern w:val="0"/>
          <w:sz w:val="32"/>
          <w:szCs w:val="32"/>
          <w:shd w:val="clear" w:fill="FFFFFF"/>
        </w:rPr>
        <w:t>反映用于对个人和家庭的补助支出。</w:t>
      </w:r>
    </w:p>
    <w:p w14:paraId="62E1ADDC">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default" w:ascii="Times New Roman" w:hAnsi="Times New Roman" w:eastAsia="方正仿宋_GBK" w:cs="Times New Roman"/>
          <w:kern w:val="0"/>
          <w:sz w:val="32"/>
          <w:szCs w:val="32"/>
        </w:rPr>
      </w:pPr>
      <w:r>
        <w:rPr>
          <w:rStyle w:val="13"/>
          <w:rFonts w:hint="default" w:ascii="Times New Roman" w:hAnsi="Times New Roman" w:eastAsia="楷体" w:cs="Times New Roman"/>
          <w:sz w:val="32"/>
          <w:szCs w:val="32"/>
          <w:shd w:val="clear" w:color="auto" w:fill="FFFFFF"/>
          <w:lang w:val="en-US" w:eastAsia="zh-CN" w:bidi="ar-SA"/>
        </w:rPr>
        <w:t>（十七）其他资本性支出（支出经济分类科目类级）：</w:t>
      </w:r>
      <w:r>
        <w:rPr>
          <w:rFonts w:hint="default" w:ascii="Times New Roman" w:hAnsi="Times New Roman" w:eastAsia="方正仿宋_GBK" w:cs="Times New Roman"/>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71D5AC03">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default" w:ascii="Times New Roman" w:hAnsi="Times New Roman" w:eastAsia="方正仿宋_GBK" w:cs="Times New Roman"/>
          <w:kern w:val="0"/>
          <w:sz w:val="32"/>
          <w:szCs w:val="32"/>
        </w:rPr>
      </w:pPr>
      <w:r>
        <w:rPr>
          <w:rStyle w:val="13"/>
          <w:rFonts w:hint="default" w:ascii="Times New Roman" w:hAnsi="Times New Roman" w:eastAsia="黑体" w:cs="Times New Roman"/>
          <w:sz w:val="32"/>
          <w:szCs w:val="32"/>
          <w:shd w:val="clear" w:color="auto" w:fill="FFFFFF"/>
          <w:lang w:val="en-US" w:eastAsia="zh-CN" w:bidi="ar-SA"/>
        </w:rPr>
        <w:t>七、决算公开联系方式及信息反馈渠道</w:t>
      </w:r>
    </w:p>
    <w:p w14:paraId="13B0D05C">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shd w:val="clear" w:fill="FFFFFF"/>
        </w:rPr>
        <w:t>本单位决算公开信息反馈和联系方式：</w:t>
      </w:r>
    </w:p>
    <w:p w14:paraId="395758E8">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kern w:val="0"/>
          <w:sz w:val="32"/>
          <w:szCs w:val="32"/>
          <w:shd w:val="clear" w:fill="FFFFFF"/>
          <w:lang w:val="en-US" w:eastAsia="zh-CN"/>
        </w:rPr>
      </w:pPr>
      <w:r>
        <w:rPr>
          <w:rFonts w:hint="default" w:ascii="Times New Roman" w:hAnsi="Times New Roman" w:eastAsia="方正仿宋_GBK" w:cs="Times New Roman"/>
          <w:kern w:val="0"/>
          <w:sz w:val="32"/>
          <w:szCs w:val="32"/>
          <w:shd w:val="clear" w:fill="FFFFFF"/>
          <w:lang w:val="en-US" w:eastAsia="zh-CN"/>
        </w:rPr>
        <w:t>刘洋</w:t>
      </w:r>
      <w:r>
        <w:rPr>
          <w:rFonts w:hint="default" w:ascii="Times New Roman" w:hAnsi="Times New Roman" w:eastAsia="方正仿宋_GBK" w:cs="Times New Roman"/>
          <w:kern w:val="0"/>
          <w:sz w:val="32"/>
          <w:szCs w:val="32"/>
          <w:shd w:val="clear" w:fill="FFFFFF"/>
        </w:rPr>
        <w:t xml:space="preserve">   023-</w:t>
      </w:r>
      <w:r>
        <w:rPr>
          <w:rFonts w:hint="default" w:ascii="Times New Roman" w:hAnsi="Times New Roman" w:eastAsia="方正仿宋_GBK" w:cs="Times New Roman"/>
          <w:kern w:val="0"/>
          <w:sz w:val="32"/>
          <w:szCs w:val="32"/>
          <w:shd w:val="clear" w:fill="FFFFFF"/>
          <w:lang w:val="en-US" w:eastAsia="zh-CN"/>
        </w:rPr>
        <w:t>70618088</w:t>
      </w:r>
    </w:p>
    <w:p w14:paraId="34309600">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3"/>
          <w:rFonts w:hint="default" w:ascii="Times New Roman" w:hAnsi="Times New Roman" w:eastAsia="方正仿宋_GBK" w:cs="Times New Roman"/>
          <w:sz w:val="32"/>
          <w:szCs w:val="32"/>
          <w:shd w:val="clear" w:color="auto" w:fill="FFFF00"/>
        </w:rPr>
      </w:pPr>
    </w:p>
    <w:p w14:paraId="4E6A68F4">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left="1562" w:leftChars="266" w:hanging="924" w:hangingChars="300"/>
        <w:jc w:val="both"/>
        <w:textAlignment w:val="auto"/>
        <w:rPr>
          <w:rFonts w:hint="eastAsia" w:ascii="Times New Roman" w:hAnsi="Times New Roman" w:eastAsia="方正仿宋_GBK" w:cs="Times New Roman"/>
          <w:spacing w:val="-6"/>
          <w:kern w:val="0"/>
          <w:sz w:val="32"/>
          <w:szCs w:val="32"/>
          <w:shd w:val="clear" w:fill="FFFFFF"/>
          <w:lang w:val="en-US" w:eastAsia="zh-CN" w:bidi="ar-SA"/>
        </w:rPr>
        <w:sectPr>
          <w:footerReference r:id="rId3" w:type="default"/>
          <w:pgSz w:w="11915" w:h="16840"/>
          <w:pgMar w:top="1440" w:right="1800" w:bottom="1440" w:left="1800" w:header="851" w:footer="992" w:gutter="0"/>
          <w:pgNumType w:fmt="decimal"/>
          <w:cols w:space="720" w:num="1"/>
          <w:docGrid w:type="lines" w:linePitch="312" w:charSpace="0"/>
        </w:sect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64E035A1">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073BD6F6">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14:paraId="695AE322">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214C1B8A">
            <w:pPr>
              <w:spacing w:line="200" w:lineRule="exact"/>
              <w:rPr>
                <w:rFonts w:hint="default" w:ascii="Times New Roman" w:hAnsi="Times New Roman" w:cs="Times New Roman"/>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48D14954">
            <w:pPr>
              <w:spacing w:line="200" w:lineRule="exact"/>
              <w:jc w:val="right"/>
              <w:rPr>
                <w:rFonts w:hint="default" w:ascii="Times New Roman" w:hAnsi="Times New Roman" w:cs="Times New Roman"/>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4CD6632D">
            <w:pPr>
              <w:spacing w:line="200" w:lineRule="exact"/>
              <w:rPr>
                <w:rFonts w:hint="default" w:ascii="Times New Roman" w:hAnsi="Times New Roman" w:cs="Times New Roman"/>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6CAF103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14:paraId="424418F8">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52FD2E87">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color w:val="000000"/>
                <w:sz w:val="22"/>
                <w:szCs w:val="22"/>
              </w:rPr>
            </w:pPr>
            <w:r>
              <w:rPr>
                <w:rFonts w:hint="default" w:ascii="Times New Roman" w:hAnsi="Times New Roman" w:cs="Times New Roman"/>
                <w:sz w:val="20"/>
                <w:szCs w:val="20"/>
              </w:rPr>
              <w:t>单位：</w:t>
            </w:r>
            <w:r>
              <w:rPr>
                <w:rFonts w:hint="default" w:ascii="Times New Roman" w:hAnsi="Times New Roman" w:cs="Times New Roman"/>
                <w:sz w:val="20"/>
                <w:u w:color="auto"/>
              </w:rPr>
              <w:t>丰都县旅游宣传营销中心</w:t>
            </w:r>
          </w:p>
        </w:tc>
        <w:tc>
          <w:tcPr>
            <w:tcW w:w="1372" w:type="pct"/>
            <w:tcBorders>
              <w:top w:val="nil"/>
              <w:left w:val="nil"/>
              <w:bottom w:val="nil"/>
              <w:right w:val="nil"/>
            </w:tcBorders>
            <w:shd w:val="clear" w:color="auto" w:fill="auto"/>
            <w:noWrap/>
            <w:tcMar>
              <w:top w:w="15" w:type="dxa"/>
              <w:left w:w="15" w:type="dxa"/>
              <w:right w:w="15" w:type="dxa"/>
            </w:tcMar>
            <w:vAlign w:val="bottom"/>
          </w:tcPr>
          <w:p w14:paraId="738FFDB0">
            <w:pPr>
              <w:spacing w:line="200" w:lineRule="exact"/>
              <w:rPr>
                <w:rFonts w:hint="default" w:ascii="Times New Roman" w:hAnsi="Times New Roman" w:cs="Times New Roman"/>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78A9545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194AF4A3">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847C7">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6E2C2C3">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14:paraId="308A164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2B4E0">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3FD84">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3BDB5">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2C00E">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14:paraId="03B7B4D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0BCDC">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F59F1">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294.94</w:t>
            </w: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D10824">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EEC2E">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ECF578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23E90">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D70CD">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1CFC5">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B9193">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C5AEBF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6C104">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0B7D2">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2C3E3">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0A3D6">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FBD7EA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40B68">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71556">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17129">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91413">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DEAC34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66C92">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E8EF7D">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D2485">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F7913E">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D244CC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3A619">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5AF2F">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AD439">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3D6F5">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E016A1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F841B">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386FB">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449DB">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F93E9">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232.65</w:t>
            </w:r>
            <w:r>
              <w:rPr>
                <w:rFonts w:hint="default" w:ascii="Times New Roman" w:hAnsi="Times New Roman" w:cs="Times New Roman"/>
                <w:color w:val="000000"/>
                <w:sz w:val="20"/>
                <w:u w:color="auto"/>
              </w:rPr>
              <w:t xml:space="preserve"> </w:t>
            </w:r>
          </w:p>
        </w:tc>
      </w:tr>
      <w:tr w14:paraId="2EDC99D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DDB93">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52C82AE8">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73C47">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E43542">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38.86</w:t>
            </w:r>
            <w:r>
              <w:rPr>
                <w:rFonts w:hint="default" w:ascii="Times New Roman" w:hAnsi="Times New Roman" w:cs="Times New Roman"/>
                <w:color w:val="000000"/>
                <w:sz w:val="20"/>
                <w:u w:color="auto"/>
              </w:rPr>
              <w:t xml:space="preserve"> </w:t>
            </w:r>
          </w:p>
        </w:tc>
      </w:tr>
      <w:tr w14:paraId="19300D0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EE70F">
            <w:pPr>
              <w:spacing w:line="240"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CFF73A">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E6910">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17BB8">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12.58</w:t>
            </w:r>
            <w:r>
              <w:rPr>
                <w:rFonts w:hint="default" w:ascii="Times New Roman" w:hAnsi="Times New Roman" w:cs="Times New Roman"/>
                <w:color w:val="000000"/>
                <w:sz w:val="20"/>
                <w:u w:color="auto"/>
              </w:rPr>
              <w:t xml:space="preserve"> </w:t>
            </w:r>
          </w:p>
        </w:tc>
      </w:tr>
      <w:tr w14:paraId="483EA82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DFBBD">
            <w:pPr>
              <w:spacing w:line="240"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CE1389">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F565B">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2E5B0">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747CC7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E8240">
            <w:pPr>
              <w:spacing w:line="240"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773075">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7812F">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FEF5F">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C49432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624CA">
            <w:pPr>
              <w:spacing w:line="240"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5EE3BB">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AE5B1">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103AE">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C7CEAD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40D7E">
            <w:pPr>
              <w:spacing w:line="240"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82CB5">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1D7DA">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539A95">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55326A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5B06F">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45BF6">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D5553B">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83ABD">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DA2731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46EA3">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B603F">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B2F87">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3C962">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192B39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34F9A">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C5A75">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B63AB">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16CCE">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F07DD1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CDF9B">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AFA51">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65CAB">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994A7">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93705BC">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C8EAA">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221CA">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7AC38">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8E7DC">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B783D4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2C339">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8D5C0">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C9B52F">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F92381">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12.19</w:t>
            </w:r>
            <w:r>
              <w:rPr>
                <w:rFonts w:hint="default" w:ascii="Times New Roman" w:hAnsi="Times New Roman" w:cs="Times New Roman"/>
                <w:color w:val="000000"/>
                <w:sz w:val="20"/>
                <w:u w:color="auto"/>
              </w:rPr>
              <w:t xml:space="preserve"> </w:t>
            </w:r>
          </w:p>
        </w:tc>
      </w:tr>
      <w:tr w14:paraId="01B6F51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1B79B">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5BEE4D">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15FE9">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21DC1">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D1086D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CDFC5">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DE5B4">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ADABF">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F5591">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B30915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021B4">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D7F34">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0E9FB">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E2499">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6E6164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04CBC">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CE535">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312DF">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BAD6F">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E36643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E7828">
            <w:pPr>
              <w:spacing w:line="240" w:lineRule="exact"/>
              <w:jc w:val="center"/>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346160">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19FD4">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4B36B">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D9BAB4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C8A58">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56378">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5E503">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22A66">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E4B338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5253E">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55A74">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DE366">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81244F">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7BE743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DCA2A">
            <w:pPr>
              <w:spacing w:line="240" w:lineRule="exact"/>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4CCE47">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294.94</w:t>
            </w: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C2A79">
            <w:pPr>
              <w:spacing w:line="240" w:lineRule="exact"/>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F8754A">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296.28</w:t>
            </w:r>
            <w:r>
              <w:rPr>
                <w:rFonts w:hint="default" w:ascii="Times New Roman" w:hAnsi="Times New Roman" w:cs="Times New Roman"/>
                <w:color w:val="000000"/>
                <w:sz w:val="20"/>
                <w:u w:color="auto"/>
              </w:rPr>
              <w:t xml:space="preserve"> </w:t>
            </w:r>
          </w:p>
        </w:tc>
      </w:tr>
      <w:tr w14:paraId="14D8B60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C2080">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5578E">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A8ED13">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91245">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092A37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00D66">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8F8DB4">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1.34</w:t>
            </w: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50BC6">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EF96881">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568B3F3">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795DA">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B5F27">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296.28</w:t>
            </w: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6CDFCF96">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8C198B">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296.28</w:t>
            </w:r>
            <w:r>
              <w:rPr>
                <w:rFonts w:hint="default" w:ascii="Times New Roman" w:hAnsi="Times New Roman" w:cs="Times New Roman"/>
                <w:color w:val="000000"/>
                <w:sz w:val="20"/>
                <w:u w:color="auto"/>
              </w:rPr>
              <w:t xml:space="preserve"> </w:t>
            </w:r>
          </w:p>
        </w:tc>
      </w:tr>
    </w:tbl>
    <w:p w14:paraId="271068EF">
      <w:pPr>
        <w:rPr>
          <w:rFonts w:hint="default" w:ascii="Times New Roman" w:hAnsi="Times New Roman" w:cs="Times New Roman"/>
          <w:sz w:val="21"/>
          <w:szCs w:val="21"/>
        </w:rPr>
      </w:pPr>
    </w:p>
    <w:p w14:paraId="67C4C043">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3E40F530">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799ABD2A">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14:paraId="387DA30F">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22775851">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sz w:val="20"/>
                <w:u w:color="auto"/>
              </w:rPr>
              <w:t>丰都县旅游宣传营销中心</w:t>
            </w:r>
          </w:p>
        </w:tc>
        <w:tc>
          <w:tcPr>
            <w:tcW w:w="467" w:type="pct"/>
            <w:tcBorders>
              <w:top w:val="nil"/>
              <w:left w:val="nil"/>
              <w:bottom w:val="nil"/>
              <w:right w:val="nil"/>
            </w:tcBorders>
            <w:shd w:val="clear" w:color="auto" w:fill="auto"/>
            <w:noWrap/>
            <w:tcMar>
              <w:top w:w="15" w:type="dxa"/>
              <w:left w:w="15" w:type="dxa"/>
              <w:right w:w="15" w:type="dxa"/>
            </w:tcMar>
            <w:vAlign w:val="bottom"/>
          </w:tcPr>
          <w:p w14:paraId="349F15B3">
            <w:pPr>
              <w:rPr>
                <w:rFonts w:hint="default" w:ascii="Times New Roman" w:hAnsi="Times New Roman" w:cs="Times New Roman"/>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62D63401">
            <w:pPr>
              <w:rPr>
                <w:rFonts w:hint="default" w:ascii="Times New Roman" w:hAnsi="Times New Roman" w:cs="Times New Roman"/>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74E237D4">
            <w:pPr>
              <w:rPr>
                <w:rFonts w:hint="default" w:ascii="Times New Roman" w:hAnsi="Times New Roman" w:cs="Times New Roman"/>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6CD885BA">
            <w:pPr>
              <w:rPr>
                <w:rFonts w:hint="default" w:ascii="Times New Roman" w:hAnsi="Times New Roman" w:cs="Times New Roman"/>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622CB732">
            <w:pPr>
              <w:rPr>
                <w:rFonts w:hint="default" w:ascii="Times New Roman" w:hAnsi="Times New Roman" w:cs="Times New Roman"/>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048DAB58">
            <w:pPr>
              <w:rPr>
                <w:rFonts w:hint="default" w:ascii="Times New Roman" w:hAnsi="Times New Roman" w:cs="Times New Roman"/>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5B89217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14:paraId="28E0B875">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70704981">
            <w:pPr>
              <w:rPr>
                <w:rFonts w:hint="default" w:ascii="Times New Roman" w:hAnsi="Times New Roman" w:cs="Times New Roman"/>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5BC6D2C1">
            <w:pPr>
              <w:rPr>
                <w:rFonts w:hint="default" w:ascii="Times New Roman" w:hAnsi="Times New Roman" w:cs="Times New Roman"/>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EDF55F2">
            <w:pPr>
              <w:rPr>
                <w:rFonts w:hint="default" w:ascii="Times New Roman" w:hAnsi="Times New Roman" w:cs="Times New Roman"/>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226168D4">
            <w:pPr>
              <w:rPr>
                <w:rFonts w:hint="default" w:ascii="Times New Roman" w:hAnsi="Times New Roman" w:cs="Times New Roman"/>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0462F169">
            <w:pPr>
              <w:rPr>
                <w:rFonts w:hint="default" w:ascii="Times New Roman" w:hAnsi="Times New Roman" w:cs="Times New Roman"/>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5BF0F615">
            <w:pPr>
              <w:rPr>
                <w:rFonts w:hint="default" w:ascii="Times New Roman" w:hAnsi="Times New Roman" w:cs="Times New Roman"/>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65EE24F5">
            <w:pPr>
              <w:rPr>
                <w:rFonts w:hint="default" w:ascii="Times New Roman" w:hAnsi="Times New Roman" w:cs="Times New Roman"/>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57AE30D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74F442E0">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7E6B893C">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9171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DB70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4D20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100557">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E832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D64F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2A41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14:paraId="7459F4FE">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0C15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4E18F26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C3CC5">
            <w:pPr>
              <w:jc w:val="center"/>
              <w:rPr>
                <w:rFonts w:hint="default" w:ascii="Times New Roman" w:hAnsi="Times New Roman" w:cs="Times New Roman"/>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C34D8">
            <w:pPr>
              <w:jc w:val="center"/>
              <w:rPr>
                <w:rFonts w:hint="default" w:ascii="Times New Roman" w:hAnsi="Times New Roman" w:cs="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15464">
            <w:pPr>
              <w:jc w:val="center"/>
              <w:rPr>
                <w:rFonts w:hint="default" w:ascii="Times New Roman" w:hAnsi="Times New Roman" w:cs="Times New Roman"/>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2E1D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3C5A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AF646">
            <w:pPr>
              <w:jc w:val="center"/>
              <w:rPr>
                <w:rFonts w:hint="default" w:ascii="Times New Roman" w:hAnsi="Times New Roman" w:cs="Times New 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A1A3A">
            <w:pPr>
              <w:jc w:val="center"/>
              <w:rPr>
                <w:rFonts w:hint="default" w:ascii="Times New Roman" w:hAnsi="Times New Roman" w:cs="Times New Roman"/>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96876">
            <w:pPr>
              <w:jc w:val="center"/>
              <w:rPr>
                <w:rFonts w:hint="default" w:ascii="Times New Roman" w:hAnsi="Times New Roman" w:cs="Times New Roman"/>
                <w:b/>
                <w:color w:val="000000"/>
                <w:sz w:val="20"/>
                <w:szCs w:val="20"/>
              </w:rPr>
            </w:pPr>
          </w:p>
        </w:tc>
      </w:tr>
      <w:tr w14:paraId="345D5A45">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67354">
            <w:pPr>
              <w:jc w:val="center"/>
              <w:rPr>
                <w:rFonts w:hint="default" w:ascii="Times New Roman" w:hAnsi="Times New Roman" w:cs="Times New Roman"/>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75323F9">
            <w:pPr>
              <w:jc w:val="center"/>
              <w:rPr>
                <w:rFonts w:hint="default" w:ascii="Times New Roman" w:hAnsi="Times New Roman" w:cs="Times New Roman"/>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92340">
            <w:pPr>
              <w:jc w:val="center"/>
              <w:rPr>
                <w:rFonts w:hint="default" w:ascii="Times New Roman" w:hAnsi="Times New Roman" w:cs="Times New Roman"/>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5B612">
            <w:pPr>
              <w:jc w:val="center"/>
              <w:rPr>
                <w:rFonts w:hint="default" w:ascii="Times New Roman" w:hAnsi="Times New Roman" w:cs="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F749E">
            <w:pPr>
              <w:jc w:val="center"/>
              <w:rPr>
                <w:rFonts w:hint="default" w:ascii="Times New Roman" w:hAnsi="Times New Roman" w:cs="Times New Roman"/>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6931B">
            <w:pPr>
              <w:jc w:val="center"/>
              <w:rPr>
                <w:rFonts w:hint="default" w:ascii="Times New Roman" w:hAnsi="Times New Roman" w:cs="Times New Roman"/>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82C43">
            <w:pPr>
              <w:jc w:val="center"/>
              <w:rPr>
                <w:rFonts w:hint="default" w:ascii="Times New Roman" w:hAnsi="Times New Roman" w:cs="Times New Roman"/>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ADD28">
            <w:pPr>
              <w:jc w:val="center"/>
              <w:rPr>
                <w:rFonts w:hint="default" w:ascii="Times New Roman" w:hAnsi="Times New Roman" w:cs="Times New 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80A80">
            <w:pPr>
              <w:jc w:val="center"/>
              <w:rPr>
                <w:rFonts w:hint="default" w:ascii="Times New Roman" w:hAnsi="Times New Roman" w:cs="Times New Roman"/>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8E75C">
            <w:pPr>
              <w:jc w:val="center"/>
              <w:rPr>
                <w:rFonts w:hint="default" w:ascii="Times New Roman" w:hAnsi="Times New Roman" w:cs="Times New Roman"/>
                <w:b/>
                <w:color w:val="000000"/>
                <w:sz w:val="20"/>
                <w:szCs w:val="20"/>
              </w:rPr>
            </w:pPr>
          </w:p>
        </w:tc>
      </w:tr>
      <w:tr w14:paraId="7728C9AA">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66628">
            <w:pPr>
              <w:jc w:val="center"/>
              <w:rPr>
                <w:rFonts w:hint="default" w:ascii="Times New Roman" w:hAnsi="Times New Roman" w:cs="Times New Roman"/>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70B9202">
            <w:pPr>
              <w:jc w:val="center"/>
              <w:rPr>
                <w:rFonts w:hint="default" w:ascii="Times New Roman" w:hAnsi="Times New Roman" w:cs="Times New Roman"/>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0C97A">
            <w:pPr>
              <w:jc w:val="center"/>
              <w:rPr>
                <w:rFonts w:hint="default" w:ascii="Times New Roman" w:hAnsi="Times New Roman" w:cs="Times New Roman"/>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A142E">
            <w:pPr>
              <w:jc w:val="center"/>
              <w:rPr>
                <w:rFonts w:hint="default" w:ascii="Times New Roman" w:hAnsi="Times New Roman" w:cs="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D39BE">
            <w:pPr>
              <w:jc w:val="center"/>
              <w:rPr>
                <w:rFonts w:hint="default" w:ascii="Times New Roman" w:hAnsi="Times New Roman" w:cs="Times New Roman"/>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7CB70">
            <w:pPr>
              <w:jc w:val="center"/>
              <w:rPr>
                <w:rFonts w:hint="default" w:ascii="Times New Roman" w:hAnsi="Times New Roman" w:cs="Times New Roman"/>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80719">
            <w:pPr>
              <w:jc w:val="center"/>
              <w:rPr>
                <w:rFonts w:hint="default" w:ascii="Times New Roman" w:hAnsi="Times New Roman" w:cs="Times New Roman"/>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75395">
            <w:pPr>
              <w:jc w:val="center"/>
              <w:rPr>
                <w:rFonts w:hint="default" w:ascii="Times New Roman" w:hAnsi="Times New Roman" w:cs="Times New 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F69D8">
            <w:pPr>
              <w:jc w:val="center"/>
              <w:rPr>
                <w:rFonts w:hint="default" w:ascii="Times New Roman" w:hAnsi="Times New Roman" w:cs="Times New Roman"/>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C26A3">
            <w:pPr>
              <w:jc w:val="center"/>
              <w:rPr>
                <w:rFonts w:hint="default" w:ascii="Times New Roman" w:hAnsi="Times New Roman" w:cs="Times New Roman"/>
                <w:b/>
                <w:color w:val="000000"/>
                <w:sz w:val="20"/>
                <w:szCs w:val="20"/>
              </w:rPr>
            </w:pPr>
          </w:p>
        </w:tc>
      </w:tr>
      <w:tr w14:paraId="3D642D80">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934EC">
            <w:pPr>
              <w:jc w:val="center"/>
              <w:rPr>
                <w:rFonts w:hint="default" w:ascii="Times New Roman" w:hAnsi="Times New Roman" w:cs="Times New Roman"/>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63DD1C6">
            <w:pPr>
              <w:jc w:val="center"/>
              <w:rPr>
                <w:rFonts w:hint="default" w:ascii="Times New Roman" w:hAnsi="Times New Roman" w:cs="Times New Roman"/>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1EA51">
            <w:pPr>
              <w:jc w:val="center"/>
              <w:rPr>
                <w:rFonts w:hint="default" w:ascii="Times New Roman" w:hAnsi="Times New Roman" w:cs="Times New Roman"/>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EFDA0">
            <w:pPr>
              <w:jc w:val="center"/>
              <w:rPr>
                <w:rFonts w:hint="default" w:ascii="Times New Roman" w:hAnsi="Times New Roman" w:cs="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2DDC7">
            <w:pPr>
              <w:jc w:val="center"/>
              <w:rPr>
                <w:rFonts w:hint="default" w:ascii="Times New Roman" w:hAnsi="Times New Roman" w:cs="Times New Roman"/>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7A90C">
            <w:pPr>
              <w:jc w:val="center"/>
              <w:rPr>
                <w:rFonts w:hint="default" w:ascii="Times New Roman" w:hAnsi="Times New Roman" w:cs="Times New Roman"/>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53F13">
            <w:pPr>
              <w:jc w:val="center"/>
              <w:rPr>
                <w:rFonts w:hint="default" w:ascii="Times New Roman" w:hAnsi="Times New Roman" w:cs="Times New Roman"/>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701A3">
            <w:pPr>
              <w:jc w:val="center"/>
              <w:rPr>
                <w:rFonts w:hint="default" w:ascii="Times New Roman" w:hAnsi="Times New Roman" w:cs="Times New 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BA0D7">
            <w:pPr>
              <w:jc w:val="center"/>
              <w:rPr>
                <w:rFonts w:hint="default" w:ascii="Times New Roman" w:hAnsi="Times New Roman" w:cs="Times New Roman"/>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A93F9">
            <w:pPr>
              <w:jc w:val="center"/>
              <w:rPr>
                <w:rFonts w:hint="default" w:ascii="Times New Roman" w:hAnsi="Times New Roman" w:cs="Times New Roman"/>
                <w:b/>
                <w:color w:val="000000"/>
                <w:sz w:val="20"/>
                <w:szCs w:val="20"/>
              </w:rPr>
            </w:pPr>
          </w:p>
        </w:tc>
      </w:tr>
      <w:tr w14:paraId="78398327">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E89C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DBCE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294.94</w:t>
            </w:r>
            <w:r>
              <w:rPr>
                <w:rFonts w:hint="default" w:ascii="Times New Roman" w:hAnsi="Times New Roman" w:cs="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8D61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294.94</w:t>
            </w:r>
            <w:r>
              <w:rPr>
                <w:rFonts w:hint="default" w:ascii="Times New Roman" w:hAnsi="Times New Roman" w:cs="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0EAF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D097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A6FC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1970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3C35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E249E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14:paraId="246FC0E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5CC0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2918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7A69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231.31</w:t>
            </w:r>
            <w:r>
              <w:rPr>
                <w:rFonts w:hint="default" w:ascii="Times New Roman" w:hAnsi="Times New Roman" w:cs="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97E3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231.31</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E8B6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75A4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705A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7D33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5F62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94BB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2DC6869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6FBA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0A88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2481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231.31</w:t>
            </w:r>
            <w:r>
              <w:rPr>
                <w:rFonts w:hint="default" w:ascii="Times New Roman" w:hAnsi="Times New Roman" w:cs="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1C13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231.31</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3C6E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C0FB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27DA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09DC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7721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28F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31EF0BB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43C6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2070113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91FE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旅游宣传</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5AA4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6.09</w:t>
            </w:r>
            <w:r>
              <w:rPr>
                <w:rFonts w:hint="default" w:ascii="Times New Roman" w:hAnsi="Times New Roman" w:cs="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9A97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6.09</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63D1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130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A20D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3A92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B34E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E08E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2873C56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D1ED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0ED8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E5FE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225.22</w:t>
            </w:r>
            <w:r>
              <w:rPr>
                <w:rFonts w:hint="default" w:ascii="Times New Roman" w:hAnsi="Times New Roman" w:cs="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3C8C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225.22</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292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1D4C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2241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05B9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CA5B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D4AD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52EAAE2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9BCD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6F9A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11C1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38.86</w:t>
            </w:r>
            <w:r>
              <w:rPr>
                <w:rFonts w:hint="default" w:ascii="Times New Roman" w:hAnsi="Times New Roman" w:cs="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6EF3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38.86</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80CA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9FCD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17BF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5E16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AD83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BFD1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659B440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D641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E09D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08DD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38.86</w:t>
            </w:r>
            <w:r>
              <w:rPr>
                <w:rFonts w:hint="default" w:ascii="Times New Roman" w:hAnsi="Times New Roman" w:cs="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F102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38.86</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E063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6920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EE86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9E28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A9E6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DCB7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38358BA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5658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6BD0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520E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24.52</w:t>
            </w:r>
            <w:r>
              <w:rPr>
                <w:rFonts w:hint="default" w:ascii="Times New Roman" w:hAnsi="Times New Roman" w:cs="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F6A9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24.52</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419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5E46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8AB7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A608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C54C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C4A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7B034F1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7B89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332C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3544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12.26</w:t>
            </w:r>
            <w:r>
              <w:rPr>
                <w:rFonts w:hint="default" w:ascii="Times New Roman" w:hAnsi="Times New Roman" w:cs="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B23E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12.26</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BDC5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2E2D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CC8D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B375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7A0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52EF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29502E3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D3E3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64D8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ABAD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w:t>
            </w:r>
            <w:r>
              <w:rPr>
                <w:rFonts w:hint="default" w:ascii="Times New Roman" w:hAnsi="Times New Roman" w:cs="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DFBA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446A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70C7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BB53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3C58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0B3A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3812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62BEDD6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B170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2CE6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5F2E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12.58</w:t>
            </w:r>
            <w:r>
              <w:rPr>
                <w:rFonts w:hint="default" w:ascii="Times New Roman" w:hAnsi="Times New Roman" w:cs="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AF1D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12.58</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E9BA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49B4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F2C3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ED47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C881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121A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37769D2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AFDA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35E4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3983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12.58</w:t>
            </w:r>
            <w:r>
              <w:rPr>
                <w:rFonts w:hint="default" w:ascii="Times New Roman" w:hAnsi="Times New Roman" w:cs="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C090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12.58</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ADD4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1CAB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9042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9545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CEB6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B69B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3E76558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6BB0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155F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F85D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8.64</w:t>
            </w:r>
            <w:r>
              <w:rPr>
                <w:rFonts w:hint="default" w:ascii="Times New Roman" w:hAnsi="Times New Roman" w:cs="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512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8.64</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66AA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75EB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82E7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E063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947D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54CE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54E8AD6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4428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02CA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799A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3.95</w:t>
            </w:r>
            <w:r>
              <w:rPr>
                <w:rFonts w:hint="default" w:ascii="Times New Roman" w:hAnsi="Times New Roman" w:cs="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110F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3.95</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3E9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A242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A68B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44C5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ABE5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58F9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70CA8AE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2B53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7E2C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78EA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12.19</w:t>
            </w:r>
            <w:r>
              <w:rPr>
                <w:rFonts w:hint="default" w:ascii="Times New Roman" w:hAnsi="Times New Roman" w:cs="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B89F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12.19</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D327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D656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A6CD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A248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0123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9BC0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703FB7E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75A8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08F9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8435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12.19</w:t>
            </w:r>
            <w:r>
              <w:rPr>
                <w:rFonts w:hint="default" w:ascii="Times New Roman" w:hAnsi="Times New Roman" w:cs="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951C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12.19</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9AEB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2C4B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448D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99D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9DA5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5C5E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24E5259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C06C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53DA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B4D0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12.19</w:t>
            </w:r>
            <w:r>
              <w:rPr>
                <w:rFonts w:hint="default" w:ascii="Times New Roman" w:hAnsi="Times New Roman" w:cs="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D668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12.19</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41A8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64A9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2EE4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4CA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DD23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FE3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bl>
    <w:p w14:paraId="264D975E">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p>
    <w:p w14:paraId="0C6F97E9">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10"/>
        <w:tblW w:w="4986" w:type="pct"/>
        <w:tblInd w:w="0" w:type="dxa"/>
        <w:tblLayout w:type="fixed"/>
        <w:tblCellMar>
          <w:top w:w="0" w:type="dxa"/>
          <w:left w:w="0" w:type="dxa"/>
          <w:bottom w:w="0" w:type="dxa"/>
          <w:right w:w="0" w:type="dxa"/>
        </w:tblCellMar>
      </w:tblPr>
      <w:tblGrid>
        <w:gridCol w:w="1288"/>
        <w:gridCol w:w="3592"/>
        <w:gridCol w:w="1836"/>
        <w:gridCol w:w="1760"/>
        <w:gridCol w:w="1619"/>
        <w:gridCol w:w="1552"/>
        <w:gridCol w:w="1687"/>
        <w:gridCol w:w="1946"/>
      </w:tblGrid>
      <w:tr w14:paraId="57F43B53">
        <w:tblPrEx>
          <w:tblCellMar>
            <w:top w:w="0" w:type="dxa"/>
            <w:left w:w="0" w:type="dxa"/>
            <w:bottom w:w="0" w:type="dxa"/>
            <w:right w:w="0" w:type="dxa"/>
          </w:tblCellMar>
        </w:tblPrEx>
        <w:trPr>
          <w:trHeight w:val="648"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E0FD3FA">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14:paraId="347A4DF6">
        <w:tblPrEx>
          <w:tblCellMar>
            <w:top w:w="0" w:type="dxa"/>
            <w:left w:w="0" w:type="dxa"/>
            <w:bottom w:w="0" w:type="dxa"/>
            <w:right w:w="0" w:type="dxa"/>
          </w:tblCellMar>
        </w:tblPrEx>
        <w:trPr>
          <w:trHeight w:val="346"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27ADE816">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 xml:space="preserve">丰都县旅游宣传营销中心 </w:t>
            </w:r>
          </w:p>
        </w:tc>
        <w:tc>
          <w:tcPr>
            <w:tcW w:w="575" w:type="pct"/>
            <w:tcBorders>
              <w:top w:val="nil"/>
              <w:left w:val="nil"/>
              <w:bottom w:val="nil"/>
              <w:right w:val="nil"/>
            </w:tcBorders>
            <w:shd w:val="clear" w:color="auto" w:fill="auto"/>
            <w:noWrap/>
            <w:tcMar>
              <w:top w:w="15" w:type="dxa"/>
              <w:left w:w="15" w:type="dxa"/>
              <w:right w:w="15" w:type="dxa"/>
            </w:tcMar>
            <w:vAlign w:val="bottom"/>
          </w:tcPr>
          <w:p w14:paraId="327E4C49">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cs="Times New Roman"/>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05E084C7">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cs="Times New Roman"/>
                <w:color w:val="000000"/>
                <w:sz w:val="20"/>
                <w:szCs w:val="20"/>
              </w:rPr>
            </w:pPr>
          </w:p>
        </w:tc>
        <w:tc>
          <w:tcPr>
            <w:tcW w:w="507" w:type="pct"/>
            <w:tcBorders>
              <w:top w:val="nil"/>
              <w:left w:val="nil"/>
              <w:bottom w:val="nil"/>
              <w:right w:val="nil"/>
            </w:tcBorders>
            <w:shd w:val="clear" w:color="auto" w:fill="auto"/>
            <w:noWrap/>
            <w:tcMar>
              <w:top w:w="15" w:type="dxa"/>
              <w:left w:w="15" w:type="dxa"/>
              <w:right w:w="15" w:type="dxa"/>
            </w:tcMar>
            <w:vAlign w:val="bottom"/>
          </w:tcPr>
          <w:p w14:paraId="2284A913">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cs="Times New Roman"/>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0B6C6F00">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cs="Times New Roman"/>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5AACE933">
            <w:pPr>
              <w:keepNext w:val="0"/>
              <w:keepLines w:val="0"/>
              <w:pageBreakBefore w:val="0"/>
              <w:widowControl/>
              <w:kinsoku/>
              <w:wordWrap/>
              <w:overflowPunct/>
              <w:topLinePunct w:val="0"/>
              <w:autoSpaceDE/>
              <w:autoSpaceDN/>
              <w:bidi w:val="0"/>
              <w:adjustRightInd/>
              <w:snapToGrid/>
              <w:spacing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14:paraId="1703486B">
        <w:tblPrEx>
          <w:tblCellMar>
            <w:top w:w="0" w:type="dxa"/>
            <w:left w:w="0" w:type="dxa"/>
            <w:bottom w:w="0" w:type="dxa"/>
            <w:right w:w="0" w:type="dxa"/>
          </w:tblCellMar>
        </w:tblPrEx>
        <w:trPr>
          <w:trHeight w:val="346"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094F0416">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cs="Times New 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265D01B4">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cs="Times New Roman"/>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24EB2045">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cs="Times New Roman"/>
                <w:color w:val="000000"/>
                <w:sz w:val="20"/>
                <w:szCs w:val="20"/>
              </w:rPr>
            </w:pPr>
          </w:p>
        </w:tc>
        <w:tc>
          <w:tcPr>
            <w:tcW w:w="507" w:type="pct"/>
            <w:tcBorders>
              <w:top w:val="nil"/>
              <w:left w:val="nil"/>
              <w:bottom w:val="nil"/>
              <w:right w:val="nil"/>
            </w:tcBorders>
            <w:shd w:val="clear" w:color="auto" w:fill="auto"/>
            <w:noWrap/>
            <w:tcMar>
              <w:top w:w="15" w:type="dxa"/>
              <w:left w:w="15" w:type="dxa"/>
              <w:right w:w="15" w:type="dxa"/>
            </w:tcMar>
            <w:vAlign w:val="bottom"/>
          </w:tcPr>
          <w:p w14:paraId="69557579">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cs="Times New Roman"/>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6517D350">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cs="Times New Roman"/>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2ACA76BF">
            <w:pPr>
              <w:keepNext w:val="0"/>
              <w:keepLines w:val="0"/>
              <w:pageBreakBefore w:val="0"/>
              <w:widowControl/>
              <w:kinsoku/>
              <w:wordWrap/>
              <w:overflowPunct/>
              <w:topLinePunct w:val="0"/>
              <w:autoSpaceDE/>
              <w:autoSpaceDN/>
              <w:bidi w:val="0"/>
              <w:adjustRightInd/>
              <w:snapToGrid/>
              <w:spacing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61FC55DA">
        <w:tblPrEx>
          <w:tblCellMar>
            <w:top w:w="0" w:type="dxa"/>
            <w:left w:w="0" w:type="dxa"/>
            <w:bottom w:w="0" w:type="dxa"/>
            <w:right w:w="0" w:type="dxa"/>
          </w:tblCellMar>
        </w:tblPrEx>
        <w:trPr>
          <w:trHeight w:val="375" w:hRule="atLeast"/>
        </w:trPr>
        <w:tc>
          <w:tcPr>
            <w:tcW w:w="159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565C01">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8733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802B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4141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0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A37D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7999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40FB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14:paraId="1E93ED8F">
        <w:tblPrEx>
          <w:tblCellMar>
            <w:top w:w="0" w:type="dxa"/>
            <w:left w:w="0" w:type="dxa"/>
            <w:bottom w:w="0" w:type="dxa"/>
            <w:right w:w="0" w:type="dxa"/>
          </w:tblCellMar>
        </w:tblPrEx>
        <w:trPr>
          <w:trHeight w:val="352"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14A0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1BD96FE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89655">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168AC">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8E529">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b/>
                <w:color w:val="000000"/>
                <w:sz w:val="20"/>
                <w:szCs w:val="20"/>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32AD5">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F7F9E">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86C9E">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b/>
                <w:color w:val="000000"/>
                <w:sz w:val="20"/>
                <w:szCs w:val="20"/>
              </w:rPr>
            </w:pPr>
          </w:p>
        </w:tc>
      </w:tr>
      <w:tr w14:paraId="5A1AD172">
        <w:tblPrEx>
          <w:tblCellMar>
            <w:top w:w="0" w:type="dxa"/>
            <w:left w:w="0" w:type="dxa"/>
            <w:bottom w:w="0" w:type="dxa"/>
            <w:right w:w="0" w:type="dxa"/>
          </w:tblCellMar>
        </w:tblPrEx>
        <w:trPr>
          <w:trHeight w:val="352"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C4B19">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42096CE">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08088">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8DBB7">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3458C">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b/>
                <w:color w:val="000000"/>
                <w:sz w:val="20"/>
                <w:szCs w:val="20"/>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4C40E">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C4D91">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88984">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b/>
                <w:color w:val="000000"/>
                <w:sz w:val="20"/>
                <w:szCs w:val="20"/>
              </w:rPr>
            </w:pPr>
          </w:p>
        </w:tc>
      </w:tr>
      <w:tr w14:paraId="2A79ABE6">
        <w:tblPrEx>
          <w:tblCellMar>
            <w:top w:w="0" w:type="dxa"/>
            <w:left w:w="0" w:type="dxa"/>
            <w:bottom w:w="0" w:type="dxa"/>
            <w:right w:w="0" w:type="dxa"/>
          </w:tblCellMar>
        </w:tblPrEx>
        <w:trPr>
          <w:trHeight w:val="352"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E9675">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58C5B0B">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C6E91">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874F3">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F6BFB">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b/>
                <w:color w:val="000000"/>
                <w:sz w:val="20"/>
                <w:szCs w:val="20"/>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06025">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22B6A">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5AF6D">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b/>
                <w:color w:val="000000"/>
                <w:sz w:val="20"/>
                <w:szCs w:val="20"/>
              </w:rPr>
            </w:pPr>
          </w:p>
        </w:tc>
      </w:tr>
      <w:tr w14:paraId="57C5DD3C">
        <w:tblPrEx>
          <w:tblCellMar>
            <w:top w:w="0" w:type="dxa"/>
            <w:left w:w="0" w:type="dxa"/>
            <w:bottom w:w="0" w:type="dxa"/>
            <w:right w:w="0" w:type="dxa"/>
          </w:tblCellMar>
        </w:tblPrEx>
        <w:trPr>
          <w:trHeight w:val="352"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BC51F">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5E0675F">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08AAC">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66C49">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CF74F">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b/>
                <w:color w:val="000000"/>
                <w:sz w:val="20"/>
                <w:szCs w:val="20"/>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1DFA7">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3043E">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F467C">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b/>
                <w:color w:val="000000"/>
                <w:sz w:val="20"/>
                <w:szCs w:val="20"/>
              </w:rPr>
            </w:pPr>
          </w:p>
        </w:tc>
      </w:tr>
      <w:tr w14:paraId="69949F41">
        <w:tblPrEx>
          <w:tblCellMar>
            <w:top w:w="0" w:type="dxa"/>
            <w:left w:w="0" w:type="dxa"/>
            <w:bottom w:w="0" w:type="dxa"/>
            <w:right w:w="0" w:type="dxa"/>
          </w:tblCellMar>
        </w:tblPrEx>
        <w:trPr>
          <w:trHeight w:val="375" w:hRule="atLeast"/>
        </w:trPr>
        <w:tc>
          <w:tcPr>
            <w:tcW w:w="159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3F05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1A558">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296.28</w:t>
            </w:r>
            <w:r>
              <w:rPr>
                <w:rFonts w:hint="default" w:ascii="Times New Roman" w:hAnsi="Times New Roman" w:cs="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80EF35">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288.86</w:t>
            </w:r>
            <w:r>
              <w:rPr>
                <w:rFonts w:hint="default" w:ascii="Times New Roman" w:hAnsi="Times New Roman" w:cs="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470D0">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7.43</w:t>
            </w:r>
            <w:r>
              <w:rPr>
                <w:rFonts w:hint="default" w:ascii="Times New Roman" w:hAnsi="Times New Roman" w:cs="Times New Roman"/>
                <w:b/>
                <w:color w:val="000000"/>
                <w:sz w:val="20"/>
                <w:u w:color="auto"/>
              </w:rPr>
              <w:t xml:space="preserve"> </w:t>
            </w:r>
          </w:p>
        </w:tc>
        <w:tc>
          <w:tcPr>
            <w:tcW w:w="5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94A59A">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05B2F">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F2503">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14:paraId="6D81A8B2">
        <w:tblPrEx>
          <w:tblCellMar>
            <w:top w:w="0" w:type="dxa"/>
            <w:left w:w="0" w:type="dxa"/>
            <w:bottom w:w="0" w:type="dxa"/>
            <w:right w:w="0" w:type="dxa"/>
          </w:tblCellMar>
        </w:tblPrEx>
        <w:trPr>
          <w:trHeight w:val="394"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153F7">
            <w:pPr>
              <w:keepNext w:val="0"/>
              <w:keepLines w:val="0"/>
              <w:pageBreakBefore w:val="0"/>
              <w:widowControl/>
              <w:kinsoku/>
              <w:wordWrap/>
              <w:overflowPunct/>
              <w:topLinePunct w:val="0"/>
              <w:autoSpaceDE/>
              <w:autoSpaceDN/>
              <w:bidi w:val="0"/>
              <w:adjustRightInd/>
              <w:snapToGrid/>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7A700">
            <w:pPr>
              <w:keepNext w:val="0"/>
              <w:keepLines w:val="0"/>
              <w:pageBreakBefore w:val="0"/>
              <w:widowControl/>
              <w:kinsoku/>
              <w:wordWrap/>
              <w:overflowPunct/>
              <w:topLinePunct w:val="0"/>
              <w:autoSpaceDE/>
              <w:autoSpaceDN/>
              <w:bidi w:val="0"/>
              <w:adjustRightInd/>
              <w:snapToGrid/>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3B1DB">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232.65</w:t>
            </w:r>
            <w:r>
              <w:rPr>
                <w:rFonts w:hint="default" w:ascii="Times New Roman" w:hAnsi="Times New Roman" w:cs="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CBA81">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225.22</w:t>
            </w:r>
            <w:r>
              <w:rPr>
                <w:rFonts w:hint="default" w:ascii="Times New Roman" w:hAnsi="Times New Roman" w:cs="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CDF91">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7.43</w:t>
            </w:r>
            <w:r>
              <w:rPr>
                <w:rFonts w:hint="default" w:ascii="Times New Roman" w:hAnsi="Times New Roman" w:cs="Times New Roman"/>
                <w:b/>
                <w:color w:val="000000"/>
                <w:sz w:val="20"/>
                <w:u w:color="auto"/>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6255D">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88D65">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45071">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772A27AC">
        <w:tblPrEx>
          <w:tblCellMar>
            <w:top w:w="0" w:type="dxa"/>
            <w:left w:w="0" w:type="dxa"/>
            <w:bottom w:w="0" w:type="dxa"/>
            <w:right w:w="0" w:type="dxa"/>
          </w:tblCellMar>
        </w:tblPrEx>
        <w:trPr>
          <w:trHeight w:val="394"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29A26">
            <w:pPr>
              <w:keepNext w:val="0"/>
              <w:keepLines w:val="0"/>
              <w:pageBreakBefore w:val="0"/>
              <w:widowControl/>
              <w:kinsoku/>
              <w:wordWrap/>
              <w:overflowPunct/>
              <w:topLinePunct w:val="0"/>
              <w:autoSpaceDE/>
              <w:autoSpaceDN/>
              <w:bidi w:val="0"/>
              <w:adjustRightInd/>
              <w:snapToGrid/>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96CDCA">
            <w:pPr>
              <w:keepNext w:val="0"/>
              <w:keepLines w:val="0"/>
              <w:pageBreakBefore w:val="0"/>
              <w:widowControl/>
              <w:kinsoku/>
              <w:wordWrap/>
              <w:overflowPunct/>
              <w:topLinePunct w:val="0"/>
              <w:autoSpaceDE/>
              <w:autoSpaceDN/>
              <w:bidi w:val="0"/>
              <w:adjustRightInd/>
              <w:snapToGrid/>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274EC">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232.65</w:t>
            </w:r>
            <w:r>
              <w:rPr>
                <w:rFonts w:hint="default" w:ascii="Times New Roman" w:hAnsi="Times New Roman" w:cs="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EAACE">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225.22</w:t>
            </w:r>
            <w:r>
              <w:rPr>
                <w:rFonts w:hint="default" w:ascii="Times New Roman" w:hAnsi="Times New Roman" w:cs="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0D773">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7.43</w:t>
            </w:r>
            <w:r>
              <w:rPr>
                <w:rFonts w:hint="default" w:ascii="Times New Roman" w:hAnsi="Times New Roman" w:cs="Times New Roman"/>
                <w:b/>
                <w:color w:val="000000"/>
                <w:sz w:val="20"/>
                <w:u w:color="auto"/>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60F0A">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BEC69">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EAD32">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209FB675">
        <w:tblPrEx>
          <w:tblCellMar>
            <w:top w:w="0" w:type="dxa"/>
            <w:left w:w="0" w:type="dxa"/>
            <w:bottom w:w="0" w:type="dxa"/>
            <w:right w:w="0" w:type="dxa"/>
          </w:tblCellMar>
        </w:tblPrEx>
        <w:trPr>
          <w:trHeight w:val="394"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9C73F">
            <w:pPr>
              <w:keepNext w:val="0"/>
              <w:keepLines w:val="0"/>
              <w:pageBreakBefore w:val="0"/>
              <w:widowControl/>
              <w:kinsoku/>
              <w:wordWrap/>
              <w:overflowPunct/>
              <w:topLinePunct w:val="0"/>
              <w:autoSpaceDE/>
              <w:autoSpaceDN/>
              <w:bidi w:val="0"/>
              <w:adjustRightInd/>
              <w:snapToGrid/>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2070113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8EE1F">
            <w:pPr>
              <w:keepNext w:val="0"/>
              <w:keepLines w:val="0"/>
              <w:pageBreakBefore w:val="0"/>
              <w:widowControl/>
              <w:kinsoku/>
              <w:wordWrap/>
              <w:overflowPunct/>
              <w:topLinePunct w:val="0"/>
              <w:autoSpaceDE/>
              <w:autoSpaceDN/>
              <w:bidi w:val="0"/>
              <w:adjustRightInd/>
              <w:snapToGrid/>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旅游宣传</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DA6C9">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6.09</w:t>
            </w:r>
            <w:r>
              <w:rPr>
                <w:rFonts w:hint="default" w:ascii="Times New Roman" w:hAnsi="Times New Roman" w:cs="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24F43">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02F64">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6.09</w:t>
            </w:r>
            <w:r>
              <w:rPr>
                <w:rFonts w:hint="default" w:ascii="Times New Roman" w:hAnsi="Times New Roman" w:cs="Times New Roman"/>
                <w:color w:val="000000"/>
                <w:sz w:val="20"/>
                <w:u w:color="auto"/>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CF78A">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C7155">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CBE36">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529385EF">
        <w:tblPrEx>
          <w:tblCellMar>
            <w:top w:w="0" w:type="dxa"/>
            <w:left w:w="0" w:type="dxa"/>
            <w:bottom w:w="0" w:type="dxa"/>
            <w:right w:w="0" w:type="dxa"/>
          </w:tblCellMar>
        </w:tblPrEx>
        <w:trPr>
          <w:trHeight w:val="394"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52BEA">
            <w:pPr>
              <w:keepNext w:val="0"/>
              <w:keepLines w:val="0"/>
              <w:pageBreakBefore w:val="0"/>
              <w:widowControl/>
              <w:kinsoku/>
              <w:wordWrap/>
              <w:overflowPunct/>
              <w:topLinePunct w:val="0"/>
              <w:autoSpaceDE/>
              <w:autoSpaceDN/>
              <w:bidi w:val="0"/>
              <w:adjustRightInd/>
              <w:snapToGrid/>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AFAD4">
            <w:pPr>
              <w:keepNext w:val="0"/>
              <w:keepLines w:val="0"/>
              <w:pageBreakBefore w:val="0"/>
              <w:widowControl/>
              <w:kinsoku/>
              <w:wordWrap/>
              <w:overflowPunct/>
              <w:topLinePunct w:val="0"/>
              <w:autoSpaceDE/>
              <w:autoSpaceDN/>
              <w:bidi w:val="0"/>
              <w:adjustRightInd/>
              <w:snapToGrid/>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2EA64">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226.56</w:t>
            </w:r>
            <w:r>
              <w:rPr>
                <w:rFonts w:hint="default" w:ascii="Times New Roman" w:hAnsi="Times New Roman" w:cs="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4B0BD">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225.22</w:t>
            </w:r>
            <w:r>
              <w:rPr>
                <w:rFonts w:hint="default" w:ascii="Times New Roman" w:hAnsi="Times New Roman" w:cs="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E25C0">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1.34</w:t>
            </w:r>
            <w:r>
              <w:rPr>
                <w:rFonts w:hint="default" w:ascii="Times New Roman" w:hAnsi="Times New Roman" w:cs="Times New Roman"/>
                <w:color w:val="000000"/>
                <w:sz w:val="20"/>
                <w:u w:color="auto"/>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C9125">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8DF3F">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E441E">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6BA14ED6">
        <w:tblPrEx>
          <w:tblCellMar>
            <w:top w:w="0" w:type="dxa"/>
            <w:left w:w="0" w:type="dxa"/>
            <w:bottom w:w="0" w:type="dxa"/>
            <w:right w:w="0" w:type="dxa"/>
          </w:tblCellMar>
        </w:tblPrEx>
        <w:trPr>
          <w:trHeight w:val="394"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0C7D0">
            <w:pPr>
              <w:keepNext w:val="0"/>
              <w:keepLines w:val="0"/>
              <w:pageBreakBefore w:val="0"/>
              <w:widowControl/>
              <w:kinsoku/>
              <w:wordWrap/>
              <w:overflowPunct/>
              <w:topLinePunct w:val="0"/>
              <w:autoSpaceDE/>
              <w:autoSpaceDN/>
              <w:bidi w:val="0"/>
              <w:adjustRightInd/>
              <w:snapToGrid/>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E64485">
            <w:pPr>
              <w:keepNext w:val="0"/>
              <w:keepLines w:val="0"/>
              <w:pageBreakBefore w:val="0"/>
              <w:widowControl/>
              <w:kinsoku/>
              <w:wordWrap/>
              <w:overflowPunct/>
              <w:topLinePunct w:val="0"/>
              <w:autoSpaceDE/>
              <w:autoSpaceDN/>
              <w:bidi w:val="0"/>
              <w:adjustRightInd/>
              <w:snapToGrid/>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D8395">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38.86</w:t>
            </w:r>
            <w:r>
              <w:rPr>
                <w:rFonts w:hint="default" w:ascii="Times New Roman" w:hAnsi="Times New Roman" w:cs="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BB220">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38.86</w:t>
            </w:r>
            <w:r>
              <w:rPr>
                <w:rFonts w:hint="default" w:ascii="Times New Roman" w:hAnsi="Times New Roman" w:cs="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9346B">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BCAC4">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926F7">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AA798">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5634464A">
        <w:tblPrEx>
          <w:tblCellMar>
            <w:top w:w="0" w:type="dxa"/>
            <w:left w:w="0" w:type="dxa"/>
            <w:bottom w:w="0" w:type="dxa"/>
            <w:right w:w="0" w:type="dxa"/>
          </w:tblCellMar>
        </w:tblPrEx>
        <w:trPr>
          <w:trHeight w:val="394"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D3D2A">
            <w:pPr>
              <w:keepNext w:val="0"/>
              <w:keepLines w:val="0"/>
              <w:pageBreakBefore w:val="0"/>
              <w:widowControl/>
              <w:kinsoku/>
              <w:wordWrap/>
              <w:overflowPunct/>
              <w:topLinePunct w:val="0"/>
              <w:autoSpaceDE/>
              <w:autoSpaceDN/>
              <w:bidi w:val="0"/>
              <w:adjustRightInd/>
              <w:snapToGrid/>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B18FB">
            <w:pPr>
              <w:keepNext w:val="0"/>
              <w:keepLines w:val="0"/>
              <w:pageBreakBefore w:val="0"/>
              <w:widowControl/>
              <w:kinsoku/>
              <w:wordWrap/>
              <w:overflowPunct/>
              <w:topLinePunct w:val="0"/>
              <w:autoSpaceDE/>
              <w:autoSpaceDN/>
              <w:bidi w:val="0"/>
              <w:adjustRightInd/>
              <w:snapToGrid/>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5EFFC">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38.86</w:t>
            </w:r>
            <w:r>
              <w:rPr>
                <w:rFonts w:hint="default" w:ascii="Times New Roman" w:hAnsi="Times New Roman" w:cs="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22622">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38.86</w:t>
            </w:r>
            <w:r>
              <w:rPr>
                <w:rFonts w:hint="default" w:ascii="Times New Roman" w:hAnsi="Times New Roman" w:cs="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C5428">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D9637">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B0258">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13312">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2518F61C">
        <w:tblPrEx>
          <w:tblCellMar>
            <w:top w:w="0" w:type="dxa"/>
            <w:left w:w="0" w:type="dxa"/>
            <w:bottom w:w="0" w:type="dxa"/>
            <w:right w:w="0" w:type="dxa"/>
          </w:tblCellMar>
        </w:tblPrEx>
        <w:trPr>
          <w:trHeight w:val="394"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655AA">
            <w:pPr>
              <w:keepNext w:val="0"/>
              <w:keepLines w:val="0"/>
              <w:pageBreakBefore w:val="0"/>
              <w:widowControl/>
              <w:kinsoku/>
              <w:wordWrap/>
              <w:overflowPunct/>
              <w:topLinePunct w:val="0"/>
              <w:autoSpaceDE/>
              <w:autoSpaceDN/>
              <w:bidi w:val="0"/>
              <w:adjustRightInd/>
              <w:snapToGrid/>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728DF">
            <w:pPr>
              <w:keepNext w:val="0"/>
              <w:keepLines w:val="0"/>
              <w:pageBreakBefore w:val="0"/>
              <w:widowControl/>
              <w:kinsoku/>
              <w:wordWrap/>
              <w:overflowPunct/>
              <w:topLinePunct w:val="0"/>
              <w:autoSpaceDE/>
              <w:autoSpaceDN/>
              <w:bidi w:val="0"/>
              <w:adjustRightInd/>
              <w:snapToGrid/>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72FD0">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24.52</w:t>
            </w:r>
            <w:r>
              <w:rPr>
                <w:rFonts w:hint="default" w:ascii="Times New Roman" w:hAnsi="Times New Roman" w:cs="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AAEFB">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24.52</w:t>
            </w:r>
            <w:r>
              <w:rPr>
                <w:rFonts w:hint="default" w:ascii="Times New Roman" w:hAnsi="Times New Roman" w:cs="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9F488">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B74AB">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6425A">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6FD8A">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79931F93">
        <w:tblPrEx>
          <w:tblCellMar>
            <w:top w:w="0" w:type="dxa"/>
            <w:left w:w="0" w:type="dxa"/>
            <w:bottom w:w="0" w:type="dxa"/>
            <w:right w:w="0" w:type="dxa"/>
          </w:tblCellMar>
        </w:tblPrEx>
        <w:trPr>
          <w:trHeight w:val="394"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7AE88">
            <w:pPr>
              <w:keepNext w:val="0"/>
              <w:keepLines w:val="0"/>
              <w:pageBreakBefore w:val="0"/>
              <w:widowControl/>
              <w:kinsoku/>
              <w:wordWrap/>
              <w:overflowPunct/>
              <w:topLinePunct w:val="0"/>
              <w:autoSpaceDE/>
              <w:autoSpaceDN/>
              <w:bidi w:val="0"/>
              <w:adjustRightInd/>
              <w:snapToGrid/>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EAA87">
            <w:pPr>
              <w:keepNext w:val="0"/>
              <w:keepLines w:val="0"/>
              <w:pageBreakBefore w:val="0"/>
              <w:widowControl/>
              <w:kinsoku/>
              <w:wordWrap/>
              <w:overflowPunct/>
              <w:topLinePunct w:val="0"/>
              <w:autoSpaceDE/>
              <w:autoSpaceDN/>
              <w:bidi w:val="0"/>
              <w:adjustRightInd/>
              <w:snapToGrid/>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663AA">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12.26</w:t>
            </w:r>
            <w:r>
              <w:rPr>
                <w:rFonts w:hint="default" w:ascii="Times New Roman" w:hAnsi="Times New Roman" w:cs="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8C811">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12.26</w:t>
            </w:r>
            <w:r>
              <w:rPr>
                <w:rFonts w:hint="default" w:ascii="Times New Roman" w:hAnsi="Times New Roman" w:cs="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9E2D2">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CB59D">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3E3D4">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D7671">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70617DF7">
        <w:tblPrEx>
          <w:tblCellMar>
            <w:top w:w="0" w:type="dxa"/>
            <w:left w:w="0" w:type="dxa"/>
            <w:bottom w:w="0" w:type="dxa"/>
            <w:right w:w="0" w:type="dxa"/>
          </w:tblCellMar>
        </w:tblPrEx>
        <w:trPr>
          <w:trHeight w:val="394"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C5DD9">
            <w:pPr>
              <w:keepNext w:val="0"/>
              <w:keepLines w:val="0"/>
              <w:pageBreakBefore w:val="0"/>
              <w:widowControl/>
              <w:kinsoku/>
              <w:wordWrap/>
              <w:overflowPunct/>
              <w:topLinePunct w:val="0"/>
              <w:autoSpaceDE/>
              <w:autoSpaceDN/>
              <w:bidi w:val="0"/>
              <w:adjustRightInd/>
              <w:snapToGrid/>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EEDFA">
            <w:pPr>
              <w:keepNext w:val="0"/>
              <w:keepLines w:val="0"/>
              <w:pageBreakBefore w:val="0"/>
              <w:widowControl/>
              <w:kinsoku/>
              <w:wordWrap/>
              <w:overflowPunct/>
              <w:topLinePunct w:val="0"/>
              <w:autoSpaceDE/>
              <w:autoSpaceDN/>
              <w:bidi w:val="0"/>
              <w:adjustRightInd/>
              <w:snapToGrid/>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7B7C4">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w:t>
            </w:r>
            <w:r>
              <w:rPr>
                <w:rFonts w:hint="default" w:ascii="Times New Roman" w:hAnsi="Times New Roman" w:cs="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CA3A7">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w:t>
            </w:r>
            <w:r>
              <w:rPr>
                <w:rFonts w:hint="default" w:ascii="Times New Roman" w:hAnsi="Times New Roman" w:cs="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5102C">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D097C">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AA419">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488BB">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2999CFFE">
        <w:tblPrEx>
          <w:tblCellMar>
            <w:top w:w="0" w:type="dxa"/>
            <w:left w:w="0" w:type="dxa"/>
            <w:bottom w:w="0" w:type="dxa"/>
            <w:right w:w="0" w:type="dxa"/>
          </w:tblCellMar>
        </w:tblPrEx>
        <w:trPr>
          <w:trHeight w:val="394"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9D677">
            <w:pPr>
              <w:keepNext w:val="0"/>
              <w:keepLines w:val="0"/>
              <w:pageBreakBefore w:val="0"/>
              <w:widowControl/>
              <w:kinsoku/>
              <w:wordWrap/>
              <w:overflowPunct/>
              <w:topLinePunct w:val="0"/>
              <w:autoSpaceDE/>
              <w:autoSpaceDN/>
              <w:bidi w:val="0"/>
              <w:adjustRightInd/>
              <w:snapToGrid/>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A9F95">
            <w:pPr>
              <w:keepNext w:val="0"/>
              <w:keepLines w:val="0"/>
              <w:pageBreakBefore w:val="0"/>
              <w:widowControl/>
              <w:kinsoku/>
              <w:wordWrap/>
              <w:overflowPunct/>
              <w:topLinePunct w:val="0"/>
              <w:autoSpaceDE/>
              <w:autoSpaceDN/>
              <w:bidi w:val="0"/>
              <w:adjustRightInd/>
              <w:snapToGrid/>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01DB4">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12.58</w:t>
            </w:r>
            <w:r>
              <w:rPr>
                <w:rFonts w:hint="default" w:ascii="Times New Roman" w:hAnsi="Times New Roman" w:cs="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98CCF">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12.58</w:t>
            </w:r>
            <w:r>
              <w:rPr>
                <w:rFonts w:hint="default" w:ascii="Times New Roman" w:hAnsi="Times New Roman" w:cs="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5B92B">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A2C9D">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B4F63">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ED6AB">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487BB7CE">
        <w:tblPrEx>
          <w:tblCellMar>
            <w:top w:w="0" w:type="dxa"/>
            <w:left w:w="0" w:type="dxa"/>
            <w:bottom w:w="0" w:type="dxa"/>
            <w:right w:w="0" w:type="dxa"/>
          </w:tblCellMar>
        </w:tblPrEx>
        <w:trPr>
          <w:trHeight w:val="394"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455AD">
            <w:pPr>
              <w:keepNext w:val="0"/>
              <w:keepLines w:val="0"/>
              <w:pageBreakBefore w:val="0"/>
              <w:widowControl/>
              <w:kinsoku/>
              <w:wordWrap/>
              <w:overflowPunct/>
              <w:topLinePunct w:val="0"/>
              <w:autoSpaceDE/>
              <w:autoSpaceDN/>
              <w:bidi w:val="0"/>
              <w:adjustRightInd/>
              <w:snapToGrid/>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7B080">
            <w:pPr>
              <w:keepNext w:val="0"/>
              <w:keepLines w:val="0"/>
              <w:pageBreakBefore w:val="0"/>
              <w:widowControl/>
              <w:kinsoku/>
              <w:wordWrap/>
              <w:overflowPunct/>
              <w:topLinePunct w:val="0"/>
              <w:autoSpaceDE/>
              <w:autoSpaceDN/>
              <w:bidi w:val="0"/>
              <w:adjustRightInd/>
              <w:snapToGrid/>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F9D5B">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12.58</w:t>
            </w:r>
            <w:r>
              <w:rPr>
                <w:rFonts w:hint="default" w:ascii="Times New Roman" w:hAnsi="Times New Roman" w:cs="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76409">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12.58</w:t>
            </w:r>
            <w:r>
              <w:rPr>
                <w:rFonts w:hint="default" w:ascii="Times New Roman" w:hAnsi="Times New Roman" w:cs="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11EF8">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96268">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46333">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CD478">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6EAE865F">
        <w:tblPrEx>
          <w:tblCellMar>
            <w:top w:w="0" w:type="dxa"/>
            <w:left w:w="0" w:type="dxa"/>
            <w:bottom w:w="0" w:type="dxa"/>
            <w:right w:w="0" w:type="dxa"/>
          </w:tblCellMar>
        </w:tblPrEx>
        <w:trPr>
          <w:trHeight w:val="394"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26348">
            <w:pPr>
              <w:keepNext w:val="0"/>
              <w:keepLines w:val="0"/>
              <w:pageBreakBefore w:val="0"/>
              <w:widowControl/>
              <w:kinsoku/>
              <w:wordWrap/>
              <w:overflowPunct/>
              <w:topLinePunct w:val="0"/>
              <w:autoSpaceDE/>
              <w:autoSpaceDN/>
              <w:bidi w:val="0"/>
              <w:adjustRightInd/>
              <w:snapToGrid/>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B50C7">
            <w:pPr>
              <w:keepNext w:val="0"/>
              <w:keepLines w:val="0"/>
              <w:pageBreakBefore w:val="0"/>
              <w:widowControl/>
              <w:kinsoku/>
              <w:wordWrap/>
              <w:overflowPunct/>
              <w:topLinePunct w:val="0"/>
              <w:autoSpaceDE/>
              <w:autoSpaceDN/>
              <w:bidi w:val="0"/>
              <w:adjustRightInd/>
              <w:snapToGrid/>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3BA71">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8.64</w:t>
            </w:r>
            <w:r>
              <w:rPr>
                <w:rFonts w:hint="default" w:ascii="Times New Roman" w:hAnsi="Times New Roman" w:cs="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6C746">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8.64</w:t>
            </w:r>
            <w:r>
              <w:rPr>
                <w:rFonts w:hint="default" w:ascii="Times New Roman" w:hAnsi="Times New Roman" w:cs="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B8C92">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3488E">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D8B1B">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D269B">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701C38D3">
        <w:tblPrEx>
          <w:tblCellMar>
            <w:top w:w="0" w:type="dxa"/>
            <w:left w:w="0" w:type="dxa"/>
            <w:bottom w:w="0" w:type="dxa"/>
            <w:right w:w="0" w:type="dxa"/>
          </w:tblCellMar>
        </w:tblPrEx>
        <w:trPr>
          <w:trHeight w:val="394"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6214B">
            <w:pPr>
              <w:keepNext w:val="0"/>
              <w:keepLines w:val="0"/>
              <w:pageBreakBefore w:val="0"/>
              <w:widowControl/>
              <w:kinsoku/>
              <w:wordWrap/>
              <w:overflowPunct/>
              <w:topLinePunct w:val="0"/>
              <w:autoSpaceDE/>
              <w:autoSpaceDN/>
              <w:bidi w:val="0"/>
              <w:adjustRightInd/>
              <w:snapToGrid/>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3B6E6">
            <w:pPr>
              <w:keepNext w:val="0"/>
              <w:keepLines w:val="0"/>
              <w:pageBreakBefore w:val="0"/>
              <w:widowControl/>
              <w:kinsoku/>
              <w:wordWrap/>
              <w:overflowPunct/>
              <w:topLinePunct w:val="0"/>
              <w:autoSpaceDE/>
              <w:autoSpaceDN/>
              <w:bidi w:val="0"/>
              <w:adjustRightInd/>
              <w:snapToGrid/>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0A78E">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3.95</w:t>
            </w:r>
            <w:r>
              <w:rPr>
                <w:rFonts w:hint="default" w:ascii="Times New Roman" w:hAnsi="Times New Roman" w:cs="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96221">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3.95</w:t>
            </w:r>
            <w:r>
              <w:rPr>
                <w:rFonts w:hint="default" w:ascii="Times New Roman" w:hAnsi="Times New Roman" w:cs="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0DFE9">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46F9C">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E1E35">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FA02D">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20CE348F">
        <w:tblPrEx>
          <w:tblCellMar>
            <w:top w:w="0" w:type="dxa"/>
            <w:left w:w="0" w:type="dxa"/>
            <w:bottom w:w="0" w:type="dxa"/>
            <w:right w:w="0" w:type="dxa"/>
          </w:tblCellMar>
        </w:tblPrEx>
        <w:trPr>
          <w:trHeight w:val="394"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11CED">
            <w:pPr>
              <w:keepNext w:val="0"/>
              <w:keepLines w:val="0"/>
              <w:pageBreakBefore w:val="0"/>
              <w:widowControl/>
              <w:kinsoku/>
              <w:wordWrap/>
              <w:overflowPunct/>
              <w:topLinePunct w:val="0"/>
              <w:autoSpaceDE/>
              <w:autoSpaceDN/>
              <w:bidi w:val="0"/>
              <w:adjustRightInd/>
              <w:snapToGrid/>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CE76A1">
            <w:pPr>
              <w:keepNext w:val="0"/>
              <w:keepLines w:val="0"/>
              <w:pageBreakBefore w:val="0"/>
              <w:widowControl/>
              <w:kinsoku/>
              <w:wordWrap/>
              <w:overflowPunct/>
              <w:topLinePunct w:val="0"/>
              <w:autoSpaceDE/>
              <w:autoSpaceDN/>
              <w:bidi w:val="0"/>
              <w:adjustRightInd/>
              <w:snapToGrid/>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94CA1">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12.19</w:t>
            </w:r>
            <w:r>
              <w:rPr>
                <w:rFonts w:hint="default" w:ascii="Times New Roman" w:hAnsi="Times New Roman" w:cs="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76170">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12.19</w:t>
            </w:r>
            <w:r>
              <w:rPr>
                <w:rFonts w:hint="default" w:ascii="Times New Roman" w:hAnsi="Times New Roman" w:cs="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E68FD">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5B54F">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D7C0D">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56536">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2EB6649F">
        <w:tblPrEx>
          <w:tblCellMar>
            <w:top w:w="0" w:type="dxa"/>
            <w:left w:w="0" w:type="dxa"/>
            <w:bottom w:w="0" w:type="dxa"/>
            <w:right w:w="0" w:type="dxa"/>
          </w:tblCellMar>
        </w:tblPrEx>
        <w:trPr>
          <w:trHeight w:val="394"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31D85">
            <w:pPr>
              <w:keepNext w:val="0"/>
              <w:keepLines w:val="0"/>
              <w:pageBreakBefore w:val="0"/>
              <w:widowControl/>
              <w:kinsoku/>
              <w:wordWrap/>
              <w:overflowPunct/>
              <w:topLinePunct w:val="0"/>
              <w:autoSpaceDE/>
              <w:autoSpaceDN/>
              <w:bidi w:val="0"/>
              <w:adjustRightInd/>
              <w:snapToGrid/>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9C6CB">
            <w:pPr>
              <w:keepNext w:val="0"/>
              <w:keepLines w:val="0"/>
              <w:pageBreakBefore w:val="0"/>
              <w:widowControl/>
              <w:kinsoku/>
              <w:wordWrap/>
              <w:overflowPunct/>
              <w:topLinePunct w:val="0"/>
              <w:autoSpaceDE/>
              <w:autoSpaceDN/>
              <w:bidi w:val="0"/>
              <w:adjustRightInd/>
              <w:snapToGrid/>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DDD40">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12.19</w:t>
            </w:r>
            <w:r>
              <w:rPr>
                <w:rFonts w:hint="default" w:ascii="Times New Roman" w:hAnsi="Times New Roman" w:cs="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40333">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12.19</w:t>
            </w:r>
            <w:r>
              <w:rPr>
                <w:rFonts w:hint="default" w:ascii="Times New Roman" w:hAnsi="Times New Roman" w:cs="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89C2E">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50A6A">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D3F5D">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287A2">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22086D5E">
        <w:tblPrEx>
          <w:tblCellMar>
            <w:top w:w="0" w:type="dxa"/>
            <w:left w:w="0" w:type="dxa"/>
            <w:bottom w:w="0" w:type="dxa"/>
            <w:right w:w="0" w:type="dxa"/>
          </w:tblCellMar>
        </w:tblPrEx>
        <w:trPr>
          <w:trHeight w:val="404"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B5C1A">
            <w:pPr>
              <w:keepNext w:val="0"/>
              <w:keepLines w:val="0"/>
              <w:pageBreakBefore w:val="0"/>
              <w:widowControl/>
              <w:kinsoku/>
              <w:wordWrap/>
              <w:overflowPunct/>
              <w:topLinePunct w:val="0"/>
              <w:autoSpaceDE/>
              <w:autoSpaceDN/>
              <w:bidi w:val="0"/>
              <w:adjustRightInd/>
              <w:snapToGrid/>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A585F">
            <w:pPr>
              <w:keepNext w:val="0"/>
              <w:keepLines w:val="0"/>
              <w:pageBreakBefore w:val="0"/>
              <w:widowControl/>
              <w:kinsoku/>
              <w:wordWrap/>
              <w:overflowPunct/>
              <w:topLinePunct w:val="0"/>
              <w:autoSpaceDE/>
              <w:autoSpaceDN/>
              <w:bidi w:val="0"/>
              <w:adjustRightInd/>
              <w:snapToGrid/>
              <w:spacing w:line="240" w:lineRule="auto"/>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5137A">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12.19</w:t>
            </w:r>
            <w:r>
              <w:rPr>
                <w:rFonts w:hint="default" w:ascii="Times New Roman" w:hAnsi="Times New Roman" w:cs="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6D12B">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12.19</w:t>
            </w:r>
            <w:r>
              <w:rPr>
                <w:rFonts w:hint="default" w:ascii="Times New Roman" w:hAnsi="Times New Roman" w:cs="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A6205">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B89E1">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AE08D">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21654">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bl>
    <w:p w14:paraId="710CDBD7">
      <w:pPr>
        <w:rPr>
          <w:rFonts w:hint="default" w:ascii="Times New Roman" w:hAnsi="Times New Roman" w:cs="Times New Roman"/>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5C4706A3">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3D1D974">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14:paraId="27EA3F33">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0B9E5017">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color w:val="000000"/>
                <w:sz w:val="18"/>
                <w:szCs w:val="18"/>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丰都县旅游宣传营销中心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3953BB5F">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1E9E8D7">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931CD65">
            <w:pPr>
              <w:spacing w:line="200"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00B85B0">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14:paraId="3BF04A2A">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4095BB6A">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BF3C6F9">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C41E06E">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B4FC271">
            <w:pPr>
              <w:spacing w:line="200"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4A28EBD">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7A4ED996">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6508A">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A7CF2">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14:paraId="164EE228">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C8546">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71700">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784CC4">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D45852">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14:paraId="7B1713DF">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8DBDE">
            <w:pPr>
              <w:spacing w:line="200" w:lineRule="exact"/>
              <w:jc w:val="center"/>
              <w:rPr>
                <w:rFonts w:hint="default" w:ascii="Times New Roman" w:hAnsi="Times New Roman" w:cs="Times New Roman"/>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F5ED0">
            <w:pPr>
              <w:spacing w:line="200" w:lineRule="exact"/>
              <w:jc w:val="center"/>
              <w:rPr>
                <w:rFonts w:hint="default" w:ascii="Times New Roman" w:hAnsi="Times New Roman" w:cs="Times New Roman"/>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656BD3">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94B16">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B35EE">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F8A46">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70670">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14:paraId="4F3E7BC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AACB2">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A609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294.94</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E4AD0">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6D09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02A0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0653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8708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655F1F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96340">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28E9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1329E">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3413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1093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1BEF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6439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5BA343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B3A8C">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7EC3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473CB">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2A9B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7B61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DADD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60FE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354ABD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2C11E">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1EEA75">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DBE59">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41CA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16E7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D7F8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4AFC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BAF887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00C22">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7903B7">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500C4">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AE1E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425C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8AAD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8CFB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44424E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4472D">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B76F0A">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1AA15">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7EE5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F79F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D4F2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3B2A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DECA7D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9EC78">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07D798">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44F65">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47EE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232.65</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AAF2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232.65</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CA64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3D02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6A0C46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25005">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CCEAF8">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DB4CB">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AD01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38.86</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FF7F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38.86</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5B47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4D41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AFEBAF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C031F">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1E8C2F">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C4901">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C4C2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12.58</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5FF4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12.58</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123C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4A44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A0E4DD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6748C">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2B515">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44E23">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9005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F7A5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3D49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8F84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703A61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7795F">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00BCF">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BB654">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80EF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0DA5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81A6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275F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86BAB1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DDA48">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3A204">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94109">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2EF3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93F7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A35E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E87A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4B81E6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B3232">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7122D">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845F7">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27C4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D637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F622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886C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06BFDF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0CA41">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25BAF">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6A3E0">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EAD0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A527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67CD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0B5B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BF5691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7150C">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FC3EB">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841BB">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54EB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F096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4A7C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6093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799BDD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43744">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62303">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D6DDD">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10F4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FDB9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8025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7131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5A0B7E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084CD">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A3942">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05324">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0731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CC1B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6E11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6798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FB7DF8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36E64">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ADD8B">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5B90A">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5DE1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B34F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F194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C727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B375B4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A32A7">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F8162">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C1C34">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037B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12.19</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41C7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12.19</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EA0D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FA33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55F5D9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7E7E7">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9C4EF">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A657E">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82FD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30A7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353F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ED95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23F8D8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EAC12">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72E1D">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E998F">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7EDA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3661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1D30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034A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FC8F90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D3554">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C877C">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D216B">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F1FA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DC1B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A5B9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EFCD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308621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EB7AB">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60FBD">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0A3D9">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2944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46F8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78D6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B1C7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E8C052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8EB3E1">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49B9D">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54E54">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9C62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3CAE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129F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9EAB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6464CA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AFB175">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26EF9">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7D7EE">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40CA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9AA4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C63E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F94C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6BFC61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E39757">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70F0E">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E3E96">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2CB6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2AE2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20B2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A7D2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14CEDA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EEAF3">
            <w:pPr>
              <w:spacing w:line="200"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9BCF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294.94</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6D50A">
            <w:pPr>
              <w:spacing w:line="200"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4450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296.28</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9C72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296.28</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6F50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FFBC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767505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6837A">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02DA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1.34</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C27EC">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CBC6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E9C2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D9E4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FFB4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816B51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3612D">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7B75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1.34</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BE2B45">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5CC629">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5EBA8F">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249633">
            <w:pPr>
              <w:spacing w:line="200" w:lineRule="exac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D733D6">
            <w:pPr>
              <w:spacing w:line="200" w:lineRule="exact"/>
              <w:rPr>
                <w:rFonts w:hint="default" w:ascii="Times New Roman" w:hAnsi="Times New Roman" w:cs="Times New Roman"/>
                <w:color w:val="000000"/>
                <w:sz w:val="18"/>
                <w:szCs w:val="18"/>
              </w:rPr>
            </w:pPr>
          </w:p>
        </w:tc>
      </w:tr>
      <w:tr w14:paraId="15D0EE6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BBB90">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8068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3BBBB">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A4B1C">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B61A2">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49863">
            <w:pPr>
              <w:spacing w:line="200"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BB15A">
            <w:pPr>
              <w:spacing w:line="200" w:lineRule="exact"/>
              <w:jc w:val="right"/>
              <w:rPr>
                <w:rFonts w:hint="default" w:ascii="Times New Roman" w:hAnsi="Times New Roman" w:cs="Times New Roman"/>
                <w:color w:val="000000"/>
                <w:sz w:val="18"/>
                <w:szCs w:val="18"/>
              </w:rPr>
            </w:pPr>
          </w:p>
        </w:tc>
      </w:tr>
      <w:tr w14:paraId="7E51253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00C60">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5857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EE023">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2A4F1">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0D51B">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B8BF4">
            <w:pPr>
              <w:spacing w:line="200"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6864D">
            <w:pPr>
              <w:spacing w:line="200" w:lineRule="exact"/>
              <w:jc w:val="right"/>
              <w:rPr>
                <w:rFonts w:hint="default" w:ascii="Times New Roman" w:hAnsi="Times New Roman" w:cs="Times New Roman"/>
                <w:color w:val="000000"/>
                <w:sz w:val="18"/>
                <w:szCs w:val="18"/>
              </w:rPr>
            </w:pPr>
          </w:p>
        </w:tc>
      </w:tr>
      <w:tr w14:paraId="1310ECE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E06BA">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EFE8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296.28</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80048">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28D7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296.28</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0050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296.28</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0D9F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67BB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14:paraId="27D69900">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10"/>
        <w:tblW w:w="5000" w:type="pct"/>
        <w:tblInd w:w="0" w:type="dxa"/>
        <w:tblLayout w:type="fixed"/>
        <w:tblCellMar>
          <w:top w:w="0" w:type="dxa"/>
          <w:left w:w="0" w:type="dxa"/>
          <w:bottom w:w="0" w:type="dxa"/>
          <w:right w:w="0" w:type="dxa"/>
        </w:tblCellMar>
      </w:tblPr>
      <w:tblGrid>
        <w:gridCol w:w="1305"/>
        <w:gridCol w:w="4073"/>
        <w:gridCol w:w="3306"/>
        <w:gridCol w:w="3297"/>
        <w:gridCol w:w="3341"/>
      </w:tblGrid>
      <w:tr w14:paraId="560A2029">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21E6519E">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14:paraId="6FE4EE37">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394FF3AD">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丰都县旅游宣传营销中心</w:t>
            </w:r>
          </w:p>
        </w:tc>
        <w:tc>
          <w:tcPr>
            <w:tcW w:w="1076" w:type="pct"/>
            <w:tcBorders>
              <w:top w:val="nil"/>
              <w:left w:val="nil"/>
              <w:bottom w:val="nil"/>
              <w:right w:val="nil"/>
            </w:tcBorders>
            <w:shd w:val="clear" w:color="auto" w:fill="auto"/>
            <w:noWrap/>
            <w:tcMar>
              <w:top w:w="15" w:type="dxa"/>
              <w:left w:w="15" w:type="dxa"/>
              <w:right w:w="15" w:type="dxa"/>
            </w:tcMar>
            <w:vAlign w:val="bottom"/>
          </w:tcPr>
          <w:p w14:paraId="67EA767B">
            <w:pPr>
              <w:rPr>
                <w:rFonts w:hint="default" w:ascii="Times New Roman" w:hAnsi="Times New Roman" w:cs="Times New Roman"/>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5C3836E5">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14:paraId="7983513A">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4888B048">
            <w:pPr>
              <w:rPr>
                <w:rFonts w:hint="default" w:ascii="Times New Roman" w:hAnsi="Times New Roman" w:cs="Times New Roman"/>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23F64F47">
            <w:pPr>
              <w:rPr>
                <w:rFonts w:hint="default" w:ascii="Times New Roman" w:hAnsi="Times New Roman" w:cs="Times New Roman"/>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2619BDA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261D4AEB">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E490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3B0BB6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3E56BD30">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2376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21129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54B6D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EB665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566E2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7D84E519">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65F41">
            <w:pPr>
              <w:jc w:val="center"/>
              <w:rPr>
                <w:rFonts w:hint="default" w:ascii="Times New Roman" w:hAnsi="Times New Roman" w:cs="Times New Roman"/>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409B45">
            <w:pPr>
              <w:jc w:val="center"/>
              <w:rPr>
                <w:rFonts w:hint="default" w:ascii="Times New Roman" w:hAnsi="Times New Roman" w:cs="Times New Roman"/>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D847AA">
            <w:pPr>
              <w:jc w:val="center"/>
              <w:rPr>
                <w:rFonts w:hint="default" w:ascii="Times New Roman" w:hAnsi="Times New Roman" w:cs="Times New Roman"/>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782D4E">
            <w:pPr>
              <w:jc w:val="center"/>
              <w:rPr>
                <w:rFonts w:hint="default" w:ascii="Times New Roman" w:hAnsi="Times New Roman" w:cs="Times New Roman"/>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947E9A">
            <w:pPr>
              <w:jc w:val="center"/>
              <w:rPr>
                <w:rFonts w:hint="default" w:ascii="Times New Roman" w:hAnsi="Times New Roman" w:cs="Times New Roman"/>
                <w:b/>
                <w:color w:val="000000"/>
                <w:sz w:val="20"/>
                <w:szCs w:val="20"/>
              </w:rPr>
            </w:pPr>
          </w:p>
        </w:tc>
      </w:tr>
      <w:tr w14:paraId="0C7B6687">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E396D">
            <w:pPr>
              <w:jc w:val="center"/>
              <w:rPr>
                <w:rFonts w:hint="default" w:ascii="Times New Roman" w:hAnsi="Times New Roman" w:cs="Times New Roman"/>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84630F">
            <w:pPr>
              <w:jc w:val="center"/>
              <w:rPr>
                <w:rFonts w:hint="default" w:ascii="Times New Roman" w:hAnsi="Times New Roman" w:cs="Times New Roman"/>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9155F7">
            <w:pPr>
              <w:jc w:val="center"/>
              <w:rPr>
                <w:rFonts w:hint="default" w:ascii="Times New Roman" w:hAnsi="Times New Roman" w:cs="Times New Roman"/>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D93658">
            <w:pPr>
              <w:jc w:val="center"/>
              <w:rPr>
                <w:rFonts w:hint="default" w:ascii="Times New Roman" w:hAnsi="Times New Roman" w:cs="Times New Roman"/>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482569">
            <w:pPr>
              <w:jc w:val="center"/>
              <w:rPr>
                <w:rFonts w:hint="default" w:ascii="Times New Roman" w:hAnsi="Times New Roman" w:cs="Times New Roman"/>
                <w:b/>
                <w:color w:val="000000"/>
                <w:sz w:val="20"/>
                <w:szCs w:val="20"/>
              </w:rPr>
            </w:pPr>
          </w:p>
        </w:tc>
      </w:tr>
      <w:tr w14:paraId="7AFF0FE2">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2D50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2E615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296.28</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8E24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288.86</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AAE4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7.43</w:t>
            </w:r>
            <w:r>
              <w:rPr>
                <w:rFonts w:hint="default" w:ascii="Times New Roman" w:hAnsi="Times New Roman" w:cs="Times New Roman"/>
                <w:b/>
                <w:color w:val="000000"/>
                <w:sz w:val="20"/>
                <w:u w:color="auto"/>
              </w:rPr>
              <w:t xml:space="preserve"> </w:t>
            </w:r>
          </w:p>
        </w:tc>
      </w:tr>
      <w:tr w14:paraId="4D06EA8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3F0B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F60F7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5335E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232.65</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E035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225.22</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A3F9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7.43</w:t>
            </w:r>
            <w:r>
              <w:rPr>
                <w:rFonts w:hint="default" w:ascii="Times New Roman" w:hAnsi="Times New Roman" w:cs="Times New Roman"/>
                <w:b/>
                <w:color w:val="000000"/>
                <w:sz w:val="20"/>
                <w:u w:color="auto"/>
              </w:rPr>
              <w:t xml:space="preserve"> </w:t>
            </w:r>
          </w:p>
        </w:tc>
      </w:tr>
      <w:tr w14:paraId="2ADB725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2B35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E666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46374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232.65</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A67F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225.22</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255E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7.43</w:t>
            </w:r>
            <w:r>
              <w:rPr>
                <w:rFonts w:hint="default" w:ascii="Times New Roman" w:hAnsi="Times New Roman" w:cs="Times New Roman"/>
                <w:b/>
                <w:color w:val="000000"/>
                <w:sz w:val="20"/>
                <w:u w:color="auto"/>
              </w:rPr>
              <w:t xml:space="preserve"> </w:t>
            </w:r>
          </w:p>
        </w:tc>
      </w:tr>
      <w:tr w14:paraId="7CDEBC7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DD9D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8AA9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旅游宣传</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212C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6.09</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A521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9C0A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6.09</w:t>
            </w:r>
            <w:r>
              <w:rPr>
                <w:rFonts w:hint="default" w:ascii="Times New Roman" w:hAnsi="Times New Roman" w:cs="Times New Roman"/>
                <w:color w:val="000000"/>
                <w:sz w:val="20"/>
                <w:u w:color="auto"/>
              </w:rPr>
              <w:t xml:space="preserve"> </w:t>
            </w:r>
          </w:p>
        </w:tc>
      </w:tr>
      <w:tr w14:paraId="3429A0D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6C8A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F0013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BA6C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226.56</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22B7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225.22</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47CB9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1.34</w:t>
            </w:r>
            <w:r>
              <w:rPr>
                <w:rFonts w:hint="default" w:ascii="Times New Roman" w:hAnsi="Times New Roman" w:cs="Times New Roman"/>
                <w:color w:val="000000"/>
                <w:sz w:val="20"/>
                <w:u w:color="auto"/>
              </w:rPr>
              <w:t xml:space="preserve"> </w:t>
            </w:r>
          </w:p>
        </w:tc>
      </w:tr>
      <w:tr w14:paraId="7B967DB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99E1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5580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8D8E8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38.86</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5326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38.86</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94A0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14C30C7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F586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440B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7F1E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38.86</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0A0D6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38.86</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F2E0C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02F3518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29C9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1904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33E1A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24.52</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F371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24.52</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B406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226552D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14BD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A7B0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7C27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12.26</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17A33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12.26</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204C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45D819F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72B3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E134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55F0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2.07</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6E59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2.07</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306E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2B47964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C8AC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7692B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46E4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12.58</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D85A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12.58</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08A8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603919E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AF15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8C34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4E21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12.58</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0934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12.58</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5178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6CF0377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C335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12A6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1941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8.64</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152B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8.64</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D3E8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1C49721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265C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8A509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7CC9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3.95</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636C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3.95</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B969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3B996FD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C90F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7DF8B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6CBB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12.19</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913C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12.19</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C348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5088CC8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61AC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5477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63BFA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12.19</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A1F7C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12.19</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C3A16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5E6DD33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C557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6396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6E01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12.19</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CC34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12.19</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C4FD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bl>
    <w:p w14:paraId="10F66893">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7CACF6EF">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10"/>
        <w:tblW w:w="4994" w:type="pct"/>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55FE6BF2">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4953A255">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14:paraId="1E7373A3">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1BF4158F">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color w:val="000000"/>
                <w:sz w:val="18"/>
                <w:szCs w:val="18"/>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丰都县旅游宣传营销中心</w:t>
            </w:r>
          </w:p>
        </w:tc>
        <w:tc>
          <w:tcPr>
            <w:tcW w:w="463" w:type="pct"/>
            <w:tcBorders>
              <w:top w:val="nil"/>
              <w:left w:val="nil"/>
              <w:bottom w:val="nil"/>
              <w:right w:val="nil"/>
            </w:tcBorders>
            <w:shd w:val="clear" w:color="auto" w:fill="auto"/>
            <w:noWrap/>
            <w:tcMar>
              <w:top w:w="15" w:type="dxa"/>
              <w:left w:w="15" w:type="dxa"/>
              <w:right w:w="15" w:type="dxa"/>
            </w:tcMar>
            <w:vAlign w:val="bottom"/>
          </w:tcPr>
          <w:p w14:paraId="5DDECCD8">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373AF0D5">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20C42BD7">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33F90E0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14:paraId="7A4F8427">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0A017550">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79D653D3">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6CCE372D">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0D7D7F5B">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39B05B2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631DE21D">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A75B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A27C3E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14:paraId="78B78563">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A756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89874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E06D6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B579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EBBB8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3545E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37FE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6AA34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DF1A8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14:paraId="1550450D">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51ED4">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A43E01">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46F754">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F368E">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2A5408">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0D984B">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42E5D">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FE7A5E">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E23F7F">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color w:val="000000"/>
                <w:sz w:val="18"/>
                <w:szCs w:val="18"/>
              </w:rPr>
            </w:pPr>
          </w:p>
        </w:tc>
      </w:tr>
      <w:tr w14:paraId="494A062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4EC6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C05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21C9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249.79</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D9A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C572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7E28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29.68</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0E1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7A67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C2BF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F4393A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0B94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215C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A168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61.14</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7D5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F50D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354A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2.16</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289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232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3136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73489C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ECFB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A6E4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F42E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2.08</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B9B5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9688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888B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1.95</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2BCD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96C8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B8D4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13DE82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EF8D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33A2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2FA9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DC50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DF9D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14F5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4E96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031E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1DE4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3C0F69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2A5C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6E56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4BD7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C653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66A9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BF9C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91F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333E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3064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975356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20D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BF40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BD34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115.97</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5EF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99FC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274A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078E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9E4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4F80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F11665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065F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AFBB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76F0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24.55</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2451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AC7D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5CAC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8CE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AA64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1D52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7852FE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63F4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8203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9ED3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12.75</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83F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13EE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1D25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0.67</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4A9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50BD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3355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7E274B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D1CE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C074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6598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8.69</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DB5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E81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F5CA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1D47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2F3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0950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891F63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12F8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661F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52CC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527A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8A73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9A80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1.92</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C607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F8D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42EA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0E4637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6CC1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1E91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99C5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5.27</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1E7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8F2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233A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9.59</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5BA4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2548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6BCC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CDD0B6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3617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FB32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5AB9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15.40</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0556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54C1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7653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CAAB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C350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8353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22B6E8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4576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A68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8B36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3.95</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CC4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1711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3E86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42D2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4E0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6121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2F95C8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6D54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FEA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E643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8133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2777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F1FF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2070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380A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A50F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C848B1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50B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26D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8C96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9.38</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3A7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8CA8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3B32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120E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8847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695E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30A4A4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E27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EADB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2B20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71AA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CD3E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1856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0.39</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C53C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7966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5CE2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774178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E0A4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F0F2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E175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4E53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A27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BB47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63D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B6D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D8F3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742D76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9816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179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9AFD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B53B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E45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7A4B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F14A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D5DE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28EA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0D0DD1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2E2A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65B7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457D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A6F7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FC59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5E6A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2D27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0ED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93E0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C0111D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21C3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32C4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6E22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9.18</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162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B6A9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8553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85F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52B4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060C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76521D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2815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8EA0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0A60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3C06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6A44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5C73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0.68</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D13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7269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48D4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ED7B10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2654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32F1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42E2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0.20</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E44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F60A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DB37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7A1B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F5D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5887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8D80EA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E87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5450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EBB1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7355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309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6417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8.41</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C29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AA3DD">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813F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9EBC88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1C1C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AB0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2075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399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FFDC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C9CF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D2AC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B48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3684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ADA0D8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CB4A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A590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EA7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50C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E0C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E6D2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EB2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7F2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D7DF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A152DA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1D8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454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8CEB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CB51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2D99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F5E5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9B61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F264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9A9D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C23252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9B6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062E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32B3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F19F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690E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4A85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D7D7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0D95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3743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AD1163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8B136">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DC6CD">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C9FFE3">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190E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3EE9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6121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3.90</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4034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2AE5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AC82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99EABC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9C779">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03AF1">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E8FE69">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1BBE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062B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9147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C95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40B3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0562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06A8BB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45E54">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68B8D">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9E2245">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090C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B129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05A3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480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EE45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F5D0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B5F4A2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2F459">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D973C">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6FB465">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33F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1A78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9FCC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47F17">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DCEC2">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F16E5">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s="Times New Roman"/>
                <w:color w:val="000000"/>
                <w:sz w:val="18"/>
                <w:szCs w:val="18"/>
              </w:rPr>
            </w:pPr>
          </w:p>
        </w:tc>
      </w:tr>
      <w:tr w14:paraId="6F8ED31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77A59">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BDC23">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FADFA4">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2220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635F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E5E3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22FF8">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DA738">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3A8B7">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s="Times New Roman"/>
                <w:color w:val="000000"/>
                <w:sz w:val="18"/>
                <w:szCs w:val="18"/>
              </w:rPr>
            </w:pPr>
          </w:p>
        </w:tc>
      </w:tr>
      <w:tr w14:paraId="3D3FAF42">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6D599">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5B36D">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D89E16">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68D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ED8D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F10A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A29DD">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0301E">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A9386">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s="Times New Roman"/>
                <w:color w:val="000000"/>
                <w:sz w:val="18"/>
                <w:szCs w:val="18"/>
              </w:rPr>
            </w:pPr>
          </w:p>
        </w:tc>
      </w:tr>
      <w:tr w14:paraId="34CD12F4">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F2A9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53E4B4">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259.17</w:t>
            </w:r>
            <w:r>
              <w:rPr>
                <w:rFonts w:hint="default" w:ascii="Times New Roman" w:hAnsi="Times New Roman" w:cs="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E3388">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5EF1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29.68</w:t>
            </w:r>
            <w:r>
              <w:rPr>
                <w:rFonts w:hint="default" w:ascii="Times New Roman" w:hAnsi="Times New Roman" w:cs="Times New Roman"/>
                <w:color w:val="000000"/>
                <w:sz w:val="18"/>
                <w:u w:color="auto"/>
              </w:rPr>
              <w:t xml:space="preserve"> </w:t>
            </w:r>
          </w:p>
        </w:tc>
      </w:tr>
    </w:tbl>
    <w:p w14:paraId="71C83F7E">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2718FB22">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C02CC49">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14:paraId="18554040">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2729A21E">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丰都县旅游宣传营销中心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058D0CF0">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85F82B7">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35DC62A">
            <w:pPr>
              <w:rPr>
                <w:rFonts w:hint="default" w:ascii="Times New Roman" w:hAnsi="Times New Roman" w:cs="Times New 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17912565">
            <w:pPr>
              <w:rPr>
                <w:rFonts w:hint="default" w:ascii="Times New Roman" w:hAnsi="Times New Roman" w:cs="Times New Roman"/>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7BFAEE4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14:paraId="5850F51E">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2AAFBE26">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4AEF789">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4E37B55">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4A974B2">
            <w:pPr>
              <w:rPr>
                <w:rFonts w:hint="default" w:ascii="Times New Roman" w:hAnsi="Times New Roman" w:cs="Times New 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1BD40F26">
            <w:pPr>
              <w:rPr>
                <w:rFonts w:hint="default" w:ascii="Times New Roman" w:hAnsi="Times New Roman" w:cs="Times New Roman"/>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34C653A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0F166AF2">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41A2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69AF0B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5AAD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50D6FA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DF3E7">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14:paraId="236E796E">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F641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BF7B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16E4B48">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38571">
            <w:pPr>
              <w:jc w:val="center"/>
              <w:rPr>
                <w:rFonts w:hint="default" w:ascii="Times New Roman" w:hAnsi="Times New Roman" w:cs="Times New Roman"/>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97957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29B6A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CBADB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6A67D">
            <w:pPr>
              <w:jc w:val="center"/>
              <w:rPr>
                <w:rFonts w:hint="default" w:ascii="Times New Roman" w:hAnsi="Times New Roman" w:cs="Times New Roman"/>
                <w:b/>
                <w:color w:val="000000"/>
                <w:sz w:val="20"/>
                <w:szCs w:val="20"/>
              </w:rPr>
            </w:pPr>
          </w:p>
        </w:tc>
      </w:tr>
      <w:tr w14:paraId="00B12D77">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6DDCC">
            <w:pPr>
              <w:jc w:val="center"/>
              <w:rPr>
                <w:rFonts w:hint="default" w:ascii="Times New Roman" w:hAnsi="Times New Roman" w:cs="Times New Roman"/>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28E09">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ED5E92E">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F4E4C">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A70384">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0687EC">
            <w:pPr>
              <w:jc w:val="center"/>
              <w:rPr>
                <w:rFonts w:hint="default" w:ascii="Times New Roman" w:hAnsi="Times New Roman" w:cs="Times New Roman"/>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BD2D6D">
            <w:pPr>
              <w:jc w:val="center"/>
              <w:rPr>
                <w:rFonts w:hint="default" w:ascii="Times New Roman" w:hAnsi="Times New Roman" w:cs="Times New Roman"/>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A0E68">
            <w:pPr>
              <w:jc w:val="center"/>
              <w:rPr>
                <w:rFonts w:hint="default" w:ascii="Times New Roman" w:hAnsi="Times New Roman" w:cs="Times New Roman"/>
                <w:b/>
                <w:color w:val="000000"/>
                <w:sz w:val="20"/>
                <w:szCs w:val="20"/>
              </w:rPr>
            </w:pPr>
          </w:p>
        </w:tc>
      </w:tr>
      <w:tr w14:paraId="741D3A6F">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F9C1A">
            <w:pPr>
              <w:jc w:val="center"/>
              <w:rPr>
                <w:rFonts w:hint="default" w:ascii="Times New Roman" w:hAnsi="Times New Roman" w:cs="Times New Roman"/>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8D262">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8F0E44B">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01F6C">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169E94">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12BE9D">
            <w:pPr>
              <w:jc w:val="center"/>
              <w:rPr>
                <w:rFonts w:hint="default" w:ascii="Times New Roman" w:hAnsi="Times New Roman" w:cs="Times New Roman"/>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A4B2AD">
            <w:pPr>
              <w:jc w:val="center"/>
              <w:rPr>
                <w:rFonts w:hint="default" w:ascii="Times New Roman" w:hAnsi="Times New Roman" w:cs="Times New Roman"/>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68D86">
            <w:pPr>
              <w:jc w:val="center"/>
              <w:rPr>
                <w:rFonts w:hint="default" w:ascii="Times New Roman" w:hAnsi="Times New Roman" w:cs="Times New Roman"/>
                <w:b/>
                <w:color w:val="000000"/>
                <w:sz w:val="20"/>
                <w:szCs w:val="20"/>
              </w:rPr>
            </w:pPr>
          </w:p>
        </w:tc>
      </w:tr>
      <w:tr w14:paraId="4834C4CB">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09CD7">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0C06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753E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DEC7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AEBB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03BE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CA3DA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14:paraId="3CE3814A">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D43F6">
            <w:pPr>
              <w:jc w:val="both"/>
              <w:textAlignment w:val="center"/>
              <w:rPr>
                <w:rFonts w:hint="default" w:ascii="Times New Roman" w:hAnsi="Times New Roman" w:cs="Times New Roman"/>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975C94">
            <w:pPr>
              <w:jc w:val="both"/>
              <w:textAlignment w:val="center"/>
              <w:rPr>
                <w:rFonts w:hint="default" w:ascii="Times New Roman" w:hAnsi="Times New Roman" w:cs="Times New Roman"/>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AAFB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7B95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AE1A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9858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D49C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EF5C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bl>
    <w:p w14:paraId="6BA87166">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61B12BC6">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10"/>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3A2878B7">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C359A55">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14:paraId="22D058C8">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0C0BE7B8">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丰都县旅游宣传营销中心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2842430">
            <w:pPr>
              <w:rPr>
                <w:rFonts w:hint="default" w:ascii="Times New Roman" w:hAnsi="Times New Roman" w:cs="Times New Roman"/>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740DF45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14:paraId="652FE8C7">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7B7D8016">
            <w:pPr>
              <w:rPr>
                <w:rFonts w:hint="default" w:ascii="Times New Roman" w:hAnsi="Times New Roman" w:cs="Times New Roman"/>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7069FEF">
            <w:pPr>
              <w:rPr>
                <w:rFonts w:hint="default" w:ascii="Times New Roman" w:hAnsi="Times New Roman" w:cs="Times New Roman"/>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351697E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094D5703">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148DCB">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BE7D5D">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62595253">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11DA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420986">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4343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D802B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58249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43CF9BF6">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81406">
            <w:pPr>
              <w:jc w:val="center"/>
              <w:rPr>
                <w:rFonts w:hint="default" w:ascii="Times New Roman" w:hAnsi="Times New Roman" w:cs="Times New Roman"/>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F49C53">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E8ED3">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CA5212">
            <w:pPr>
              <w:jc w:val="center"/>
              <w:rPr>
                <w:rFonts w:hint="default" w:ascii="Times New Roman" w:hAnsi="Times New Roman" w:cs="Times New Roman"/>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076B6E">
            <w:pPr>
              <w:jc w:val="center"/>
              <w:rPr>
                <w:rFonts w:hint="default" w:ascii="Times New Roman" w:hAnsi="Times New Roman" w:cs="Times New Roman"/>
                <w:b/>
                <w:color w:val="000000"/>
                <w:sz w:val="20"/>
                <w:szCs w:val="20"/>
              </w:rPr>
            </w:pPr>
          </w:p>
        </w:tc>
      </w:tr>
      <w:tr w14:paraId="1EFFDB5C">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37F1E">
            <w:pPr>
              <w:jc w:val="center"/>
              <w:rPr>
                <w:rFonts w:hint="default" w:ascii="Times New Roman" w:hAnsi="Times New Roman" w:cs="Times New Roman"/>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364E2B">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92739">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DA1B9F">
            <w:pPr>
              <w:jc w:val="center"/>
              <w:rPr>
                <w:rFonts w:hint="default" w:ascii="Times New Roman" w:hAnsi="Times New Roman" w:cs="Times New Roman"/>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0CD0A8">
            <w:pPr>
              <w:jc w:val="center"/>
              <w:rPr>
                <w:rFonts w:hint="default" w:ascii="Times New Roman" w:hAnsi="Times New Roman" w:cs="Times New Roman"/>
                <w:b/>
                <w:color w:val="000000"/>
                <w:sz w:val="20"/>
                <w:szCs w:val="20"/>
              </w:rPr>
            </w:pPr>
          </w:p>
        </w:tc>
      </w:tr>
      <w:tr w14:paraId="4A953839">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9EAFD">
            <w:pPr>
              <w:jc w:val="center"/>
              <w:rPr>
                <w:rFonts w:hint="default" w:ascii="Times New Roman" w:hAnsi="Times New Roman" w:cs="Times New Roman"/>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8C0C9C">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29114">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DA0F00">
            <w:pPr>
              <w:jc w:val="center"/>
              <w:rPr>
                <w:rFonts w:hint="default" w:ascii="Times New Roman" w:hAnsi="Times New Roman" w:cs="Times New Roman"/>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830BF6">
            <w:pPr>
              <w:jc w:val="center"/>
              <w:rPr>
                <w:rFonts w:hint="default" w:ascii="Times New Roman" w:hAnsi="Times New Roman" w:cs="Times New Roman"/>
                <w:b/>
                <w:color w:val="000000"/>
                <w:sz w:val="20"/>
                <w:szCs w:val="20"/>
              </w:rPr>
            </w:pPr>
          </w:p>
        </w:tc>
      </w:tr>
      <w:tr w14:paraId="4375C918">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6A07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67B0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1273A">
            <w:pPr>
              <w:jc w:val="right"/>
              <w:rPr>
                <w:rFonts w:hint="default" w:ascii="Times New Roman" w:hAnsi="Times New Roman" w:cs="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EC8C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14:paraId="7646432A">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D4A9A">
            <w:pPr>
              <w:textAlignment w:val="center"/>
              <w:rPr>
                <w:rFonts w:hint="default" w:ascii="Times New Roman" w:hAnsi="Times New Roman" w:cs="Times New Roman"/>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4A74F">
            <w:pPr>
              <w:textAlignment w:val="center"/>
              <w:rPr>
                <w:rFonts w:hint="default" w:ascii="Times New Roman" w:hAnsi="Times New Roman" w:cs="Times New Roman"/>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F2B7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82B84">
            <w:pPr>
              <w:jc w:val="right"/>
              <w:rPr>
                <w:rFonts w:hint="default" w:ascii="Times New Roman" w:hAnsi="Times New Roman" w:cs="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7E7B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r>
    </w:tbl>
    <w:p w14:paraId="09E41C21">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77F41FD1">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10"/>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14:paraId="00EE2329">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2DB91ECB">
            <w:pPr>
              <w:spacing w:line="400" w:lineRule="exact"/>
              <w:jc w:val="center"/>
              <w:textAlignment w:val="bottom"/>
              <w:rPr>
                <w:rFonts w:hint="default" w:ascii="Times New Roman" w:hAnsi="Times New Roman" w:cs="Times New Roman"/>
                <w:b/>
                <w:color w:val="000000"/>
                <w:kern w:val="2"/>
                <w:sz w:val="32"/>
                <w:szCs w:val="32"/>
              </w:rPr>
            </w:pPr>
            <w:r>
              <w:rPr>
                <w:rFonts w:hint="default" w:ascii="Times New Roman" w:hAnsi="Times New Roman" w:cs="Times New Roman"/>
                <w:b/>
                <w:color w:val="000000"/>
                <w:kern w:val="2"/>
                <w:sz w:val="32"/>
                <w:szCs w:val="32"/>
              </w:rPr>
              <w:t>机构运行信息表</w:t>
            </w:r>
          </w:p>
        </w:tc>
      </w:tr>
      <w:tr w14:paraId="036E1611">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70467A35">
            <w:pPr>
              <w:spacing w:line="280" w:lineRule="exact"/>
              <w:rPr>
                <w:rFonts w:hint="default" w:ascii="Times New Roman" w:hAnsi="Times New Roman" w:cs="Times New Roman"/>
                <w:color w:val="000000"/>
                <w:kern w:val="2"/>
                <w:sz w:val="20"/>
                <w:szCs w:val="20"/>
              </w:rPr>
            </w:pPr>
          </w:p>
        </w:tc>
        <w:tc>
          <w:tcPr>
            <w:tcW w:w="854" w:type="pct"/>
            <w:shd w:val="clear" w:color="auto" w:fill="auto"/>
            <w:noWrap/>
            <w:tcMar>
              <w:top w:w="15" w:type="dxa"/>
              <w:left w:w="15" w:type="dxa"/>
              <w:right w:w="15" w:type="dxa"/>
            </w:tcMar>
            <w:vAlign w:val="bottom"/>
          </w:tcPr>
          <w:p w14:paraId="619FF118">
            <w:pPr>
              <w:spacing w:line="280" w:lineRule="exact"/>
              <w:jc w:val="center"/>
              <w:rPr>
                <w:rFonts w:hint="default" w:ascii="Times New Roman" w:hAnsi="Times New Roman" w:cs="Times New Roman"/>
                <w:color w:val="000000"/>
                <w:kern w:val="2"/>
                <w:sz w:val="20"/>
                <w:szCs w:val="20"/>
              </w:rPr>
            </w:pPr>
          </w:p>
        </w:tc>
        <w:tc>
          <w:tcPr>
            <w:tcW w:w="840" w:type="pct"/>
            <w:shd w:val="clear" w:color="auto" w:fill="auto"/>
            <w:noWrap/>
            <w:tcMar>
              <w:top w:w="15" w:type="dxa"/>
              <w:left w:w="15" w:type="dxa"/>
              <w:right w:w="15" w:type="dxa"/>
            </w:tcMar>
            <w:vAlign w:val="bottom"/>
          </w:tcPr>
          <w:p w14:paraId="31225017">
            <w:pPr>
              <w:spacing w:line="280" w:lineRule="exact"/>
              <w:jc w:val="right"/>
              <w:rPr>
                <w:rFonts w:hint="default" w:ascii="Times New Roman" w:hAnsi="Times New Roman" w:cs="Times New Roman"/>
                <w:color w:val="000000"/>
                <w:kern w:val="2"/>
                <w:sz w:val="20"/>
                <w:szCs w:val="20"/>
              </w:rPr>
            </w:pPr>
          </w:p>
        </w:tc>
        <w:tc>
          <w:tcPr>
            <w:tcW w:w="1299" w:type="pct"/>
            <w:shd w:val="clear" w:color="auto" w:fill="auto"/>
            <w:noWrap/>
            <w:tcMar>
              <w:top w:w="15" w:type="dxa"/>
              <w:left w:w="15" w:type="dxa"/>
              <w:right w:w="15" w:type="dxa"/>
            </w:tcMar>
            <w:vAlign w:val="bottom"/>
          </w:tcPr>
          <w:p w14:paraId="4446BDCC">
            <w:pPr>
              <w:spacing w:line="280" w:lineRule="exact"/>
              <w:rPr>
                <w:rFonts w:hint="default" w:ascii="Times New Roman" w:hAnsi="Times New Roman" w:cs="Times New Roman"/>
                <w:color w:val="000000"/>
                <w:kern w:val="2"/>
                <w:sz w:val="20"/>
                <w:szCs w:val="20"/>
              </w:rPr>
            </w:pPr>
          </w:p>
        </w:tc>
        <w:tc>
          <w:tcPr>
            <w:tcW w:w="879" w:type="pct"/>
            <w:shd w:val="clear" w:color="auto" w:fill="auto"/>
            <w:noWrap/>
            <w:tcMar>
              <w:top w:w="15" w:type="dxa"/>
              <w:left w:w="15" w:type="dxa"/>
              <w:right w:w="15" w:type="dxa"/>
            </w:tcMar>
            <w:vAlign w:val="bottom"/>
          </w:tcPr>
          <w:p w14:paraId="7D4B42D7">
            <w:pPr>
              <w:spacing w:line="280"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公开09表</w:t>
            </w:r>
          </w:p>
        </w:tc>
      </w:tr>
      <w:tr w14:paraId="675472C1">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4910221A">
            <w:pPr>
              <w:spacing w:line="280" w:lineRule="exact"/>
              <w:rPr>
                <w:rFonts w:hint="default" w:ascii="Times New Roman" w:hAnsi="Times New Roman" w:cs="Times New Roman"/>
                <w:color w:val="000000"/>
                <w:kern w:val="2"/>
                <w:sz w:val="20"/>
                <w:szCs w:val="20"/>
              </w:rPr>
            </w:pPr>
            <w:r>
              <w:rPr>
                <w:rFonts w:hint="default" w:ascii="Times New Roman" w:hAnsi="Times New Roman" w:cs="Times New Roman"/>
                <w:kern w:val="2"/>
                <w:sz w:val="20"/>
                <w:szCs w:val="20"/>
                <w:lang w:eastAsia="zh-CN"/>
              </w:rPr>
              <w:t>单位</w:t>
            </w:r>
            <w:r>
              <w:rPr>
                <w:rFonts w:hint="default" w:ascii="Times New Roman" w:hAnsi="Times New Roman" w:cs="Times New Roman"/>
                <w:color w:val="000000"/>
                <w:kern w:val="2"/>
                <w:sz w:val="20"/>
                <w:szCs w:val="20"/>
              </w:rPr>
              <w:t>：</w:t>
            </w:r>
            <w:r>
              <w:rPr>
                <w:rFonts w:hint="default" w:ascii="Times New Roman" w:hAnsi="Times New Roman" w:cs="Times New Roman"/>
                <w:color w:val="000000"/>
                <w:sz w:val="20"/>
                <w:u w:color="auto"/>
              </w:rPr>
              <w:t>丰都县旅游宣传营销中心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75909D6F">
            <w:pPr>
              <w:spacing w:line="280" w:lineRule="exact"/>
              <w:jc w:val="right"/>
              <w:rPr>
                <w:rFonts w:hint="default" w:ascii="Times New Roman" w:hAnsi="Times New Roman" w:cs="Times New Roman"/>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2BAF87F3">
            <w:pPr>
              <w:spacing w:line="280" w:lineRule="exact"/>
              <w:rPr>
                <w:rFonts w:hint="default" w:ascii="Times New Roman" w:hAnsi="Times New Roman" w:cs="Times New Roman"/>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339A8D66">
            <w:pPr>
              <w:spacing w:line="280"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单位：</w:t>
            </w:r>
            <w:r>
              <w:rPr>
                <w:rFonts w:hint="default" w:ascii="Times New Roman" w:hAnsi="Times New Roman" w:cs="Times New Roman"/>
                <w:kern w:val="2"/>
                <w:sz w:val="20"/>
                <w:szCs w:val="20"/>
              </w:rPr>
              <w:t>万元</w:t>
            </w:r>
          </w:p>
        </w:tc>
      </w:tr>
      <w:tr w14:paraId="0265F9D8">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2ECCC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0FF77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7AE9A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1661B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0EF5A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r>
      <w:tr w14:paraId="4FCA173C">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08C9D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65AD7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C4B09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F798F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EBD41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2496BF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39E1E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4B1EE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E73C2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6E012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60EC2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6EC1C2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99A15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5C909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03C39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56AA1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A9F4D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FCE535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036EB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FEE00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82904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1E3B4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963207">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14:paraId="1406E6E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42110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49EAD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217AA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3B090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89104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3CD439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24342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958A0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9F855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E71B1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70FE0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7CA350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AE87D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22E3B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89B9A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028D8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A3C51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3DAFBD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96ACF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10959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8EECC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C6977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B9CBE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71C235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5451F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1985D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30A29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8CB32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1FC6F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BF48D1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FFBF0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E07AF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B26E4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54938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255BB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81CCD7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1D99F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E5218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491FB6">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6CE28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21C6B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BC03D5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D12E4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077D7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50521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A783D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6FCA4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A45041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A69BC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EDC9B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CE072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EE201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8FCDD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10FD5E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3FC74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ECAD7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81484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BFF40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E02B9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DDBEED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040A3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B59AF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BDFA3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1782F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9ACD34">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14:paraId="469C7E7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C5118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3E006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4CD2E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ED573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0EABE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BA149C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13B3A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BC88C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A2AE0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8D40A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F23F1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C207EB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2DDCE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32FDB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DDCF0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D7FA1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F23C8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F6D00E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ABBA3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32F6A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4F60F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D51A3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DF062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891A38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F6BFA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EF92D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E986C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B362E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67FCC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64B1FB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F048C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39993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3226E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0408D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FC42A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E24155E">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77881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37226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3DDED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259A77">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cs="Times New Roman"/>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00FA29">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cs="Times New Roman"/>
                <w:color w:val="000000"/>
                <w:kern w:val="2"/>
                <w:sz w:val="16"/>
                <w:szCs w:val="16"/>
              </w:rPr>
            </w:pPr>
          </w:p>
        </w:tc>
      </w:tr>
      <w:tr w14:paraId="3073C21B">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C0702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D6DCE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64F9D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0.39</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5ACB05">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cs="Times New Roman"/>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D90F1A">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cs="Times New Roman"/>
                <w:color w:val="000000"/>
                <w:kern w:val="2"/>
                <w:sz w:val="16"/>
                <w:szCs w:val="16"/>
              </w:rPr>
            </w:pPr>
          </w:p>
        </w:tc>
      </w:tr>
      <w:tr w14:paraId="124475BE">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90014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88162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FF291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9.59</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C523CC">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cs="Times New Roman"/>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590D0E">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cs="Times New Roman"/>
                <w:color w:val="000000"/>
                <w:sz w:val="16"/>
                <w:szCs w:val="16"/>
              </w:rPr>
            </w:pPr>
          </w:p>
        </w:tc>
      </w:tr>
    </w:tbl>
    <w:p w14:paraId="7C2C1EE3">
      <w:pPr>
        <w:rPr>
          <w:rFonts w:hint="default" w:ascii="Times New Roman" w:hAnsi="Times New Roman" w:cs="Times New Roman"/>
          <w:sz w:val="18"/>
          <w:szCs w:val="18"/>
        </w:rPr>
      </w:pPr>
      <w:r>
        <w:rPr>
          <w:rFonts w:hint="default" w:ascii="Times New Roman" w:hAnsi="Times New Roman" w:cs="Times New Roman"/>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2.本套报表金额单位转换时可能存在尾数误差。</w:t>
      </w:r>
    </w:p>
    <w:sectPr>
      <w:headerReference r:id="rId4" w:type="default"/>
      <w:footerReference r:id="rId5" w:type="default"/>
      <w:pgSz w:w="16783" w:h="11850" w:orient="landscape"/>
      <w:pgMar w:top="567" w:right="454" w:bottom="567" w:left="1037" w:header="0" w:footer="283" w:gutter="0"/>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ED6FD">
    <w:pPr>
      <w:pStyle w:val="6"/>
      <w:rPr>
        <w:rFonts w:hint="default"/>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74D72F">
                          <w:pPr>
                            <w:pStyle w:val="6"/>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F74D72F">
                    <w:pPr>
                      <w:pStyle w:val="6"/>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D6766">
    <w:pPr>
      <w:pStyle w:val="6"/>
      <w:jc w:val="both"/>
      <w:rPr>
        <w:rFonts w:hint="default"/>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B697D3">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0B697D3">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75AEBFBC">
                          <w:pPr>
                            <w:pStyle w:val="6"/>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75AEBFBC">
                    <w:pPr>
                      <w:pStyle w:val="6"/>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BFE0B">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172A27"/>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6D42C3"/>
    <w:rsid w:val="01F3521E"/>
    <w:rsid w:val="02207AD0"/>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BF0C22"/>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CE1E85"/>
    <w:rsid w:val="2BF81A22"/>
    <w:rsid w:val="2C4C3273"/>
    <w:rsid w:val="2C636760"/>
    <w:rsid w:val="2C6762A3"/>
    <w:rsid w:val="2E8F3135"/>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7168C2"/>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30F87"/>
    <w:rsid w:val="3F4C52C6"/>
    <w:rsid w:val="3F694D83"/>
    <w:rsid w:val="3F885DCC"/>
    <w:rsid w:val="3FCD675E"/>
    <w:rsid w:val="4004000C"/>
    <w:rsid w:val="40760DD1"/>
    <w:rsid w:val="40BD5482"/>
    <w:rsid w:val="411B6CE5"/>
    <w:rsid w:val="412070D7"/>
    <w:rsid w:val="41314E40"/>
    <w:rsid w:val="41E0734B"/>
    <w:rsid w:val="422348E7"/>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7E43EE6"/>
    <w:rsid w:val="5842572D"/>
    <w:rsid w:val="5A3B59D6"/>
    <w:rsid w:val="5AD134D8"/>
    <w:rsid w:val="5BF41F67"/>
    <w:rsid w:val="5C263CE4"/>
    <w:rsid w:val="5C5D2777"/>
    <w:rsid w:val="5CF14D4D"/>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15032"/>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1949F6"/>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4318</Words>
  <Characters>4782</Characters>
  <Lines>186</Lines>
  <Paragraphs>52</Paragraphs>
  <TotalTime>22</TotalTime>
  <ScaleCrop>false</ScaleCrop>
  <LinksUpToDate>false</LinksUpToDate>
  <CharactersWithSpaces>4839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杨咩咩-</cp:lastModifiedBy>
  <dcterms:modified xsi:type="dcterms:W3CDTF">2025-09-15T02:24:33Z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05BF1CF1003F4EA8B43657C202F136F5_13</vt:lpwstr>
  </property>
  <property fmtid="{D5CDD505-2E9C-101B-9397-08002B2CF9AE}" pid="4" name="KSOTemplateDocerSaveRecord">
    <vt:lpwstr>eyJoZGlkIjoiYTAyOWNiMGEwMTczOTUxNzU4MTc1YWE2MWRjODYwZWEiLCJ1c2VySWQiOiIxMDI4NDg0NzU0In0=</vt:lpwstr>
  </property>
</Properties>
</file>