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上半年经济运行情况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今年以来，全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上下</w:t>
      </w:r>
      <w:r>
        <w:rPr>
          <w:rFonts w:hint="eastAsia" w:ascii="Times New Roman" w:hAnsi="Times New Roman" w:eastAsia="方正仿宋_GBK"/>
          <w:sz w:val="32"/>
        </w:rPr>
        <w:t>深入落实市委经济工作会议精神，以党建为统领，狠抓工作落实，确保中央和重庆决策部署在丰都大地落地，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全县经济运行起势有力、持续走高，呈现总体平稳、稳中加固、逐步向好基本态势，主要指标保持在合理区间。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根据地区生产总值统一核算结果，</w:t>
      </w:r>
      <w:r>
        <w:rPr>
          <w:rFonts w:ascii="Times New Roman" w:hAnsi="Times New Roman" w:eastAsia="方正仿宋_GBK"/>
          <w:sz w:val="32"/>
        </w:rPr>
        <w:t>上半年全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实现地区生产总值（GDP）</w:t>
      </w:r>
      <w:r>
        <w:rPr>
          <w:rFonts w:hint="eastAsia" w:ascii="Times New Roman" w:hAnsi="Times New Roman" w:eastAsia="方正仿宋_GBK"/>
          <w:sz w:val="32"/>
        </w:rPr>
        <w:t>190.7</w:t>
      </w:r>
      <w:r>
        <w:rPr>
          <w:rFonts w:ascii="Times New Roman" w:hAnsi="Times New Roman" w:eastAsia="方正仿宋_GBK"/>
          <w:sz w:val="32"/>
        </w:rPr>
        <w:t>亿元，按不变价格计算，</w:t>
      </w:r>
      <w:r>
        <w:rPr>
          <w:rFonts w:hint="eastAsia" w:ascii="Times New Roman" w:hAnsi="Times New Roman" w:eastAsia="方正仿宋_GBK"/>
          <w:sz w:val="32"/>
        </w:rPr>
        <w:t>同比</w:t>
      </w:r>
      <w:r>
        <w:rPr>
          <w:rFonts w:ascii="Times New Roman" w:hAnsi="Times New Roman" w:eastAsia="方正仿宋_GBK"/>
          <w:sz w:val="32"/>
        </w:rPr>
        <w:t>增长</w:t>
      </w:r>
      <w:r>
        <w:rPr>
          <w:rFonts w:hint="eastAsia" w:ascii="Times New Roman" w:hAnsi="Times New Roman" w:eastAsia="方正仿宋_GBK"/>
          <w:sz w:val="32"/>
        </w:rPr>
        <w:t>7.6</w:t>
      </w:r>
      <w:r>
        <w:rPr>
          <w:rFonts w:ascii="Times New Roman" w:hAnsi="Times New Roman" w:eastAsia="方正仿宋_GBK"/>
          <w:sz w:val="32"/>
        </w:rPr>
        <w:t>%。</w:t>
      </w:r>
      <w:r>
        <w:rPr>
          <w:rFonts w:hint="eastAsia" w:ascii="Times New Roman" w:hAnsi="Times New Roman" w:eastAsia="方正仿宋_GBK"/>
          <w:sz w:val="32"/>
        </w:rPr>
        <w:t>其中</w:t>
      </w:r>
      <w:r>
        <w:rPr>
          <w:rFonts w:ascii="Times New Roman" w:hAnsi="Times New Roman" w:eastAsia="方正仿宋_GBK"/>
          <w:sz w:val="32"/>
        </w:rPr>
        <w:t>，第一产业增加值</w:t>
      </w:r>
      <w:r>
        <w:rPr>
          <w:rFonts w:hint="eastAsia" w:ascii="Times New Roman" w:hAnsi="Times New Roman" w:eastAsia="方正仿宋_GBK"/>
          <w:sz w:val="32"/>
        </w:rPr>
        <w:t>15.0</w:t>
      </w:r>
      <w:r>
        <w:rPr>
          <w:rFonts w:ascii="Times New Roman" w:hAnsi="Times New Roman" w:eastAsia="方正仿宋_GBK"/>
          <w:sz w:val="32"/>
        </w:rPr>
        <w:t>亿元，</w:t>
      </w:r>
      <w:r>
        <w:rPr>
          <w:rFonts w:hint="eastAsia" w:ascii="Times New Roman" w:hAnsi="Times New Roman" w:eastAsia="方正仿宋_GBK"/>
          <w:sz w:val="32"/>
        </w:rPr>
        <w:t>增长3.3</w:t>
      </w:r>
      <w:r>
        <w:rPr>
          <w:rFonts w:ascii="Times New Roman" w:hAnsi="Times New Roman" w:eastAsia="方正仿宋_GBK"/>
          <w:sz w:val="32"/>
        </w:rPr>
        <w:t>%；第二产业增加值</w:t>
      </w:r>
      <w:r>
        <w:rPr>
          <w:rFonts w:hint="eastAsia" w:ascii="Times New Roman" w:hAnsi="Times New Roman" w:eastAsia="方正仿宋_GBK"/>
          <w:sz w:val="32"/>
        </w:rPr>
        <w:t>74.2</w:t>
      </w:r>
      <w:r>
        <w:rPr>
          <w:rFonts w:ascii="Times New Roman" w:hAnsi="Times New Roman" w:eastAsia="方正仿宋_GBK"/>
          <w:sz w:val="32"/>
        </w:rPr>
        <w:t>亿元，增长</w:t>
      </w:r>
      <w:r>
        <w:rPr>
          <w:rFonts w:hint="eastAsia" w:ascii="Times New Roman" w:hAnsi="Times New Roman" w:eastAsia="方正仿宋_GBK"/>
          <w:sz w:val="32"/>
        </w:rPr>
        <w:t>9.1</w:t>
      </w:r>
      <w:r>
        <w:rPr>
          <w:rFonts w:ascii="Times New Roman" w:hAnsi="Times New Roman" w:eastAsia="方正仿宋_GBK"/>
          <w:sz w:val="32"/>
        </w:rPr>
        <w:t>%；第三产业增加值</w:t>
      </w:r>
      <w:r>
        <w:rPr>
          <w:rFonts w:hint="eastAsia" w:ascii="Times New Roman" w:hAnsi="Times New Roman" w:eastAsia="方正仿宋_GBK"/>
          <w:sz w:val="32"/>
        </w:rPr>
        <w:t>101.5</w:t>
      </w:r>
      <w:r>
        <w:rPr>
          <w:rFonts w:ascii="Times New Roman" w:hAnsi="Times New Roman" w:eastAsia="方正仿宋_GBK"/>
          <w:sz w:val="32"/>
        </w:rPr>
        <w:t>亿元，增长</w:t>
      </w:r>
      <w:r>
        <w:rPr>
          <w:rFonts w:hint="eastAsia" w:ascii="Times New Roman" w:hAnsi="Times New Roman" w:eastAsia="方正仿宋_GBK"/>
          <w:sz w:val="32"/>
        </w:rPr>
        <w:t>7.1</w:t>
      </w:r>
      <w:r>
        <w:rPr>
          <w:rFonts w:ascii="Times New Roman" w:hAnsi="Times New Roman" w:eastAsia="方正仿宋_GBK"/>
          <w:sz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一、农业生产形势良好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上半年，全县实现农林牧渔业增加值17.1亿元，可比增长3.5%；实现农林牧渔业总产值25.08亿元，同比增长3.2%。蔬菜产量39.5万吨，增长4.4%；水果产量1.7万吨，增长43.4%；水产品总产量0.5万吨，增长4.0%；油料产量1.7万吨，同比增长2.8%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二、</w:t>
      </w:r>
      <w:r>
        <w:rPr>
          <w:rFonts w:ascii="方正黑体_GBK" w:hAnsi="Times New Roman" w:eastAsia="方正黑体_GBK"/>
          <w:sz w:val="32"/>
        </w:rPr>
        <w:t>工业生产加力提速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上半年，</w:t>
      </w:r>
      <w:r>
        <w:rPr>
          <w:rFonts w:hint="eastAsia" w:ascii="Times New Roman" w:hAnsi="Times New Roman" w:eastAsia="方正仿宋_GBK"/>
          <w:sz w:val="32"/>
        </w:rPr>
        <w:t>全县实现工业增加值25.4亿元，同比增长6.6%。其中，采矿业</w:t>
      </w:r>
      <w:r>
        <w:rPr>
          <w:rFonts w:ascii="Times New Roman" w:hAnsi="Times New Roman" w:eastAsia="方正仿宋_GBK"/>
          <w:sz w:val="32"/>
        </w:rPr>
        <w:t>增长</w:t>
      </w:r>
      <w:r>
        <w:rPr>
          <w:rFonts w:hint="eastAsia" w:ascii="Times New Roman" w:hAnsi="Times New Roman" w:eastAsia="方正仿宋_GBK"/>
          <w:sz w:val="32"/>
        </w:rPr>
        <w:t>17.0</w:t>
      </w:r>
      <w:r>
        <w:rPr>
          <w:rFonts w:ascii="Times New Roman" w:hAnsi="Times New Roman" w:eastAsia="方正仿宋_GBK"/>
          <w:sz w:val="32"/>
        </w:rPr>
        <w:t>%；</w:t>
      </w:r>
      <w:r>
        <w:rPr>
          <w:rFonts w:hint="eastAsia" w:ascii="Times New Roman" w:hAnsi="Times New Roman" w:eastAsia="方正仿宋_GBK"/>
          <w:sz w:val="32"/>
        </w:rPr>
        <w:t>制造业增长5.6%；</w:t>
      </w:r>
      <w:r>
        <w:rPr>
          <w:rFonts w:hint="eastAsia" w:ascii="Times New Roman" w:hAnsi="Times New Roman" w:eastAsia="方正仿宋_GBK"/>
          <w:sz w:val="32"/>
          <w:szCs w:val="36"/>
        </w:rPr>
        <w:t>电力热力燃气及水生产和供应业增长8.0%。</w:t>
      </w:r>
      <w:r>
        <w:rPr>
          <w:rFonts w:ascii="Times New Roman" w:hAnsi="Times New Roman" w:eastAsia="方正仿宋_GBK"/>
          <w:sz w:val="32"/>
        </w:rPr>
        <w:t>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规模以上工业增加值同比增长</w:t>
      </w:r>
      <w:r>
        <w:rPr>
          <w:rFonts w:hint="eastAsia" w:ascii="Times New Roman" w:hAnsi="Times New Roman" w:eastAsia="方正仿宋_GBK"/>
          <w:sz w:val="32"/>
        </w:rPr>
        <w:t>7.1</w:t>
      </w:r>
      <w:r>
        <w:rPr>
          <w:rFonts w:ascii="Times New Roman" w:hAnsi="Times New Roman" w:eastAsia="方正仿宋_GBK"/>
          <w:sz w:val="32"/>
        </w:rPr>
        <w:t>%</w:t>
      </w:r>
      <w:r>
        <w:rPr>
          <w:rFonts w:hint="eastAsia" w:ascii="Times New Roman" w:hAnsi="Times New Roman" w:eastAsia="方正仿宋_GBK"/>
          <w:sz w:val="32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三、</w:t>
      </w:r>
      <w:r>
        <w:rPr>
          <w:rFonts w:ascii="方正黑体_GBK" w:hAnsi="Times New Roman" w:eastAsia="方正黑体_GBK"/>
          <w:sz w:val="32"/>
        </w:rPr>
        <w:t>投资</w:t>
      </w:r>
      <w:r>
        <w:rPr>
          <w:rFonts w:hint="eastAsia" w:ascii="方正黑体_GBK" w:hAnsi="Times New Roman" w:eastAsia="方正黑体_GBK"/>
          <w:sz w:val="32"/>
        </w:rPr>
        <w:t>增速快速增长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方正仿宋_GBK"/>
          <w:sz w:val="32"/>
        </w:rPr>
        <w:t>上半年，全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固定资产投资同比</w:t>
      </w:r>
      <w:r>
        <w:rPr>
          <w:rFonts w:hint="eastAsia" w:ascii="Times New Roman" w:hAnsi="Times New Roman" w:eastAsia="方正仿宋_GBK"/>
          <w:sz w:val="32"/>
        </w:rPr>
        <w:t>增长18.9</w:t>
      </w:r>
      <w:r>
        <w:rPr>
          <w:rFonts w:ascii="Times New Roman" w:hAnsi="Times New Roman" w:eastAsia="方正仿宋_GBK"/>
          <w:sz w:val="32"/>
        </w:rPr>
        <w:t>%</w:t>
      </w:r>
      <w:r>
        <w:rPr>
          <w:rFonts w:hint="eastAsia" w:ascii="Times New Roman" w:hAnsi="Times New Roman" w:eastAsia="方正仿宋_GBK"/>
          <w:sz w:val="32"/>
        </w:rPr>
        <w:t>。</w:t>
      </w:r>
      <w:r>
        <w:rPr>
          <w:rFonts w:ascii="Times New Roman" w:hAnsi="Times New Roman" w:eastAsia="方正仿宋_GBK"/>
          <w:sz w:val="32"/>
        </w:rPr>
        <w:t>分行业看，工业投资增长</w:t>
      </w:r>
      <w:r>
        <w:rPr>
          <w:rFonts w:hint="eastAsia" w:ascii="Times New Roman" w:hAnsi="Times New Roman" w:eastAsia="方正仿宋_GBK"/>
          <w:sz w:val="32"/>
        </w:rPr>
        <w:t>142.5</w:t>
      </w:r>
      <w:r>
        <w:rPr>
          <w:rFonts w:ascii="Times New Roman" w:hAnsi="Times New Roman" w:eastAsia="方正仿宋_GBK"/>
          <w:sz w:val="32"/>
        </w:rPr>
        <w:t>%；</w:t>
      </w:r>
      <w:r>
        <w:rPr>
          <w:rFonts w:hint="eastAsia" w:ascii="Times New Roman" w:hAnsi="Times New Roman" w:eastAsia="方正仿宋_GBK"/>
          <w:sz w:val="32"/>
        </w:rPr>
        <w:t>房地产</w:t>
      </w:r>
      <w:r>
        <w:rPr>
          <w:rFonts w:ascii="Times New Roman" w:hAnsi="Times New Roman" w:eastAsia="方正仿宋_GBK"/>
          <w:sz w:val="32"/>
        </w:rPr>
        <w:t>投资下降</w:t>
      </w:r>
      <w:r>
        <w:rPr>
          <w:rFonts w:hint="eastAsia" w:ascii="Times New Roman" w:hAnsi="Times New Roman" w:eastAsia="方正仿宋_GBK"/>
          <w:sz w:val="32"/>
        </w:rPr>
        <w:t>4.4</w:t>
      </w:r>
      <w:r>
        <w:rPr>
          <w:rFonts w:ascii="Times New Roman" w:hAnsi="Times New Roman" w:eastAsia="方正仿宋_GBK"/>
          <w:sz w:val="32"/>
        </w:rPr>
        <w:t>%。</w:t>
      </w:r>
      <w:r>
        <w:rPr>
          <w:rFonts w:hint="eastAsia" w:ascii="Times New Roman" w:hAnsi="Times New Roman" w:eastAsia="方正仿宋_GBK"/>
          <w:sz w:val="32"/>
        </w:rPr>
        <w:t>民间投资</w:t>
      </w:r>
      <w:r>
        <w:rPr>
          <w:rFonts w:ascii="Times New Roman" w:hAnsi="Times New Roman" w:eastAsia="方正仿宋_GBK"/>
          <w:sz w:val="32"/>
        </w:rPr>
        <w:t>进一步发挥，同比增长</w:t>
      </w:r>
      <w:r>
        <w:rPr>
          <w:rFonts w:hint="eastAsia" w:ascii="Times New Roman" w:hAnsi="Times New Roman" w:eastAsia="方正仿宋_GBK"/>
          <w:sz w:val="32"/>
        </w:rPr>
        <w:t>105.1</w:t>
      </w:r>
      <w:r>
        <w:rPr>
          <w:rFonts w:ascii="Times New Roman" w:hAnsi="Times New Roman" w:eastAsia="方正仿宋_GBK"/>
          <w:sz w:val="32"/>
        </w:rPr>
        <w:t>%，</w:t>
      </w:r>
      <w:r>
        <w:rPr>
          <w:rFonts w:hint="eastAsia" w:ascii="Times New Roman" w:hAnsi="Times New Roman" w:eastAsia="方正仿宋_GBK"/>
          <w:sz w:val="32"/>
        </w:rPr>
        <w:t>增速</w:t>
      </w:r>
      <w:r>
        <w:rPr>
          <w:rFonts w:ascii="Times New Roman" w:hAnsi="Times New Roman" w:eastAsia="方正仿宋_GBK"/>
          <w:sz w:val="32"/>
        </w:rPr>
        <w:t>高于固定资产投资增速</w:t>
      </w:r>
      <w:r>
        <w:rPr>
          <w:rFonts w:hint="eastAsia" w:ascii="Times New Roman" w:hAnsi="Times New Roman" w:eastAsia="方正仿宋_GBK"/>
          <w:sz w:val="32"/>
        </w:rPr>
        <w:t>86.2</w:t>
      </w:r>
      <w:r>
        <w:rPr>
          <w:rFonts w:ascii="Times New Roman" w:hAnsi="Times New Roman" w:eastAsia="方正仿宋_GBK"/>
          <w:sz w:val="32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四、</w:t>
      </w:r>
      <w:r>
        <w:rPr>
          <w:rFonts w:ascii="方正黑体_GBK" w:hAnsi="Times New Roman" w:eastAsia="方正黑体_GBK"/>
          <w:sz w:val="32"/>
        </w:rPr>
        <w:t>消费市场</w:t>
      </w:r>
      <w:r>
        <w:rPr>
          <w:rFonts w:hint="eastAsia" w:ascii="方正黑体_GBK" w:hAnsi="Times New Roman" w:eastAsia="方正黑体_GBK"/>
          <w:sz w:val="32"/>
        </w:rPr>
        <w:t>运行稳健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方正仿宋_GBK"/>
          <w:sz w:val="32"/>
        </w:rPr>
        <w:t>上半年，全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实现社会消费品零售总额</w:t>
      </w:r>
      <w:r>
        <w:rPr>
          <w:rFonts w:hint="eastAsia" w:ascii="Times New Roman" w:hAnsi="Times New Roman" w:eastAsia="方正仿宋_GBK"/>
          <w:sz w:val="32"/>
        </w:rPr>
        <w:t>126.9</w:t>
      </w:r>
      <w:r>
        <w:rPr>
          <w:rFonts w:ascii="Times New Roman" w:hAnsi="Times New Roman" w:eastAsia="方正仿宋_GBK"/>
          <w:sz w:val="32"/>
        </w:rPr>
        <w:t>亿元，同比增长</w:t>
      </w:r>
      <w:r>
        <w:rPr>
          <w:rFonts w:hint="eastAsia" w:ascii="Times New Roman" w:hAnsi="Times New Roman" w:eastAsia="方正仿宋_GBK"/>
          <w:sz w:val="32"/>
        </w:rPr>
        <w:t>5.2</w:t>
      </w:r>
      <w:r>
        <w:rPr>
          <w:rFonts w:ascii="Times New Roman" w:hAnsi="Times New Roman" w:eastAsia="方正仿宋_GBK"/>
          <w:sz w:val="32"/>
        </w:rPr>
        <w:t>%。</w:t>
      </w:r>
      <w:r>
        <w:rPr>
          <w:rFonts w:hint="eastAsia" w:ascii="Times New Roman" w:hAnsi="Times New Roman" w:eastAsia="方正仿宋_GBK"/>
          <w:sz w:val="32"/>
        </w:rPr>
        <w:t>限上16</w:t>
      </w:r>
      <w:r>
        <w:rPr>
          <w:rFonts w:ascii="Times New Roman" w:hAnsi="Times New Roman" w:eastAsia="方正仿宋_GBK"/>
          <w:sz w:val="32"/>
        </w:rPr>
        <w:t>类主要商品零售类别中</w:t>
      </w:r>
      <w:r>
        <w:rPr>
          <w:rFonts w:hint="eastAsia" w:ascii="Times New Roman" w:hAnsi="Times New Roman" w:eastAsia="方正仿宋_GBK"/>
          <w:sz w:val="32"/>
        </w:rPr>
        <w:t>14</w:t>
      </w:r>
      <w:r>
        <w:rPr>
          <w:rFonts w:ascii="Times New Roman" w:hAnsi="Times New Roman" w:eastAsia="方正仿宋_GBK"/>
          <w:sz w:val="32"/>
        </w:rPr>
        <w:t>类实现正增长，增长面为</w:t>
      </w:r>
      <w:r>
        <w:rPr>
          <w:rFonts w:hint="eastAsia" w:ascii="Times New Roman" w:hAnsi="Times New Roman" w:eastAsia="方正仿宋_GBK"/>
          <w:sz w:val="32"/>
        </w:rPr>
        <w:t>87.5</w:t>
      </w:r>
      <w:r>
        <w:rPr>
          <w:rFonts w:ascii="Times New Roman" w:hAnsi="Times New Roman" w:eastAsia="方正仿宋_GBK"/>
          <w:sz w:val="32"/>
        </w:rPr>
        <w:t>%。其中，基本生活类商品销售</w:t>
      </w:r>
      <w:r>
        <w:rPr>
          <w:rFonts w:hint="eastAsia" w:ascii="Times New Roman" w:hAnsi="Times New Roman" w:eastAsia="方正仿宋_GBK"/>
          <w:sz w:val="32"/>
        </w:rPr>
        <w:t>快速</w:t>
      </w:r>
      <w:r>
        <w:rPr>
          <w:rFonts w:ascii="Times New Roman" w:hAnsi="Times New Roman" w:eastAsia="方正仿宋_GBK"/>
          <w:sz w:val="32"/>
        </w:rPr>
        <w:t>增长，限额以上粮油食品、</w:t>
      </w:r>
      <w:r>
        <w:rPr>
          <w:rFonts w:hint="eastAsia" w:ascii="Times New Roman" w:hAnsi="Times New Roman" w:eastAsia="方正仿宋_GBK"/>
          <w:sz w:val="32"/>
        </w:rPr>
        <w:t>服装鞋帽针纺织品</w:t>
      </w:r>
      <w:r>
        <w:rPr>
          <w:rFonts w:ascii="Times New Roman" w:hAnsi="Times New Roman" w:eastAsia="方正仿宋_GBK"/>
          <w:sz w:val="32"/>
        </w:rPr>
        <w:t>类零售额分别增长</w:t>
      </w:r>
      <w:r>
        <w:rPr>
          <w:rFonts w:hint="eastAsia" w:ascii="Times New Roman" w:hAnsi="Times New Roman" w:eastAsia="方正仿宋_GBK"/>
          <w:sz w:val="32"/>
        </w:rPr>
        <w:t>24.0</w:t>
      </w:r>
      <w:r>
        <w:rPr>
          <w:rFonts w:ascii="Times New Roman" w:hAnsi="Times New Roman" w:eastAsia="方正仿宋_GBK"/>
          <w:sz w:val="32"/>
        </w:rPr>
        <w:t>%和</w:t>
      </w:r>
      <w:r>
        <w:rPr>
          <w:rFonts w:hint="eastAsia" w:ascii="Times New Roman" w:hAnsi="Times New Roman" w:eastAsia="方正仿宋_GBK"/>
          <w:sz w:val="32"/>
        </w:rPr>
        <w:t>14.6</w:t>
      </w:r>
      <w:r>
        <w:rPr>
          <w:rFonts w:ascii="Times New Roman" w:hAnsi="Times New Roman" w:eastAsia="方正仿宋_GBK"/>
          <w:sz w:val="32"/>
        </w:rPr>
        <w:t>%；升级类商品销售</w:t>
      </w:r>
      <w:r>
        <w:rPr>
          <w:rFonts w:hint="eastAsia" w:ascii="Times New Roman" w:hAnsi="Times New Roman" w:eastAsia="方正仿宋_GBK"/>
          <w:sz w:val="32"/>
        </w:rPr>
        <w:t>稳定</w:t>
      </w:r>
      <w:r>
        <w:rPr>
          <w:rFonts w:ascii="Times New Roman" w:hAnsi="Times New Roman" w:eastAsia="方正仿宋_GBK"/>
          <w:sz w:val="32"/>
        </w:rPr>
        <w:t>增长，限额以上</w:t>
      </w:r>
      <w:r>
        <w:rPr>
          <w:rFonts w:hint="eastAsia" w:ascii="Times New Roman" w:hAnsi="Times New Roman" w:eastAsia="方正仿宋_GBK"/>
          <w:sz w:val="32"/>
        </w:rPr>
        <w:t>家具、文化办公用品、</w:t>
      </w:r>
      <w:r>
        <w:rPr>
          <w:rFonts w:ascii="Times New Roman" w:hAnsi="Times New Roman" w:eastAsia="方正仿宋_GBK"/>
          <w:sz w:val="32"/>
        </w:rPr>
        <w:t>通讯器材类零售额分别增长</w:t>
      </w:r>
      <w:r>
        <w:rPr>
          <w:rFonts w:hint="eastAsia" w:ascii="Times New Roman" w:hAnsi="Times New Roman" w:eastAsia="方正仿宋_GBK"/>
          <w:sz w:val="32"/>
        </w:rPr>
        <w:t>20.5</w:t>
      </w:r>
      <w:r>
        <w:rPr>
          <w:rFonts w:ascii="Times New Roman" w:hAnsi="Times New Roman" w:eastAsia="方正仿宋_GBK"/>
          <w:sz w:val="32"/>
        </w:rPr>
        <w:t>%</w:t>
      </w:r>
      <w:r>
        <w:rPr>
          <w:rFonts w:hint="eastAsia" w:ascii="Times New Roman" w:hAnsi="Times New Roman" w:eastAsia="方正仿宋_GBK"/>
          <w:sz w:val="32"/>
        </w:rPr>
        <w:t>、14.2%</w:t>
      </w:r>
      <w:r>
        <w:rPr>
          <w:rFonts w:ascii="Times New Roman" w:hAnsi="Times New Roman" w:eastAsia="方正仿宋_GBK"/>
          <w:sz w:val="32"/>
        </w:rPr>
        <w:t>和</w:t>
      </w:r>
      <w:r>
        <w:rPr>
          <w:rFonts w:hint="eastAsia" w:ascii="Times New Roman" w:hAnsi="Times New Roman" w:eastAsia="方正仿宋_GBK"/>
          <w:sz w:val="32"/>
        </w:rPr>
        <w:t>9.1</w:t>
      </w:r>
      <w:r>
        <w:rPr>
          <w:rFonts w:ascii="Times New Roman" w:hAnsi="Times New Roman" w:eastAsia="方正仿宋_GBK"/>
          <w:sz w:val="32"/>
        </w:rPr>
        <w:t>%。新能源汽车消费持续升温，限额以上新能源汽车零售额增长</w:t>
      </w:r>
      <w:r>
        <w:rPr>
          <w:rFonts w:hint="eastAsia" w:ascii="Times New Roman" w:hAnsi="Times New Roman" w:eastAsia="方正仿宋_GBK"/>
          <w:sz w:val="32"/>
        </w:rPr>
        <w:t>20.1</w:t>
      </w:r>
      <w:r>
        <w:rPr>
          <w:rFonts w:ascii="Times New Roman" w:hAnsi="Times New Roman" w:eastAsia="方正仿宋_GBK"/>
          <w:sz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五、</w:t>
      </w:r>
      <w:r>
        <w:rPr>
          <w:rFonts w:ascii="方正黑体_GBK" w:hAnsi="Times New Roman" w:eastAsia="方正黑体_GBK"/>
          <w:sz w:val="32"/>
        </w:rPr>
        <w:t>居民收入持续稳增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上半年，全</w:t>
      </w:r>
      <w:r>
        <w:rPr>
          <w:rFonts w:hint="eastAsia" w:ascii="Times New Roman" w:hAnsi="Times New Roman" w:eastAsia="方正仿宋_GBK"/>
          <w:sz w:val="32"/>
        </w:rPr>
        <w:t>县</w:t>
      </w:r>
      <w:r>
        <w:rPr>
          <w:rFonts w:ascii="Times New Roman" w:hAnsi="Times New Roman" w:eastAsia="方正仿宋_GBK"/>
          <w:sz w:val="32"/>
        </w:rPr>
        <w:t>居民人均可支配收入</w:t>
      </w:r>
      <w:r>
        <w:rPr>
          <w:rFonts w:hint="eastAsia" w:ascii="Times New Roman" w:hAnsi="Times New Roman" w:eastAsia="方正仿宋_GBK"/>
          <w:sz w:val="32"/>
        </w:rPr>
        <w:t>18478</w:t>
      </w:r>
      <w:r>
        <w:rPr>
          <w:rFonts w:ascii="Times New Roman" w:hAnsi="Times New Roman" w:eastAsia="方正仿宋_GBK"/>
          <w:sz w:val="32"/>
        </w:rPr>
        <w:t>元，同比增长</w:t>
      </w:r>
      <w:r>
        <w:rPr>
          <w:rFonts w:hint="eastAsia" w:ascii="Times New Roman" w:hAnsi="Times New Roman" w:eastAsia="方正仿宋_GBK"/>
          <w:sz w:val="32"/>
        </w:rPr>
        <w:t>3.7</w:t>
      </w:r>
      <w:r>
        <w:rPr>
          <w:rFonts w:ascii="Times New Roman" w:hAnsi="Times New Roman" w:eastAsia="方正仿宋_GBK"/>
          <w:sz w:val="32"/>
        </w:rPr>
        <w:t>%。其中，城镇居民人均可支配收入</w:t>
      </w:r>
      <w:r>
        <w:rPr>
          <w:rFonts w:hint="eastAsia" w:ascii="Times New Roman" w:hAnsi="Times New Roman" w:eastAsia="方正仿宋_GBK"/>
          <w:sz w:val="32"/>
        </w:rPr>
        <w:t>24396</w:t>
      </w:r>
      <w:r>
        <w:rPr>
          <w:rFonts w:ascii="Times New Roman" w:hAnsi="Times New Roman" w:eastAsia="方正仿宋_GBK"/>
          <w:sz w:val="32"/>
        </w:rPr>
        <w:t>元，增长</w:t>
      </w:r>
      <w:r>
        <w:rPr>
          <w:rFonts w:hint="eastAsia" w:ascii="Times New Roman" w:hAnsi="Times New Roman" w:eastAsia="方正仿宋_GBK"/>
          <w:sz w:val="32"/>
        </w:rPr>
        <w:t>2.7</w:t>
      </w:r>
      <w:r>
        <w:rPr>
          <w:rFonts w:ascii="Times New Roman" w:hAnsi="Times New Roman" w:eastAsia="方正仿宋_GBK"/>
          <w:sz w:val="32"/>
        </w:rPr>
        <w:t>%；农村居民人均可支配收入</w:t>
      </w:r>
      <w:r>
        <w:rPr>
          <w:rFonts w:hint="eastAsia" w:ascii="Times New Roman" w:hAnsi="Times New Roman" w:eastAsia="方正仿宋_GBK"/>
          <w:sz w:val="32"/>
        </w:rPr>
        <w:t>12094</w:t>
      </w:r>
      <w:r>
        <w:rPr>
          <w:rFonts w:ascii="Times New Roman" w:hAnsi="Times New Roman" w:eastAsia="方正仿宋_GBK"/>
          <w:sz w:val="32"/>
        </w:rPr>
        <w:t>元，增长</w:t>
      </w:r>
      <w:r>
        <w:rPr>
          <w:rFonts w:hint="eastAsia" w:ascii="Times New Roman" w:hAnsi="Times New Roman" w:eastAsia="方正仿宋_GBK"/>
          <w:sz w:val="32"/>
        </w:rPr>
        <w:t>3.8</w:t>
      </w:r>
      <w:r>
        <w:rPr>
          <w:rFonts w:ascii="Times New Roman" w:hAnsi="Times New Roman" w:eastAsia="方正仿宋_GBK"/>
          <w:sz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总体来看，上半年全县经济运行延续向好态势。下阶段，全县上下要坚持稳中求进、以进促稳、先立后破，充分激发消费潜能，持续扩大有效投资，着力推动经济实现质的有效提升和量的合理增长，不断巩固和增强经济回升向好态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5A2"/>
    <w:rsid w:val="001475A2"/>
    <w:rsid w:val="003E1D13"/>
    <w:rsid w:val="4EF99A31"/>
    <w:rsid w:val="67EA9530"/>
    <w:rsid w:val="6CF2F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874</Characters>
  <Lines>7</Lines>
  <Paragraphs>2</Paragraphs>
  <TotalTime>13</TotalTime>
  <ScaleCrop>false</ScaleCrop>
  <LinksUpToDate>false</LinksUpToDate>
  <CharactersWithSpaces>1025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2024-08-07T00:08:00Z</dcterms:created>
  <dc:creator>326-0002</dc:creator>
  <cp:lastModifiedBy>user</cp:lastModifiedBy>
  <dcterms:modified xsi:type="dcterms:W3CDTF">2024-08-06T17:48:04Z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