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B80C4">
      <w:pPr>
        <w:spacing w:line="600" w:lineRule="atLeast"/>
        <w:jc w:val="center"/>
        <w:rPr>
          <w:rFonts w:ascii="Times New Roman" w:hAnsi="Times New Roman" w:eastAsia="方正仿宋_GBK" w:cs="Times New Roman"/>
          <w:sz w:val="32"/>
          <w:szCs w:val="32"/>
        </w:rPr>
      </w:pPr>
    </w:p>
    <w:p w14:paraId="69A11FB4">
      <w:pPr>
        <w:spacing w:line="600" w:lineRule="atLeast"/>
        <w:jc w:val="center"/>
        <w:rPr>
          <w:rFonts w:ascii="Times New Roman" w:hAnsi="Times New Roman" w:eastAsia="方正仿宋_GBK" w:cs="Times New Roman"/>
          <w:sz w:val="32"/>
          <w:szCs w:val="32"/>
        </w:rPr>
      </w:pPr>
    </w:p>
    <w:p w14:paraId="0A77B6E3">
      <w:pPr>
        <w:tabs>
          <w:tab w:val="left" w:pos="1882"/>
        </w:tabs>
        <w:spacing w:line="760" w:lineRule="exact"/>
        <w:jc w:val="center"/>
        <w:rPr>
          <w:rFonts w:eastAsia="方正小标宋_GBK"/>
          <w:bCs/>
          <w:snapToGrid w:val="0"/>
          <w:kern w:val="0"/>
          <w:sz w:val="44"/>
          <w:szCs w:val="44"/>
        </w:rPr>
      </w:pPr>
      <w:r>
        <w:rPr>
          <w:rFonts w:eastAsia="方正小标宋_GBK"/>
          <w:bCs/>
          <w:snapToGrid w:val="0"/>
          <w:kern w:val="0"/>
          <w:sz w:val="44"/>
          <w:szCs w:val="44"/>
        </w:rPr>
        <w:t>丰都县生态环境局</w:t>
      </w:r>
    </w:p>
    <w:p w14:paraId="080FEBFA">
      <w:pPr>
        <w:spacing w:line="760" w:lineRule="exact"/>
        <w:jc w:val="center"/>
        <w:rPr>
          <w:rFonts w:eastAsia="方正小标宋_GBK"/>
          <w:bCs/>
          <w:snapToGrid w:val="0"/>
          <w:kern w:val="0"/>
          <w:sz w:val="44"/>
          <w:szCs w:val="44"/>
        </w:rPr>
      </w:pPr>
      <w:r>
        <w:rPr>
          <w:rFonts w:eastAsia="方正小标宋_GBK"/>
          <w:bCs/>
          <w:snapToGrid w:val="0"/>
          <w:kern w:val="0"/>
          <w:sz w:val="44"/>
          <w:szCs w:val="44"/>
        </w:rPr>
        <w:t>关于印发《丰都县噪声敏感建筑物集中区域</w:t>
      </w:r>
    </w:p>
    <w:p w14:paraId="5EA3C8C9">
      <w:pPr>
        <w:spacing w:line="760" w:lineRule="exact"/>
        <w:jc w:val="center"/>
        <w:rPr>
          <w:rFonts w:eastAsia="方正小标宋_GBK"/>
          <w:bCs/>
          <w:snapToGrid w:val="0"/>
          <w:kern w:val="0"/>
          <w:sz w:val="44"/>
          <w:szCs w:val="44"/>
        </w:rPr>
      </w:pPr>
      <w:r>
        <w:rPr>
          <w:rFonts w:eastAsia="方正小标宋_GBK"/>
          <w:bCs/>
          <w:snapToGrid w:val="0"/>
          <w:kern w:val="0"/>
          <w:sz w:val="44"/>
          <w:szCs w:val="44"/>
        </w:rPr>
        <w:t>划分方案》的通知</w:t>
      </w:r>
    </w:p>
    <w:p w14:paraId="716E7190">
      <w:pPr>
        <w:spacing w:line="760" w:lineRule="exact"/>
        <w:jc w:val="center"/>
        <w:rPr>
          <w:rFonts w:hint="default" w:ascii="Times New Roman" w:hAnsi="Times New Roman" w:eastAsia="方正仿宋_GBK" w:cs="Times New Roman"/>
          <w:bCs/>
          <w:snapToGrid w:val="0"/>
          <w:kern w:val="0"/>
          <w:sz w:val="32"/>
          <w:szCs w:val="32"/>
        </w:rPr>
      </w:pPr>
      <w:r>
        <w:rPr>
          <w:rFonts w:hint="default" w:ascii="Times New Roman" w:hAnsi="Times New Roman" w:eastAsia="方正仿宋_GBK" w:cs="Times New Roman"/>
          <w:sz w:val="32"/>
          <w:szCs w:val="32"/>
          <w:lang w:val="en-US" w:eastAsia="zh-CN"/>
        </w:rPr>
        <w:t>丰环发〔2025〕12号</w:t>
      </w:r>
    </w:p>
    <w:p w14:paraId="58BBBB6B">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both"/>
        <w:textAlignment w:val="auto"/>
        <w:rPr>
          <w:rFonts w:hint="default" w:ascii="Times New Roman" w:hAnsi="Times New Roman" w:eastAsia="方正仿宋_GBK" w:cs="Times New Roman"/>
          <w:sz w:val="32"/>
          <w:szCs w:val="32"/>
          <w:lang w:val="en-US" w:eastAsia="zh-CN"/>
        </w:rPr>
      </w:pPr>
    </w:p>
    <w:p w14:paraId="57FD960E">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各乡镇人民政府、街道办事处，县政府各部门，有关单位：</w:t>
      </w:r>
    </w:p>
    <w:p w14:paraId="6194DCD0">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《丰都县噪声敏感建筑物集中区域划分方案》已经县政府同意，现印发给你们，请认真贯彻执行。</w:t>
      </w:r>
    </w:p>
    <w:p w14:paraId="55E1BD16">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center"/>
        <w:textAlignment w:val="auto"/>
        <w:rPr>
          <w:rFonts w:hint="default" w:ascii="Times New Roman" w:hAnsi="Times New Roman" w:eastAsia="方正仿宋_GBK" w:cs="Times New Roman"/>
          <w:sz w:val="32"/>
          <w:szCs w:val="32"/>
          <w:lang w:val="en-US" w:eastAsia="zh-CN"/>
        </w:rPr>
      </w:pPr>
    </w:p>
    <w:p w14:paraId="2C2F8B05">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丰都县生态环境局</w:t>
      </w:r>
    </w:p>
    <w:p w14:paraId="1A35AA1C">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center"/>
        <w:textAlignment w:val="auto"/>
        <w:rPr>
          <w:rFonts w:hint="default" w:ascii="Times New Roman" w:hAnsi="Times New Roman" w:eastAsia="方正仿宋_GBK" w:cs="Times New Roman"/>
          <w:bCs/>
          <w:color w:val="000000"/>
          <w:spacing w:val="0"/>
          <w:sz w:val="32"/>
          <w:szCs w:val="32"/>
          <w:lang w:val="en-US" w:eastAsia="zh-CN"/>
        </w:rPr>
      </w:pPr>
      <w:r>
        <w:rPr>
          <w:rFonts w:hint="default" w:ascii="Times New Roman" w:hAnsi="Times New Roman" w:eastAsia="方正仿宋_GBK" w:cs="Times New Roman"/>
          <w:sz w:val="32"/>
          <w:szCs w:val="32"/>
          <w:lang w:val="en-US" w:eastAsia="zh-CN"/>
        </w:rPr>
        <w:t xml:space="preserve">                                        2025年5月14日</w:t>
      </w:r>
    </w:p>
    <w:p w14:paraId="12ECE471">
      <w:pPr>
        <w:keepNext w:val="0"/>
        <w:keepLines w:val="0"/>
        <w:pageBreakBefore w:val="0"/>
        <w:widowControl w:val="0"/>
        <w:kinsoku/>
        <w:wordWrap/>
        <w:overflowPunct/>
        <w:topLinePunct w:val="0"/>
        <w:autoSpaceDE/>
        <w:autoSpaceDN/>
        <w:bidi w:val="0"/>
        <w:spacing w:line="570" w:lineRule="exact"/>
        <w:ind w:firstLine="640" w:firstLineChars="200"/>
        <w:textAlignment w:val="auto"/>
        <w:rPr>
          <w:rFonts w:hint="default" w:ascii="Times New Roman" w:hAnsi="Times New Roman" w:eastAsia="方正仿宋_GBK" w:cs="Times New Roman"/>
          <w:spacing w:val="0"/>
          <w:sz w:val="32"/>
          <w:szCs w:val="32"/>
          <w:lang w:eastAsia="zh-CN"/>
        </w:rPr>
      </w:pPr>
      <w:r>
        <w:rPr>
          <w:rFonts w:hint="default" w:ascii="Times New Roman" w:hAnsi="Times New Roman" w:eastAsia="方正仿宋_GBK" w:cs="Times New Roman"/>
          <w:spacing w:val="0"/>
          <w:sz w:val="32"/>
          <w:szCs w:val="32"/>
          <w:lang w:eastAsia="zh-CN"/>
        </w:rPr>
        <w:t>（此件公开发布）</w:t>
      </w:r>
    </w:p>
    <w:p w14:paraId="0D42B21B">
      <w:pPr>
        <w:ind w:firstLine="640" w:firstLineChars="200"/>
        <w:rPr>
          <w:rFonts w:hint="default" w:ascii="Times New Roman" w:hAnsi="Times New Roman" w:eastAsia="方正仿宋_GBK" w:cs="Times New Roman"/>
          <w:kern w:val="0"/>
          <w:sz w:val="32"/>
          <w:szCs w:val="32"/>
          <w:shd w:val="clear" w:color="auto" w:fill="FFFFFF"/>
        </w:rPr>
      </w:pPr>
    </w:p>
    <w:p w14:paraId="56DC2856">
      <w:pPr>
        <w:ind w:firstLine="640" w:firstLineChars="200"/>
        <w:rPr>
          <w:rFonts w:hint="default" w:ascii="Times New Roman" w:hAnsi="Times New Roman" w:eastAsia="方正仿宋_GBK" w:cs="Times New Roman"/>
          <w:kern w:val="0"/>
          <w:sz w:val="32"/>
          <w:szCs w:val="32"/>
          <w:shd w:val="clear" w:color="auto" w:fill="FFFFFF"/>
        </w:rPr>
      </w:pPr>
    </w:p>
    <w:p w14:paraId="72073AFF">
      <w:pPr>
        <w:ind w:firstLine="640" w:firstLineChars="200"/>
        <w:rPr>
          <w:rFonts w:hint="default" w:ascii="Times New Roman" w:hAnsi="Times New Roman" w:eastAsia="方正仿宋_GBK" w:cs="Times New Roman"/>
          <w:kern w:val="0"/>
          <w:sz w:val="32"/>
          <w:szCs w:val="32"/>
          <w:shd w:val="clear" w:color="auto" w:fill="FFFFFF"/>
        </w:rPr>
      </w:pPr>
    </w:p>
    <w:p w14:paraId="1915A05D">
      <w:pPr>
        <w:ind w:firstLine="640" w:firstLineChars="200"/>
        <w:rPr>
          <w:rFonts w:hint="default" w:ascii="Times New Roman" w:hAnsi="Times New Roman" w:eastAsia="方正仿宋_GBK" w:cs="Times New Roman"/>
          <w:kern w:val="0"/>
          <w:sz w:val="32"/>
          <w:szCs w:val="32"/>
          <w:shd w:val="clear" w:color="auto" w:fill="FFFFFF"/>
        </w:rPr>
      </w:pPr>
    </w:p>
    <w:p w14:paraId="6A64CCCC">
      <w:pPr>
        <w:ind w:firstLine="640" w:firstLineChars="200"/>
        <w:rPr>
          <w:rFonts w:hint="default" w:ascii="Times New Roman" w:hAnsi="Times New Roman" w:eastAsia="方正仿宋_GBK" w:cs="Times New Roman"/>
          <w:kern w:val="0"/>
          <w:sz w:val="32"/>
          <w:szCs w:val="32"/>
          <w:shd w:val="clear" w:color="auto" w:fill="FFFFFF"/>
        </w:rPr>
      </w:pPr>
    </w:p>
    <w:p w14:paraId="7F0403F7">
      <w:pPr>
        <w:ind w:firstLine="640" w:firstLineChars="200"/>
        <w:rPr>
          <w:rFonts w:hint="default" w:ascii="Times New Roman" w:hAnsi="Times New Roman" w:eastAsia="方正仿宋_GBK" w:cs="Times New Roman"/>
          <w:kern w:val="0"/>
          <w:sz w:val="32"/>
          <w:szCs w:val="32"/>
          <w:shd w:val="clear" w:color="auto" w:fill="FFFFFF"/>
        </w:rPr>
      </w:pPr>
    </w:p>
    <w:p w14:paraId="30AB1E23">
      <w:pPr>
        <w:keepNext w:val="0"/>
        <w:keepLines w:val="0"/>
        <w:pageBreakBefore w:val="0"/>
        <w:widowControl w:val="0"/>
        <w:kinsoku/>
        <w:wordWrap/>
        <w:overflowPunct/>
        <w:topLinePunct w:val="0"/>
        <w:autoSpaceDE/>
        <w:autoSpaceDN/>
        <w:bidi w:val="0"/>
        <w:spacing w:line="570" w:lineRule="exact"/>
        <w:jc w:val="center"/>
        <w:textAlignment w:val="auto"/>
        <w:rPr>
          <w:rFonts w:hint="default" w:ascii="Times New Roman" w:hAnsi="Times New Roman" w:eastAsia="方正小标宋_GBK" w:cs="Times New Roman"/>
          <w:sz w:val="44"/>
          <w:szCs w:val="44"/>
        </w:rPr>
      </w:pPr>
    </w:p>
    <w:p w14:paraId="3E4683F9">
      <w:pPr>
        <w:snapToGrid w:val="0"/>
        <w:spacing w:line="60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丰都县噪声敏感建筑物集中区域划分方案</w:t>
      </w:r>
    </w:p>
    <w:p w14:paraId="12BA24BC">
      <w:pPr>
        <w:snapToGrid w:val="0"/>
        <w:spacing w:line="600" w:lineRule="exact"/>
        <w:rPr>
          <w:rFonts w:hint="default" w:ascii="Times New Roman" w:hAnsi="Times New Roman" w:cs="Times New Roman"/>
          <w:szCs w:val="32"/>
        </w:rPr>
      </w:pPr>
    </w:p>
    <w:p w14:paraId="077DA2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贯彻落实《中华人民共和国噪声污染防治法》《重庆市噪声污染防治办法》等划定噪声敏感建筑物集中区域有关要求，进一步做好丰都县噪声敏感建筑物集中区域噪声污染防治工作，结合丰都县国土空间总体规划、土地利用现状等，划分丰都县噪声敏感建筑物集中区域。</w:t>
      </w:r>
    </w:p>
    <w:p w14:paraId="608E66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bookmarkStart w:id="0" w:name="_Toc24701"/>
      <w:bookmarkStart w:id="1" w:name="_Toc25583"/>
      <w:r>
        <w:rPr>
          <w:rFonts w:hint="default" w:ascii="Times New Roman" w:hAnsi="Times New Roman" w:eastAsia="方正黑体_GBK" w:cs="Times New Roman"/>
          <w:sz w:val="32"/>
          <w:szCs w:val="32"/>
        </w:rPr>
        <w:t>一、基本原则</w:t>
      </w:r>
      <w:bookmarkEnd w:id="0"/>
      <w:bookmarkEnd w:id="1"/>
    </w:p>
    <w:p w14:paraId="055E92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依法划分。根据国家法律、法规和规章、技术标准科学划分噪声敏感建筑物集中区域，以城市实际建成情况现状为基础，结合国土空间规划、土地利用类型进行划定，切实维护噪声敏感建筑物集中区域划分的严肃性。</w:t>
      </w:r>
    </w:p>
    <w:p w14:paraId="46524F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以人为本。顺应人民群众对宁静宜居生活的向往，将以用于居住、科学研究、医疗卫生、文化教育、机关团体办公、社会福利等的建筑物为主的区域，划定为噪声敏感建筑物集中区域，加强噪声污染防治，提高城市宜居生活水平。</w:t>
      </w:r>
    </w:p>
    <w:p w14:paraId="37657B61">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统筹兼顾。以丰都县国土空间规划为指导，衔接丰都县声环境功能区划分，结合丰都县城区用地现状，综合考虑噪声敏感建筑物占地面积、噪声污染影响范围和程度、周边噪声敏感建筑物对声环境质量的改善需求，因地制宜、统筹兼顾，合理划定噪声敏感建筑物集中区域。</w:t>
      </w:r>
    </w:p>
    <w:p w14:paraId="288D313A">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务实管用。明确噪声敏感建筑物集中区域地理边界、坐标，将噪声敏感建筑物集中区域落地、上图、入库，力求“划得实，管得住”，使噪声敏感建筑物集中区域划分成为噪声监管、噪声污染防治的重要参考，切实增强保护实效。</w:t>
      </w:r>
    </w:p>
    <w:p w14:paraId="5C31A9AB">
      <w:pPr>
        <w:snapToGrid w:val="0"/>
        <w:spacing w:line="600" w:lineRule="exact"/>
        <w:ind w:firstLine="640" w:firstLineChars="200"/>
        <w:rPr>
          <w:rFonts w:hint="default" w:ascii="Times New Roman" w:hAnsi="Times New Roman" w:eastAsia="方正黑体_GBK" w:cs="Times New Roman"/>
          <w:sz w:val="32"/>
          <w:szCs w:val="32"/>
        </w:rPr>
      </w:pPr>
      <w:bookmarkStart w:id="2" w:name="_Toc8533"/>
      <w:bookmarkStart w:id="3" w:name="_Toc31162"/>
      <w:r>
        <w:rPr>
          <w:rFonts w:hint="default" w:ascii="Times New Roman" w:hAnsi="Times New Roman" w:eastAsia="方正黑体_GBK" w:cs="Times New Roman"/>
          <w:sz w:val="32"/>
          <w:szCs w:val="32"/>
        </w:rPr>
        <w:t>二、划分依据</w:t>
      </w:r>
      <w:bookmarkEnd w:id="2"/>
      <w:bookmarkEnd w:id="3"/>
    </w:p>
    <w:p w14:paraId="7767FB66">
      <w:pPr>
        <w:snapToGrid w:val="0"/>
        <w:spacing w:line="600" w:lineRule="exact"/>
        <w:ind w:firstLine="640" w:firstLineChars="200"/>
        <w:rPr>
          <w:rFonts w:hint="default" w:ascii="Times New Roman" w:hAnsi="Times New Roman" w:eastAsia="方正仿宋_GBK" w:cs="Times New Roman"/>
          <w:sz w:val="32"/>
          <w:szCs w:val="32"/>
        </w:rPr>
      </w:pPr>
      <w:bookmarkStart w:id="4" w:name="_Toc2742"/>
      <w:bookmarkStart w:id="5" w:name="_Toc58094811"/>
      <w:r>
        <w:rPr>
          <w:rFonts w:hint="default" w:ascii="Times New Roman" w:hAnsi="Times New Roman" w:eastAsia="方正仿宋_GBK" w:cs="Times New Roman"/>
          <w:sz w:val="32"/>
          <w:szCs w:val="32"/>
        </w:rPr>
        <w:t>（一）法律法规和政府规章</w:t>
      </w:r>
      <w:bookmarkEnd w:id="4"/>
      <w:r>
        <w:rPr>
          <w:rFonts w:hint="default" w:ascii="Times New Roman" w:hAnsi="Times New Roman" w:eastAsia="方正仿宋_GBK" w:cs="Times New Roman"/>
          <w:sz w:val="32"/>
          <w:szCs w:val="32"/>
        </w:rPr>
        <w:t>。</w:t>
      </w:r>
    </w:p>
    <w:p w14:paraId="21CF31CC">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1.《中华人民共和国环境保护法》；</w:t>
      </w:r>
    </w:p>
    <w:p w14:paraId="5E9E30D3">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2.《中华人民共和国噪声污染防治法》；</w:t>
      </w:r>
    </w:p>
    <w:p w14:paraId="3D9A641D">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3.《重庆市噪声污染防治办法》。</w:t>
      </w:r>
    </w:p>
    <w:p w14:paraId="6A59BD8D">
      <w:pPr>
        <w:snapToGrid w:val="0"/>
        <w:spacing w:line="600" w:lineRule="exact"/>
        <w:ind w:firstLine="640" w:firstLineChars="200"/>
        <w:rPr>
          <w:rFonts w:hint="default" w:ascii="Times New Roman" w:hAnsi="Times New Roman" w:eastAsia="方正仿宋_GBK" w:cs="Times New Roman"/>
          <w:sz w:val="32"/>
          <w:szCs w:val="32"/>
        </w:rPr>
      </w:pPr>
      <w:bookmarkStart w:id="6" w:name="_Toc5317"/>
      <w:bookmarkStart w:id="7" w:name="_Toc21468_WPSOffice_Level3"/>
      <w:bookmarkStart w:id="8" w:name="_Toc6015_WPSOffice_Level3"/>
      <w:bookmarkStart w:id="9" w:name="_Toc20406_WPSOffice_Level3"/>
      <w:r>
        <w:rPr>
          <w:rFonts w:hint="default" w:ascii="Times New Roman" w:hAnsi="Times New Roman" w:eastAsia="方正仿宋_GBK" w:cs="Times New Roman"/>
          <w:sz w:val="32"/>
          <w:szCs w:val="32"/>
        </w:rPr>
        <w:t>（二）技术规范和标准</w:t>
      </w:r>
      <w:bookmarkEnd w:id="6"/>
      <w:bookmarkEnd w:id="7"/>
      <w:bookmarkEnd w:id="8"/>
      <w:bookmarkEnd w:id="9"/>
      <w:r>
        <w:rPr>
          <w:rFonts w:hint="default" w:ascii="Times New Roman" w:hAnsi="Times New Roman" w:eastAsia="方正仿宋_GBK" w:cs="Times New Roman"/>
          <w:sz w:val="32"/>
          <w:szCs w:val="32"/>
        </w:rPr>
        <w:t>。</w:t>
      </w:r>
    </w:p>
    <w:p w14:paraId="7FCEA793">
      <w:pPr>
        <w:snapToGrid w:val="0"/>
        <w:spacing w:line="600" w:lineRule="exact"/>
        <w:ind w:firstLine="640" w:firstLineChars="200"/>
        <w:rPr>
          <w:rFonts w:hint="default" w:ascii="Times New Roman" w:hAnsi="Times New Roman" w:eastAsia="方正仿宋_GBK" w:cs="Times New Roman"/>
          <w:sz w:val="32"/>
          <w:szCs w:val="32"/>
        </w:rPr>
      </w:pPr>
      <w:bookmarkStart w:id="10" w:name="_Toc14670_WPSOffice_Level3"/>
      <w:bookmarkStart w:id="11" w:name="_Toc9525_WPSOffice_Level3"/>
      <w:bookmarkStart w:id="12" w:name="_Toc29513_WPSOffice_Level3"/>
      <w:r>
        <w:rPr>
          <w:rFonts w:hint="default" w:ascii="Times New Roman" w:hAnsi="Times New Roman" w:eastAsia="方正仿宋_GBK" w:cs="Times New Roman"/>
          <w:sz w:val="32"/>
          <w:szCs w:val="32"/>
        </w:rPr>
        <w:t>1.《声环境质量标准》（GB3096-2008）；</w:t>
      </w:r>
    </w:p>
    <w:p w14:paraId="3B2E7F49">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2.《重庆市噪声敏感建筑物集中区域划分技术规范实施细则（试行）》（渝环发〔2023〕106号）。</w:t>
      </w:r>
    </w:p>
    <w:p w14:paraId="79AA4557">
      <w:pPr>
        <w:snapToGrid w:val="0"/>
        <w:spacing w:line="600" w:lineRule="exact"/>
        <w:ind w:firstLine="640" w:firstLineChars="200"/>
        <w:rPr>
          <w:rFonts w:hint="default" w:ascii="Times New Roman" w:hAnsi="Times New Roman" w:eastAsia="方正仿宋_GBK" w:cs="Times New Roman"/>
          <w:sz w:val="32"/>
          <w:szCs w:val="32"/>
        </w:rPr>
      </w:pPr>
      <w:bookmarkStart w:id="13" w:name="_Toc1585"/>
      <w:r>
        <w:rPr>
          <w:rFonts w:hint="default" w:ascii="Times New Roman" w:hAnsi="Times New Roman" w:eastAsia="方正仿宋_GBK" w:cs="Times New Roman"/>
          <w:sz w:val="32"/>
          <w:szCs w:val="32"/>
        </w:rPr>
        <w:t>（三）其他政策文件</w:t>
      </w:r>
      <w:bookmarkEnd w:id="10"/>
      <w:bookmarkEnd w:id="11"/>
      <w:bookmarkEnd w:id="12"/>
      <w:r>
        <w:rPr>
          <w:rFonts w:hint="default" w:ascii="Times New Roman" w:hAnsi="Times New Roman" w:eastAsia="方正仿宋_GBK" w:cs="Times New Roman"/>
          <w:sz w:val="32"/>
          <w:szCs w:val="32"/>
        </w:rPr>
        <w:t>及资料</w:t>
      </w:r>
      <w:bookmarkEnd w:id="13"/>
      <w:r>
        <w:rPr>
          <w:rFonts w:hint="default" w:ascii="Times New Roman" w:hAnsi="Times New Roman" w:eastAsia="方正仿宋_GBK" w:cs="Times New Roman"/>
          <w:sz w:val="32"/>
          <w:szCs w:val="32"/>
        </w:rPr>
        <w:t>。</w:t>
      </w:r>
    </w:p>
    <w:p w14:paraId="490E2D34">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1.《重庆市生态环境局等20部门关于印发〈重庆市噪声污染防治实施方案（2024-2025年）〉的函（渝环﹝2024﹞24号）》；</w:t>
      </w:r>
    </w:p>
    <w:p w14:paraId="23361C5A">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2.《重庆市丰都县国土空间总体规划（2021—2035年）》；</w:t>
      </w:r>
    </w:p>
    <w:p w14:paraId="62E16F2B">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3.《丰都县声环境功能区划分调整方案》（丰都府办发〔2023〕23号）</w:t>
      </w:r>
      <w:bookmarkEnd w:id="5"/>
      <w:r>
        <w:rPr>
          <w:rFonts w:hint="default" w:ascii="Times New Roman" w:hAnsi="Times New Roman" w:eastAsia="方正仿宋_GBK" w:cs="Times New Roman"/>
          <w:sz w:val="32"/>
          <w:szCs w:val="32"/>
        </w:rPr>
        <w:t>。</w:t>
      </w:r>
    </w:p>
    <w:p w14:paraId="4EF14F4F">
      <w:pPr>
        <w:snapToGrid w:val="0"/>
        <w:spacing w:line="600" w:lineRule="exact"/>
        <w:ind w:firstLine="640" w:firstLineChars="200"/>
        <w:rPr>
          <w:rFonts w:hint="default" w:ascii="Times New Roman" w:hAnsi="Times New Roman" w:eastAsia="方正黑体_GBK" w:cs="Times New Roman"/>
          <w:sz w:val="32"/>
          <w:szCs w:val="32"/>
        </w:rPr>
      </w:pPr>
      <w:bookmarkStart w:id="14" w:name="_Toc7317"/>
      <w:bookmarkStart w:id="15" w:name="_Toc735"/>
      <w:r>
        <w:rPr>
          <w:rFonts w:hint="default" w:ascii="Times New Roman" w:hAnsi="Times New Roman" w:eastAsia="方正黑体_GBK" w:cs="Times New Roman"/>
          <w:sz w:val="32"/>
          <w:szCs w:val="32"/>
        </w:rPr>
        <w:t>三、适用范围</w:t>
      </w:r>
      <w:bookmarkEnd w:id="14"/>
      <w:bookmarkEnd w:id="15"/>
    </w:p>
    <w:p w14:paraId="14992714">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本次划分适用范围为丰都县城市规划区包括名山组团、镇江组团、丁庄溪组团、王家渡组团、水天坪组团、龙河东片区、高家镇的城市规划建设用地范围。</w:t>
      </w:r>
    </w:p>
    <w:p w14:paraId="61BD7124">
      <w:pPr>
        <w:snapToGrid w:val="0"/>
        <w:spacing w:line="600" w:lineRule="exact"/>
        <w:ind w:firstLine="640" w:firstLineChars="200"/>
        <w:rPr>
          <w:rFonts w:hint="default" w:ascii="Times New Roman" w:hAnsi="Times New Roman" w:eastAsia="方正黑体_GBK" w:cs="Times New Roman"/>
          <w:sz w:val="32"/>
          <w:szCs w:val="32"/>
        </w:rPr>
      </w:pPr>
      <w:bookmarkStart w:id="16" w:name="_Toc27536"/>
      <w:bookmarkStart w:id="17" w:name="_Toc3358"/>
      <w:r>
        <w:rPr>
          <w:rFonts w:hint="default" w:ascii="Times New Roman" w:hAnsi="Times New Roman" w:eastAsia="方正黑体_GBK" w:cs="Times New Roman"/>
          <w:sz w:val="32"/>
          <w:szCs w:val="32"/>
        </w:rPr>
        <w:t>四、</w:t>
      </w:r>
      <w:bookmarkEnd w:id="16"/>
      <w:r>
        <w:rPr>
          <w:rFonts w:hint="default" w:ascii="Times New Roman" w:hAnsi="Times New Roman" w:eastAsia="方正黑体_GBK" w:cs="Times New Roman"/>
          <w:sz w:val="32"/>
          <w:szCs w:val="32"/>
        </w:rPr>
        <w:t>批准实施</w:t>
      </w:r>
      <w:bookmarkEnd w:id="17"/>
    </w:p>
    <w:p w14:paraId="7A4DEB66">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本方案由丰都县人民政府批准实施，原则上不超过5年调整一次。确因城市建设和重大规划实施调整，可申请方案修编并按原程序报批。</w:t>
      </w:r>
    </w:p>
    <w:p w14:paraId="3EF21421">
      <w:pPr>
        <w:snapToGrid w:val="0"/>
        <w:spacing w:line="600" w:lineRule="exact"/>
        <w:ind w:firstLine="640" w:firstLineChars="200"/>
        <w:rPr>
          <w:rFonts w:hint="default" w:ascii="Times New Roman" w:hAnsi="Times New Roman" w:eastAsia="方正黑体_GBK" w:cs="Times New Roman"/>
          <w:sz w:val="32"/>
          <w:szCs w:val="32"/>
        </w:rPr>
      </w:pPr>
      <w:bookmarkStart w:id="18" w:name="_Toc1367"/>
      <w:bookmarkStart w:id="19" w:name="_Toc25062"/>
      <w:r>
        <w:rPr>
          <w:rFonts w:hint="default" w:ascii="Times New Roman" w:hAnsi="Times New Roman" w:eastAsia="方正黑体_GBK" w:cs="Times New Roman"/>
          <w:sz w:val="32"/>
          <w:szCs w:val="32"/>
        </w:rPr>
        <w:t>五、划分结果</w:t>
      </w:r>
      <w:bookmarkEnd w:id="18"/>
      <w:bookmarkEnd w:id="19"/>
    </w:p>
    <w:p w14:paraId="51EED1FA">
      <w:pPr>
        <w:snapToGrid w:val="0"/>
        <w:spacing w:line="600" w:lineRule="exact"/>
        <w:ind w:firstLine="640" w:firstLineChars="200"/>
        <w:rPr>
          <w:rFonts w:hint="default" w:ascii="Times New Roman" w:hAnsi="Times New Roman" w:eastAsia="方正仿宋_GBK" w:cs="Times New Roman"/>
          <w:sz w:val="32"/>
          <w:szCs w:val="32"/>
        </w:rPr>
      </w:pPr>
      <w:bookmarkStart w:id="20" w:name="_Toc20579"/>
      <w:bookmarkStart w:id="21" w:name="_Hlk128664021"/>
      <w:r>
        <w:rPr>
          <w:rFonts w:hint="default" w:ascii="Times New Roman" w:hAnsi="Times New Roman" w:eastAsia="方正仿宋_GBK" w:cs="Times New Roman"/>
          <w:sz w:val="32"/>
          <w:szCs w:val="32"/>
        </w:rPr>
        <w:t>（一）噪声敏感建筑物集中区域</w:t>
      </w:r>
      <w:bookmarkEnd w:id="20"/>
      <w:r>
        <w:rPr>
          <w:rFonts w:hint="default" w:ascii="Times New Roman" w:hAnsi="Times New Roman" w:eastAsia="方正仿宋_GBK" w:cs="Times New Roman"/>
          <w:sz w:val="32"/>
          <w:szCs w:val="32"/>
        </w:rPr>
        <w:t>。</w:t>
      </w:r>
    </w:p>
    <w:p w14:paraId="576942F1">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次丰都县噪声敏感建筑物集中区域划分以《丰都县声环境功能区划分调整方案》丰都县声功能区划分中心城区边界为划定范围，以丰都县国土空间规划、土地利用现状和遥感影像为参照，结合现场踏勘情况综合划定。</w:t>
      </w:r>
      <w:bookmarkStart w:id="22" w:name="_Hlk131589794"/>
      <w:r>
        <w:rPr>
          <w:rFonts w:hint="default" w:ascii="Times New Roman" w:hAnsi="Times New Roman" w:eastAsia="方正仿宋_GBK" w:cs="Times New Roman"/>
          <w:sz w:val="32"/>
          <w:szCs w:val="32"/>
        </w:rPr>
        <w:t>丰都县城区共划定噪声敏感建筑物集中区域17个，面积共计7.34km2，见附件</w:t>
      </w:r>
      <w:bookmarkEnd w:id="21"/>
      <w:bookmarkEnd w:id="22"/>
      <w:bookmarkStart w:id="23" w:name="_Toc14046"/>
      <w:r>
        <w:rPr>
          <w:rFonts w:hint="default" w:ascii="Times New Roman" w:hAnsi="Times New Roman" w:eastAsia="方正仿宋_GBK" w:cs="Times New Roman"/>
          <w:sz w:val="32"/>
          <w:szCs w:val="32"/>
        </w:rPr>
        <w:t>。</w:t>
      </w:r>
    </w:p>
    <w:p w14:paraId="54B552D9">
      <w:pPr>
        <w:snapToGrid w:val="0"/>
        <w:spacing w:line="600" w:lineRule="exact"/>
        <w:ind w:firstLine="640" w:firstLineChars="200"/>
        <w:rPr>
          <w:rFonts w:hint="default" w:ascii="Times New Roman" w:hAnsi="Times New Roman" w:eastAsia="方正仿宋_GBK" w:cs="Times New Roman"/>
          <w:sz w:val="32"/>
          <w:szCs w:val="32"/>
        </w:rPr>
      </w:pPr>
      <w:bookmarkStart w:id="24" w:name="_Toc24710"/>
      <w:r>
        <w:rPr>
          <w:rFonts w:hint="default" w:ascii="Times New Roman" w:hAnsi="Times New Roman" w:eastAsia="方正仿宋_GBK" w:cs="Times New Roman"/>
          <w:sz w:val="32"/>
          <w:szCs w:val="32"/>
        </w:rPr>
        <w:t>（二）噪声敏感建筑物临时扩展区</w:t>
      </w:r>
      <w:bookmarkEnd w:id="24"/>
      <w:r>
        <w:rPr>
          <w:rFonts w:hint="default" w:ascii="Times New Roman" w:hAnsi="Times New Roman" w:eastAsia="方正仿宋_GBK" w:cs="Times New Roman"/>
          <w:sz w:val="32"/>
          <w:szCs w:val="32"/>
        </w:rPr>
        <w:t>。</w:t>
      </w:r>
    </w:p>
    <w:p w14:paraId="0B56D542">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噪声敏感建筑物集中区域周边直线200米范围内，或根据实际情况进行优化确定的范围内，如存在一定规模的建筑施工工地，则该范围自动划为噪声敏感建筑物临时扩展区，并按照噪声敏感建筑物集中区有关要求进行管理。</w:t>
      </w:r>
    </w:p>
    <w:p w14:paraId="44C35E08">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若建筑施工工地采用有效降低噪声的施工工艺、设备等措施，或建筑施工工地完成施工，噪声敏感建筑物不再受建筑施工噪声影响，噪声敏感建筑物临时扩展区自动取消。</w:t>
      </w:r>
    </w:p>
    <w:p w14:paraId="08BD935A">
      <w:pPr>
        <w:snapToGrid w:val="0"/>
        <w:spacing w:line="600" w:lineRule="exact"/>
        <w:ind w:firstLine="640" w:firstLineChars="200"/>
        <w:rPr>
          <w:rFonts w:hint="default" w:ascii="Times New Roman" w:hAnsi="Times New Roman" w:eastAsia="方正仿宋_GBK" w:cs="Times New Roman"/>
          <w:sz w:val="32"/>
          <w:szCs w:val="32"/>
        </w:rPr>
      </w:pPr>
      <w:bookmarkStart w:id="25" w:name="_Toc30456"/>
      <w:r>
        <w:rPr>
          <w:rFonts w:hint="default" w:ascii="Times New Roman" w:hAnsi="Times New Roman" w:eastAsia="方正黑体_GBK" w:cs="Times New Roman"/>
          <w:sz w:val="32"/>
          <w:szCs w:val="32"/>
        </w:rPr>
        <w:t>六、监督管理</w:t>
      </w:r>
      <w:bookmarkEnd w:id="23"/>
      <w:bookmarkEnd w:id="25"/>
    </w:p>
    <w:p w14:paraId="53412D33">
      <w:pPr>
        <w:snapToGrid w:val="0"/>
        <w:spacing w:line="600" w:lineRule="exact"/>
        <w:ind w:firstLine="640" w:firstLineChars="200"/>
        <w:rPr>
          <w:rFonts w:hint="default" w:ascii="Times New Roman" w:hAnsi="Times New Roman" w:eastAsia="方正仿宋_GBK" w:cs="Times New Roman"/>
          <w:sz w:val="32"/>
          <w:szCs w:val="32"/>
        </w:rPr>
      </w:pPr>
      <w:bookmarkStart w:id="26" w:name="_Toc2770"/>
      <w:bookmarkStart w:id="27" w:name="_Toc20225"/>
      <w:bookmarkStart w:id="28" w:name="_Hlk126332531"/>
      <w:r>
        <w:rPr>
          <w:rFonts w:hint="default" w:ascii="Times New Roman" w:hAnsi="Times New Roman" w:eastAsia="方正仿宋_GBK" w:cs="Times New Roman"/>
          <w:sz w:val="32"/>
          <w:szCs w:val="32"/>
        </w:rPr>
        <w:t>（一）明确职责分工</w:t>
      </w:r>
      <w:bookmarkEnd w:id="26"/>
      <w:bookmarkEnd w:id="27"/>
      <w:r>
        <w:rPr>
          <w:rFonts w:hint="default" w:ascii="Times New Roman" w:hAnsi="Times New Roman" w:eastAsia="方正仿宋_GBK" w:cs="Times New Roman"/>
          <w:sz w:val="32"/>
          <w:szCs w:val="32"/>
        </w:rPr>
        <w:t>。</w:t>
      </w:r>
    </w:p>
    <w:p w14:paraId="418ACC39">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重庆市噪声污染防治办法》等法律法规规定，丰都县生态环境局对本行政区域内的噪声污染防治实施统一监督管理，丰都县发展和改革委员会、丰都县经济和信息化委员会、丰都县公安局、丰都县规划和自然资源局、丰都县住房和城乡建设委员会、丰都县城市管理局、丰都县交通运输委员会、丰都县文化和旅游发展委员会等部门，在各自职责范围内对噪声污染防治实施监督管理。</w:t>
      </w:r>
    </w:p>
    <w:p w14:paraId="3DC30744">
      <w:pPr>
        <w:snapToGrid w:val="0"/>
        <w:spacing w:line="600" w:lineRule="exact"/>
        <w:ind w:firstLine="640" w:firstLineChars="200"/>
        <w:rPr>
          <w:rFonts w:hint="default" w:ascii="Times New Roman" w:hAnsi="Times New Roman" w:eastAsia="方正仿宋_GBK" w:cs="Times New Roman"/>
          <w:sz w:val="32"/>
          <w:szCs w:val="32"/>
        </w:rPr>
      </w:pPr>
      <w:bookmarkStart w:id="29" w:name="_Toc24866"/>
      <w:bookmarkStart w:id="30" w:name="_Toc25851"/>
      <w:r>
        <w:rPr>
          <w:rFonts w:hint="default" w:ascii="Times New Roman" w:hAnsi="Times New Roman" w:eastAsia="方正仿宋_GBK" w:cs="Times New Roman"/>
          <w:sz w:val="32"/>
          <w:szCs w:val="32"/>
        </w:rPr>
        <w:t>（二）强化监管执行</w:t>
      </w:r>
      <w:bookmarkEnd w:id="29"/>
      <w:bookmarkEnd w:id="30"/>
      <w:r>
        <w:rPr>
          <w:rFonts w:hint="default" w:ascii="Times New Roman" w:hAnsi="Times New Roman" w:eastAsia="方正仿宋_GBK" w:cs="Times New Roman"/>
          <w:sz w:val="32"/>
          <w:szCs w:val="32"/>
        </w:rPr>
        <w:t>。</w:t>
      </w:r>
    </w:p>
    <w:p w14:paraId="32D21126">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噪声敏感建筑物集中区域的管理按照《中华人民共和国噪声污染防治法》第十四条、第二十三条、第二十六条、第三十五条、第四十一条、第四十二条、第四十三条、第四十五条、第四十六条、第五十二条、第五十四条、第六十四条、第七十条、第七十三条、第七十四条、第七十七条、第七十八条、第八十二条、第八十八条等规定和《重庆市噪声污染防治办法》第四条、第五条、第七条、第八条、第十一条、第十四条、第十五条、第十七条、第十八条等规定执行。</w:t>
      </w:r>
    </w:p>
    <w:p w14:paraId="26A826F8">
      <w:pPr>
        <w:snapToGrid w:val="0"/>
        <w:spacing w:line="600" w:lineRule="exact"/>
        <w:ind w:firstLine="640" w:firstLineChars="200"/>
        <w:rPr>
          <w:rFonts w:hint="default" w:ascii="Times New Roman" w:hAnsi="Times New Roman" w:eastAsia="方正仿宋_GBK" w:cs="Times New Roman"/>
          <w:sz w:val="32"/>
          <w:szCs w:val="32"/>
        </w:rPr>
      </w:pPr>
      <w:bookmarkStart w:id="31" w:name="_Toc14397"/>
      <w:bookmarkStart w:id="32" w:name="_Toc20123"/>
      <w:r>
        <w:rPr>
          <w:rFonts w:hint="default" w:ascii="Times New Roman" w:hAnsi="Times New Roman" w:eastAsia="方正仿宋_GBK" w:cs="Times New Roman"/>
          <w:sz w:val="32"/>
          <w:szCs w:val="32"/>
        </w:rPr>
        <w:t>（三）加强宣传教育</w:t>
      </w:r>
      <w:bookmarkEnd w:id="31"/>
      <w:bookmarkEnd w:id="32"/>
      <w:r>
        <w:rPr>
          <w:rFonts w:hint="default" w:ascii="Times New Roman" w:hAnsi="Times New Roman" w:eastAsia="方正仿宋_GBK" w:cs="Times New Roman"/>
          <w:sz w:val="32"/>
          <w:szCs w:val="32"/>
        </w:rPr>
        <w:t>。</w:t>
      </w:r>
    </w:p>
    <w:p w14:paraId="247B7ED1">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鼓励公众参与，加强噪声敏感建筑物集中区域噪声污染防治宣教工作。以广播、电视、报刊、网络为载体，通过多种形式深入开展声环境保护方面的宣传教育，增强单位和公众保护声环境的意识，鼓励公众积极参与举报涉及噪声敏感建筑物集中区域声环境污染的违法事件，提高贯彻执行国家有关声环境保护法的自觉性。</w:t>
      </w:r>
      <w:bookmarkEnd w:id="28"/>
    </w:p>
    <w:p w14:paraId="462748E0">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本方案自公布之日起施行。</w:t>
      </w:r>
    </w:p>
    <w:p w14:paraId="7B615056">
      <w:pPr>
        <w:snapToGrid w:val="0"/>
        <w:spacing w:line="600" w:lineRule="exact"/>
        <w:rPr>
          <w:rFonts w:hint="default" w:ascii="Times New Roman" w:hAnsi="Times New Roman" w:eastAsia="方正仿宋_GBK" w:cs="Times New Roman"/>
          <w:sz w:val="32"/>
          <w:szCs w:val="32"/>
        </w:rPr>
      </w:pPr>
    </w:p>
    <w:p w14:paraId="226D1829">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附件：1．丰都县噪声敏感建筑物集中区域划分情况表</w:t>
      </w:r>
    </w:p>
    <w:p w14:paraId="14D823C0">
      <w:pPr>
        <w:numPr>
          <w:ilvl w:val="0"/>
          <w:numId w:val="1"/>
        </w:numPr>
        <w:snapToGrid w:val="0"/>
        <w:spacing w:line="600" w:lineRule="exact"/>
        <w:ind w:firstLine="1600" w:firstLineChars="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丰都县噪声敏感建筑物集中区域划分范围</w:t>
      </w:r>
    </w:p>
    <w:p w14:paraId="4D352D00">
      <w:pPr>
        <w:widowControl w:val="0"/>
        <w:numPr>
          <w:ilvl w:val="0"/>
          <w:numId w:val="0"/>
        </w:numPr>
        <w:snapToGrid w:val="0"/>
        <w:spacing w:line="600" w:lineRule="exact"/>
        <w:jc w:val="both"/>
        <w:rPr>
          <w:rFonts w:hint="default" w:ascii="Times New Roman" w:hAnsi="Times New Roman" w:eastAsia="方正仿宋_GBK" w:cs="Times New Roman"/>
          <w:sz w:val="32"/>
          <w:szCs w:val="20"/>
        </w:rPr>
      </w:pPr>
    </w:p>
    <w:p w14:paraId="4BFCEDDA">
      <w:pPr>
        <w:widowControl w:val="0"/>
        <w:numPr>
          <w:ilvl w:val="0"/>
          <w:numId w:val="0"/>
        </w:numPr>
        <w:snapToGrid w:val="0"/>
        <w:spacing w:line="600" w:lineRule="exact"/>
        <w:jc w:val="both"/>
        <w:rPr>
          <w:rFonts w:hint="default" w:ascii="Times New Roman" w:hAnsi="Times New Roman" w:eastAsia="方正仿宋_GBK" w:cs="Times New Roman"/>
          <w:sz w:val="32"/>
          <w:szCs w:val="20"/>
        </w:rPr>
      </w:pPr>
    </w:p>
    <w:p w14:paraId="245A42A7">
      <w:pPr>
        <w:widowControl w:val="0"/>
        <w:numPr>
          <w:ilvl w:val="0"/>
          <w:numId w:val="0"/>
        </w:numPr>
        <w:snapToGrid w:val="0"/>
        <w:spacing w:line="600" w:lineRule="exact"/>
        <w:jc w:val="both"/>
        <w:rPr>
          <w:rFonts w:hint="default" w:ascii="Times New Roman" w:hAnsi="Times New Roman" w:eastAsia="方正仿宋_GBK" w:cs="Times New Roman"/>
          <w:sz w:val="32"/>
          <w:szCs w:val="20"/>
        </w:rPr>
      </w:pPr>
    </w:p>
    <w:p w14:paraId="19F89615">
      <w:pPr>
        <w:widowControl w:val="0"/>
        <w:numPr>
          <w:ilvl w:val="0"/>
          <w:numId w:val="0"/>
        </w:numPr>
        <w:snapToGrid w:val="0"/>
        <w:spacing w:line="600" w:lineRule="exact"/>
        <w:jc w:val="both"/>
        <w:rPr>
          <w:rFonts w:hint="default" w:ascii="Times New Roman" w:hAnsi="Times New Roman" w:eastAsia="方正仿宋_GBK" w:cs="Times New Roman"/>
          <w:sz w:val="32"/>
          <w:szCs w:val="20"/>
        </w:rPr>
      </w:pPr>
    </w:p>
    <w:p w14:paraId="7052A21F">
      <w:pPr>
        <w:widowControl w:val="0"/>
        <w:numPr>
          <w:ilvl w:val="0"/>
          <w:numId w:val="0"/>
        </w:numPr>
        <w:snapToGrid w:val="0"/>
        <w:spacing w:line="600" w:lineRule="exact"/>
        <w:jc w:val="both"/>
        <w:rPr>
          <w:rFonts w:hint="default" w:ascii="Times New Roman" w:hAnsi="Times New Roman" w:eastAsia="方正仿宋_GBK" w:cs="Times New Roman"/>
          <w:sz w:val="32"/>
          <w:szCs w:val="20"/>
        </w:rPr>
        <w:sectPr>
          <w:headerReference r:id="rId3" w:type="default"/>
          <w:footerReference r:id="rId4" w:type="default"/>
          <w:pgSz w:w="11906" w:h="16838"/>
          <w:pgMar w:top="1962" w:right="1474" w:bottom="1962" w:left="1587" w:header="851" w:footer="992" w:gutter="0"/>
          <w:pgNumType w:fmt="numberInDash"/>
          <w:cols w:space="0" w:num="1"/>
          <w:docGrid w:type="lines" w:linePitch="312" w:charSpace="0"/>
        </w:sectPr>
      </w:pPr>
    </w:p>
    <w:p w14:paraId="69C0244F">
      <w:pPr>
        <w:snapToGrid w:val="0"/>
        <w:spacing w:line="600" w:lineRule="exact"/>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附件1</w:t>
      </w:r>
    </w:p>
    <w:p w14:paraId="1278F430">
      <w:pPr>
        <w:snapToGrid w:val="0"/>
        <w:spacing w:line="600" w:lineRule="exact"/>
        <w:rPr>
          <w:rFonts w:hint="default" w:ascii="Times New Roman" w:hAnsi="Times New Roman" w:cs="Times New Roman"/>
          <w:szCs w:val="32"/>
        </w:rPr>
      </w:pPr>
    </w:p>
    <w:p w14:paraId="59C1DD35">
      <w:pPr>
        <w:snapToGrid w:val="0"/>
        <w:spacing w:line="60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丰都县噪声敏感建筑物集中区域划分情况表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678"/>
        <w:gridCol w:w="2308"/>
        <w:gridCol w:w="1468"/>
        <w:gridCol w:w="1888"/>
        <w:gridCol w:w="3355"/>
        <w:gridCol w:w="9306"/>
      </w:tblGrid>
      <w:tr w14:paraId="6132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54C6A680">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序号</w:t>
            </w:r>
          </w:p>
        </w:tc>
        <w:tc>
          <w:tcPr>
            <w:tcW w:w="1678" w:type="dxa"/>
            <w:tcBorders>
              <w:top w:val="single" w:color="auto" w:sz="4" w:space="0"/>
              <w:left w:val="nil"/>
              <w:bottom w:val="single" w:color="auto" w:sz="4" w:space="0"/>
              <w:right w:val="single" w:color="auto" w:sz="4" w:space="0"/>
            </w:tcBorders>
            <w:noWrap w:val="0"/>
            <w:vAlign w:val="center"/>
          </w:tcPr>
          <w:p w14:paraId="35043911">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编号</w:t>
            </w:r>
          </w:p>
        </w:tc>
        <w:tc>
          <w:tcPr>
            <w:tcW w:w="2308" w:type="dxa"/>
            <w:tcBorders>
              <w:top w:val="single" w:color="auto" w:sz="4" w:space="0"/>
              <w:left w:val="nil"/>
              <w:bottom w:val="single" w:color="auto" w:sz="4" w:space="0"/>
              <w:right w:val="single" w:color="auto" w:sz="4" w:space="0"/>
            </w:tcBorders>
            <w:noWrap w:val="0"/>
            <w:vAlign w:val="center"/>
          </w:tcPr>
          <w:p w14:paraId="0412A2B5">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涉及声功能区编号</w:t>
            </w:r>
          </w:p>
        </w:tc>
        <w:tc>
          <w:tcPr>
            <w:tcW w:w="1468" w:type="dxa"/>
            <w:tcBorders>
              <w:top w:val="single" w:color="auto" w:sz="4" w:space="0"/>
              <w:left w:val="nil"/>
              <w:bottom w:val="single" w:color="auto" w:sz="4" w:space="0"/>
              <w:right w:val="single" w:color="auto" w:sz="4" w:space="0"/>
            </w:tcBorders>
            <w:noWrap w:val="0"/>
            <w:vAlign w:val="center"/>
          </w:tcPr>
          <w:p w14:paraId="38164ADE">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面积（km</w:t>
            </w:r>
            <w:r>
              <w:rPr>
                <w:rFonts w:hint="default" w:ascii="Times New Roman" w:hAnsi="Times New Roman" w:eastAsia="方正黑体_GBK" w:cs="Times New Roman"/>
                <w:bCs/>
                <w:sz w:val="24"/>
                <w:szCs w:val="24"/>
                <w:vertAlign w:val="superscript"/>
              </w:rPr>
              <w:t>2</w:t>
            </w:r>
            <w:r>
              <w:rPr>
                <w:rFonts w:hint="default" w:ascii="Times New Roman" w:hAnsi="Times New Roman" w:eastAsia="方正黑体_GBK" w:cs="Times New Roman"/>
                <w:bCs/>
                <w:sz w:val="24"/>
                <w:szCs w:val="24"/>
              </w:rPr>
              <w:t>）</w:t>
            </w:r>
          </w:p>
        </w:tc>
        <w:tc>
          <w:tcPr>
            <w:tcW w:w="1888" w:type="dxa"/>
            <w:tcBorders>
              <w:top w:val="single" w:color="auto" w:sz="4" w:space="0"/>
              <w:left w:val="nil"/>
              <w:bottom w:val="single" w:color="auto" w:sz="4" w:space="0"/>
              <w:right w:val="single" w:color="auto" w:sz="4" w:space="0"/>
            </w:tcBorders>
            <w:noWrap w:val="0"/>
            <w:vAlign w:val="center"/>
          </w:tcPr>
          <w:p w14:paraId="6587194E">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敏感建筑物面积占比（%）</w:t>
            </w:r>
          </w:p>
        </w:tc>
        <w:tc>
          <w:tcPr>
            <w:tcW w:w="3355" w:type="dxa"/>
            <w:tcBorders>
              <w:top w:val="single" w:color="auto" w:sz="4" w:space="0"/>
              <w:left w:val="nil"/>
              <w:bottom w:val="single" w:color="auto" w:sz="4" w:space="0"/>
              <w:right w:val="single" w:color="auto" w:sz="4" w:space="0"/>
            </w:tcBorders>
            <w:noWrap w:val="0"/>
            <w:vAlign w:val="center"/>
          </w:tcPr>
          <w:p w14:paraId="4548BA63">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划分范围描述</w:t>
            </w:r>
          </w:p>
        </w:tc>
        <w:tc>
          <w:tcPr>
            <w:tcW w:w="9306" w:type="dxa"/>
            <w:tcBorders>
              <w:top w:val="single" w:color="auto" w:sz="4" w:space="0"/>
              <w:left w:val="nil"/>
              <w:bottom w:val="single" w:color="auto" w:sz="4" w:space="0"/>
              <w:right w:val="single" w:color="auto" w:sz="4" w:space="0"/>
            </w:tcBorders>
            <w:noWrap w:val="0"/>
            <w:vAlign w:val="center"/>
          </w:tcPr>
          <w:p w14:paraId="0FE55565">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重点噪声敏感建筑物</w:t>
            </w:r>
          </w:p>
        </w:tc>
      </w:tr>
      <w:tr w14:paraId="0C03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2765E5D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1678" w:type="dxa"/>
            <w:tcBorders>
              <w:top w:val="single" w:color="auto" w:sz="4" w:space="0"/>
              <w:left w:val="nil"/>
              <w:bottom w:val="single" w:color="auto" w:sz="4" w:space="0"/>
              <w:right w:val="single" w:color="auto" w:sz="4" w:space="0"/>
            </w:tcBorders>
            <w:noWrap w:val="0"/>
            <w:vAlign w:val="center"/>
          </w:tcPr>
          <w:p w14:paraId="59561026">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ZMJ-001</w:t>
            </w:r>
          </w:p>
        </w:tc>
        <w:tc>
          <w:tcPr>
            <w:tcW w:w="2308" w:type="dxa"/>
            <w:tcBorders>
              <w:top w:val="single" w:color="auto" w:sz="4" w:space="0"/>
              <w:left w:val="nil"/>
              <w:bottom w:val="single" w:color="auto" w:sz="4" w:space="0"/>
              <w:right w:val="single" w:color="auto" w:sz="4" w:space="0"/>
            </w:tcBorders>
            <w:noWrap w:val="0"/>
            <w:vAlign w:val="center"/>
          </w:tcPr>
          <w:p w14:paraId="67EABF23">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5002301L001</w:t>
            </w:r>
          </w:p>
        </w:tc>
        <w:tc>
          <w:tcPr>
            <w:tcW w:w="1468" w:type="dxa"/>
            <w:tcBorders>
              <w:top w:val="single" w:color="auto" w:sz="4" w:space="0"/>
              <w:left w:val="nil"/>
              <w:bottom w:val="single" w:color="auto" w:sz="4" w:space="0"/>
              <w:right w:val="single" w:color="auto" w:sz="4" w:space="0"/>
            </w:tcBorders>
            <w:noWrap w:val="0"/>
            <w:vAlign w:val="center"/>
          </w:tcPr>
          <w:p w14:paraId="1BC7961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0.89</w:t>
            </w:r>
          </w:p>
        </w:tc>
        <w:tc>
          <w:tcPr>
            <w:tcW w:w="1888" w:type="dxa"/>
            <w:tcBorders>
              <w:top w:val="single" w:color="auto" w:sz="4" w:space="0"/>
              <w:left w:val="nil"/>
              <w:bottom w:val="single" w:color="auto" w:sz="4" w:space="0"/>
              <w:right w:val="single" w:color="auto" w:sz="4" w:space="0"/>
            </w:tcBorders>
            <w:noWrap w:val="0"/>
            <w:vAlign w:val="center"/>
          </w:tcPr>
          <w:p w14:paraId="035D714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77.85%</w:t>
            </w:r>
          </w:p>
        </w:tc>
        <w:tc>
          <w:tcPr>
            <w:tcW w:w="3355" w:type="dxa"/>
            <w:tcBorders>
              <w:top w:val="single" w:color="auto" w:sz="4" w:space="0"/>
              <w:left w:val="nil"/>
              <w:bottom w:val="single" w:color="auto" w:sz="4" w:space="0"/>
              <w:right w:val="single" w:color="auto" w:sz="4" w:space="0"/>
            </w:tcBorders>
            <w:noWrap w:val="0"/>
            <w:vAlign w:val="center"/>
          </w:tcPr>
          <w:p w14:paraId="3DBF74F4">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迎宾大道以南、幸福大道以西围合区</w:t>
            </w:r>
          </w:p>
        </w:tc>
        <w:tc>
          <w:tcPr>
            <w:tcW w:w="9306" w:type="dxa"/>
            <w:tcBorders>
              <w:top w:val="single" w:color="auto" w:sz="4" w:space="0"/>
              <w:left w:val="nil"/>
              <w:bottom w:val="single" w:color="auto" w:sz="4" w:space="0"/>
              <w:right w:val="single" w:color="auto" w:sz="4" w:space="0"/>
            </w:tcBorders>
            <w:noWrap w:val="0"/>
            <w:vAlign w:val="center"/>
          </w:tcPr>
          <w:p w14:paraId="23BB74A8">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重庆谢家湾学校丰都幸福小学、丰都县星火学校、丰都县弘康医院、丰都县幸福路幼儿园等</w:t>
            </w:r>
          </w:p>
        </w:tc>
      </w:tr>
      <w:tr w14:paraId="21C0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41975BF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1678" w:type="dxa"/>
            <w:tcBorders>
              <w:top w:val="single" w:color="auto" w:sz="4" w:space="0"/>
              <w:left w:val="nil"/>
              <w:bottom w:val="single" w:color="auto" w:sz="4" w:space="0"/>
              <w:right w:val="single" w:color="auto" w:sz="4" w:space="0"/>
            </w:tcBorders>
            <w:noWrap w:val="0"/>
            <w:vAlign w:val="center"/>
          </w:tcPr>
          <w:p w14:paraId="037A89D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ZMJ-002</w:t>
            </w:r>
          </w:p>
        </w:tc>
        <w:tc>
          <w:tcPr>
            <w:tcW w:w="2308" w:type="dxa"/>
            <w:tcBorders>
              <w:top w:val="single" w:color="auto" w:sz="4" w:space="0"/>
              <w:left w:val="nil"/>
              <w:bottom w:val="single" w:color="auto" w:sz="4" w:space="0"/>
              <w:right w:val="single" w:color="auto" w:sz="4" w:space="0"/>
            </w:tcBorders>
            <w:noWrap w:val="0"/>
            <w:vAlign w:val="center"/>
          </w:tcPr>
          <w:p w14:paraId="6564AE3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5002301L002</w:t>
            </w:r>
          </w:p>
        </w:tc>
        <w:tc>
          <w:tcPr>
            <w:tcW w:w="1468" w:type="dxa"/>
            <w:tcBorders>
              <w:top w:val="single" w:color="auto" w:sz="4" w:space="0"/>
              <w:left w:val="nil"/>
              <w:bottom w:val="single" w:color="auto" w:sz="4" w:space="0"/>
              <w:right w:val="single" w:color="auto" w:sz="4" w:space="0"/>
            </w:tcBorders>
            <w:noWrap w:val="0"/>
            <w:vAlign w:val="center"/>
          </w:tcPr>
          <w:p w14:paraId="30B6D4B3">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0.24</w:t>
            </w:r>
          </w:p>
        </w:tc>
        <w:tc>
          <w:tcPr>
            <w:tcW w:w="1888" w:type="dxa"/>
            <w:tcBorders>
              <w:top w:val="single" w:color="auto" w:sz="4" w:space="0"/>
              <w:left w:val="nil"/>
              <w:bottom w:val="single" w:color="auto" w:sz="4" w:space="0"/>
              <w:right w:val="single" w:color="auto" w:sz="4" w:space="0"/>
            </w:tcBorders>
            <w:noWrap w:val="0"/>
            <w:vAlign w:val="center"/>
          </w:tcPr>
          <w:p w14:paraId="09DB065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78.21%</w:t>
            </w:r>
          </w:p>
        </w:tc>
        <w:tc>
          <w:tcPr>
            <w:tcW w:w="3355" w:type="dxa"/>
            <w:tcBorders>
              <w:top w:val="single" w:color="auto" w:sz="4" w:space="0"/>
              <w:left w:val="nil"/>
              <w:bottom w:val="single" w:color="auto" w:sz="4" w:space="0"/>
              <w:right w:val="single" w:color="auto" w:sz="4" w:space="0"/>
            </w:tcBorders>
            <w:noWrap w:val="0"/>
            <w:vAlign w:val="center"/>
          </w:tcPr>
          <w:p w14:paraId="6C56F823">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雪玉路以南、名山大道以西围合区</w:t>
            </w:r>
          </w:p>
        </w:tc>
        <w:tc>
          <w:tcPr>
            <w:tcW w:w="9306" w:type="dxa"/>
            <w:tcBorders>
              <w:top w:val="single" w:color="auto" w:sz="4" w:space="0"/>
              <w:left w:val="nil"/>
              <w:bottom w:val="single" w:color="auto" w:sz="4" w:space="0"/>
              <w:right w:val="single" w:color="auto" w:sz="4" w:space="0"/>
            </w:tcBorders>
            <w:noWrap w:val="0"/>
            <w:vAlign w:val="center"/>
          </w:tcPr>
          <w:p w14:paraId="6ACCB852">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暂无重点噪声建筑物，主要为居民聚居点</w:t>
            </w:r>
          </w:p>
        </w:tc>
      </w:tr>
      <w:tr w14:paraId="3DA3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1A0E888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1678" w:type="dxa"/>
            <w:tcBorders>
              <w:top w:val="single" w:color="auto" w:sz="4" w:space="0"/>
              <w:left w:val="nil"/>
              <w:bottom w:val="single" w:color="auto" w:sz="4" w:space="0"/>
              <w:right w:val="single" w:color="auto" w:sz="4" w:space="0"/>
            </w:tcBorders>
            <w:noWrap w:val="0"/>
            <w:vAlign w:val="center"/>
          </w:tcPr>
          <w:p w14:paraId="79E4621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ZMJ-003</w:t>
            </w:r>
          </w:p>
        </w:tc>
        <w:tc>
          <w:tcPr>
            <w:tcW w:w="2308" w:type="dxa"/>
            <w:tcBorders>
              <w:top w:val="single" w:color="auto" w:sz="4" w:space="0"/>
              <w:left w:val="nil"/>
              <w:bottom w:val="single" w:color="auto" w:sz="4" w:space="0"/>
              <w:right w:val="single" w:color="auto" w:sz="4" w:space="0"/>
            </w:tcBorders>
            <w:noWrap w:val="0"/>
            <w:vAlign w:val="center"/>
          </w:tcPr>
          <w:p w14:paraId="67C6FEC4">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5002302L002</w:t>
            </w:r>
          </w:p>
        </w:tc>
        <w:tc>
          <w:tcPr>
            <w:tcW w:w="1468" w:type="dxa"/>
            <w:tcBorders>
              <w:top w:val="single" w:color="auto" w:sz="4" w:space="0"/>
              <w:left w:val="nil"/>
              <w:bottom w:val="single" w:color="auto" w:sz="4" w:space="0"/>
              <w:right w:val="single" w:color="auto" w:sz="4" w:space="0"/>
            </w:tcBorders>
            <w:noWrap w:val="0"/>
            <w:vAlign w:val="center"/>
          </w:tcPr>
          <w:p w14:paraId="115F3D06">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0.46</w:t>
            </w:r>
          </w:p>
        </w:tc>
        <w:tc>
          <w:tcPr>
            <w:tcW w:w="1888" w:type="dxa"/>
            <w:tcBorders>
              <w:top w:val="single" w:color="auto" w:sz="4" w:space="0"/>
              <w:left w:val="nil"/>
              <w:bottom w:val="single" w:color="auto" w:sz="4" w:space="0"/>
              <w:right w:val="single" w:color="auto" w:sz="4" w:space="0"/>
            </w:tcBorders>
            <w:noWrap w:val="0"/>
            <w:vAlign w:val="center"/>
          </w:tcPr>
          <w:p w14:paraId="6B0F048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87.03%</w:t>
            </w:r>
          </w:p>
        </w:tc>
        <w:tc>
          <w:tcPr>
            <w:tcW w:w="3355" w:type="dxa"/>
            <w:tcBorders>
              <w:top w:val="single" w:color="auto" w:sz="4" w:space="0"/>
              <w:left w:val="nil"/>
              <w:bottom w:val="single" w:color="auto" w:sz="4" w:space="0"/>
              <w:right w:val="single" w:color="auto" w:sz="4" w:space="0"/>
            </w:tcBorders>
            <w:noWrap w:val="0"/>
            <w:vAlign w:val="center"/>
          </w:tcPr>
          <w:p w14:paraId="6C1C683B">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黄碾路以西、振兴路以东围合区</w:t>
            </w:r>
          </w:p>
        </w:tc>
        <w:tc>
          <w:tcPr>
            <w:tcW w:w="9306" w:type="dxa"/>
            <w:tcBorders>
              <w:top w:val="single" w:color="auto" w:sz="4" w:space="0"/>
              <w:left w:val="nil"/>
              <w:bottom w:val="single" w:color="auto" w:sz="4" w:space="0"/>
              <w:right w:val="single" w:color="auto" w:sz="4" w:space="0"/>
            </w:tcBorders>
            <w:noWrap w:val="0"/>
            <w:vAlign w:val="center"/>
          </w:tcPr>
          <w:p w14:paraId="2E726F6B">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丰都县特殊教育学校、丰都县江北医院、丰都县名山街道社区卫生服务中心、重庆市丰都县实验中学校、丰都县名山规划和自然资源所、重庆市丰都县实验中学名山分校、重庆市丰都县名山街道新雨学校等</w:t>
            </w:r>
          </w:p>
        </w:tc>
      </w:tr>
      <w:tr w14:paraId="0D01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227139EB">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1678" w:type="dxa"/>
            <w:tcBorders>
              <w:top w:val="single" w:color="auto" w:sz="4" w:space="0"/>
              <w:left w:val="nil"/>
              <w:bottom w:val="single" w:color="auto" w:sz="4" w:space="0"/>
              <w:right w:val="single" w:color="auto" w:sz="4" w:space="0"/>
            </w:tcBorders>
            <w:noWrap w:val="0"/>
            <w:vAlign w:val="center"/>
          </w:tcPr>
          <w:p w14:paraId="1999C72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ZMJ-004</w:t>
            </w:r>
          </w:p>
        </w:tc>
        <w:tc>
          <w:tcPr>
            <w:tcW w:w="2308" w:type="dxa"/>
            <w:tcBorders>
              <w:top w:val="single" w:color="auto" w:sz="4" w:space="0"/>
              <w:left w:val="nil"/>
              <w:bottom w:val="single" w:color="auto" w:sz="4" w:space="0"/>
              <w:right w:val="single" w:color="auto" w:sz="4" w:space="0"/>
            </w:tcBorders>
            <w:noWrap w:val="0"/>
            <w:vAlign w:val="center"/>
          </w:tcPr>
          <w:p w14:paraId="60AF3B9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5002302L002</w:t>
            </w:r>
          </w:p>
        </w:tc>
        <w:tc>
          <w:tcPr>
            <w:tcW w:w="1468" w:type="dxa"/>
            <w:tcBorders>
              <w:top w:val="single" w:color="auto" w:sz="4" w:space="0"/>
              <w:left w:val="nil"/>
              <w:bottom w:val="single" w:color="auto" w:sz="4" w:space="0"/>
              <w:right w:val="single" w:color="auto" w:sz="4" w:space="0"/>
            </w:tcBorders>
            <w:noWrap w:val="0"/>
            <w:vAlign w:val="center"/>
          </w:tcPr>
          <w:p w14:paraId="0C6DF19A">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0.10</w:t>
            </w:r>
          </w:p>
        </w:tc>
        <w:tc>
          <w:tcPr>
            <w:tcW w:w="1888" w:type="dxa"/>
            <w:tcBorders>
              <w:top w:val="single" w:color="auto" w:sz="4" w:space="0"/>
              <w:left w:val="nil"/>
              <w:bottom w:val="single" w:color="auto" w:sz="4" w:space="0"/>
              <w:right w:val="single" w:color="auto" w:sz="4" w:space="0"/>
            </w:tcBorders>
            <w:noWrap w:val="0"/>
            <w:vAlign w:val="center"/>
          </w:tcPr>
          <w:p w14:paraId="7B556F47">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5585057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黄碾路以东片区、双桂山国家森林公园边界围合区</w:t>
            </w:r>
          </w:p>
        </w:tc>
        <w:tc>
          <w:tcPr>
            <w:tcW w:w="9306" w:type="dxa"/>
            <w:tcBorders>
              <w:top w:val="single" w:color="auto" w:sz="4" w:space="0"/>
              <w:left w:val="nil"/>
              <w:bottom w:val="single" w:color="auto" w:sz="4" w:space="0"/>
              <w:right w:val="single" w:color="auto" w:sz="4" w:space="0"/>
            </w:tcBorders>
            <w:noWrap w:val="0"/>
            <w:vAlign w:val="center"/>
          </w:tcPr>
          <w:p w14:paraId="2302D146">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丰都县名山街道中心幼儿园、丰都县名山街道办事处、丰都县名山街道产业发展服务中心、丰都县名山街道中心小学校、丰都县名山街道中心小学校和平教学等</w:t>
            </w:r>
          </w:p>
        </w:tc>
      </w:tr>
      <w:tr w14:paraId="48E2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32725C4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1678" w:type="dxa"/>
            <w:tcBorders>
              <w:top w:val="single" w:color="auto" w:sz="4" w:space="0"/>
              <w:left w:val="nil"/>
              <w:bottom w:val="single" w:color="auto" w:sz="4" w:space="0"/>
              <w:right w:val="single" w:color="auto" w:sz="4" w:space="0"/>
            </w:tcBorders>
            <w:noWrap w:val="0"/>
            <w:vAlign w:val="center"/>
          </w:tcPr>
          <w:p w14:paraId="1C4B272B">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ZMJ-005</w:t>
            </w:r>
          </w:p>
        </w:tc>
        <w:tc>
          <w:tcPr>
            <w:tcW w:w="2308" w:type="dxa"/>
            <w:tcBorders>
              <w:top w:val="single" w:color="auto" w:sz="4" w:space="0"/>
              <w:left w:val="nil"/>
              <w:bottom w:val="single" w:color="auto" w:sz="4" w:space="0"/>
              <w:right w:val="single" w:color="auto" w:sz="4" w:space="0"/>
            </w:tcBorders>
            <w:noWrap w:val="0"/>
            <w:vAlign w:val="center"/>
          </w:tcPr>
          <w:p w14:paraId="611012C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5002301L002</w:t>
            </w:r>
          </w:p>
        </w:tc>
        <w:tc>
          <w:tcPr>
            <w:tcW w:w="1468" w:type="dxa"/>
            <w:tcBorders>
              <w:top w:val="single" w:color="auto" w:sz="4" w:space="0"/>
              <w:left w:val="nil"/>
              <w:bottom w:val="single" w:color="auto" w:sz="4" w:space="0"/>
              <w:right w:val="single" w:color="auto" w:sz="4" w:space="0"/>
            </w:tcBorders>
            <w:noWrap w:val="0"/>
            <w:vAlign w:val="center"/>
          </w:tcPr>
          <w:p w14:paraId="4FDB0BD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0.39</w:t>
            </w:r>
          </w:p>
        </w:tc>
        <w:tc>
          <w:tcPr>
            <w:tcW w:w="1888" w:type="dxa"/>
            <w:tcBorders>
              <w:top w:val="single" w:color="auto" w:sz="4" w:space="0"/>
              <w:left w:val="nil"/>
              <w:bottom w:val="single" w:color="auto" w:sz="4" w:space="0"/>
              <w:right w:val="single" w:color="auto" w:sz="4" w:space="0"/>
            </w:tcBorders>
            <w:noWrap w:val="0"/>
            <w:vAlign w:val="center"/>
          </w:tcPr>
          <w:p w14:paraId="6CF691D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80.16%</w:t>
            </w:r>
          </w:p>
        </w:tc>
        <w:tc>
          <w:tcPr>
            <w:tcW w:w="3355" w:type="dxa"/>
            <w:tcBorders>
              <w:top w:val="single" w:color="auto" w:sz="4" w:space="0"/>
              <w:left w:val="nil"/>
              <w:bottom w:val="single" w:color="auto" w:sz="4" w:space="0"/>
              <w:right w:val="single" w:color="auto" w:sz="4" w:space="0"/>
            </w:tcBorders>
            <w:noWrap w:val="0"/>
            <w:vAlign w:val="center"/>
          </w:tcPr>
          <w:p w14:paraId="27745A3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滨江西路以南、幸福大道以东、雪玉路以北围合区</w:t>
            </w:r>
          </w:p>
        </w:tc>
        <w:tc>
          <w:tcPr>
            <w:tcW w:w="9306" w:type="dxa"/>
            <w:tcBorders>
              <w:top w:val="single" w:color="auto" w:sz="4" w:space="0"/>
              <w:left w:val="nil"/>
              <w:bottom w:val="single" w:color="auto" w:sz="4" w:space="0"/>
              <w:right w:val="single" w:color="auto" w:sz="4" w:space="0"/>
            </w:tcBorders>
            <w:noWrap w:val="0"/>
            <w:vAlign w:val="center"/>
          </w:tcPr>
          <w:p w14:paraId="4E9EDAA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重庆市丰都县同文学校、丰都县档案馆等</w:t>
            </w:r>
          </w:p>
        </w:tc>
      </w:tr>
      <w:tr w14:paraId="707E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7924791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6</w:t>
            </w:r>
          </w:p>
        </w:tc>
        <w:tc>
          <w:tcPr>
            <w:tcW w:w="1678" w:type="dxa"/>
            <w:tcBorders>
              <w:top w:val="single" w:color="auto" w:sz="4" w:space="0"/>
              <w:left w:val="nil"/>
              <w:bottom w:val="single" w:color="auto" w:sz="4" w:space="0"/>
              <w:right w:val="single" w:color="auto" w:sz="4" w:space="0"/>
            </w:tcBorders>
            <w:noWrap w:val="0"/>
            <w:vAlign w:val="center"/>
          </w:tcPr>
          <w:p w14:paraId="50E589F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ZMJ-006</w:t>
            </w:r>
          </w:p>
        </w:tc>
        <w:tc>
          <w:tcPr>
            <w:tcW w:w="2308" w:type="dxa"/>
            <w:tcBorders>
              <w:top w:val="single" w:color="auto" w:sz="4" w:space="0"/>
              <w:left w:val="nil"/>
              <w:bottom w:val="single" w:color="auto" w:sz="4" w:space="0"/>
              <w:right w:val="single" w:color="auto" w:sz="4" w:space="0"/>
            </w:tcBorders>
            <w:noWrap w:val="0"/>
            <w:vAlign w:val="center"/>
          </w:tcPr>
          <w:p w14:paraId="4A114E1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5002302L005</w:t>
            </w:r>
          </w:p>
        </w:tc>
        <w:tc>
          <w:tcPr>
            <w:tcW w:w="1468" w:type="dxa"/>
            <w:tcBorders>
              <w:top w:val="single" w:color="auto" w:sz="4" w:space="0"/>
              <w:left w:val="nil"/>
              <w:bottom w:val="single" w:color="auto" w:sz="4" w:space="0"/>
              <w:right w:val="single" w:color="auto" w:sz="4" w:space="0"/>
            </w:tcBorders>
            <w:noWrap w:val="0"/>
            <w:vAlign w:val="center"/>
          </w:tcPr>
          <w:p w14:paraId="766FF00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0.32</w:t>
            </w:r>
          </w:p>
        </w:tc>
        <w:tc>
          <w:tcPr>
            <w:tcW w:w="1888" w:type="dxa"/>
            <w:tcBorders>
              <w:top w:val="single" w:color="auto" w:sz="4" w:space="0"/>
              <w:left w:val="nil"/>
              <w:bottom w:val="single" w:color="auto" w:sz="4" w:space="0"/>
              <w:right w:val="single" w:color="auto" w:sz="4" w:space="0"/>
            </w:tcBorders>
            <w:noWrap w:val="0"/>
            <w:vAlign w:val="center"/>
          </w:tcPr>
          <w:p w14:paraId="64A9CC3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686B943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平都大道以南、雪玉路以北、世平路以西围合区</w:t>
            </w:r>
          </w:p>
        </w:tc>
        <w:tc>
          <w:tcPr>
            <w:tcW w:w="9306" w:type="dxa"/>
            <w:tcBorders>
              <w:top w:val="single" w:color="auto" w:sz="4" w:space="0"/>
              <w:left w:val="nil"/>
              <w:bottom w:val="single" w:color="auto" w:sz="4" w:space="0"/>
              <w:right w:val="single" w:color="auto" w:sz="4" w:space="0"/>
            </w:tcBorders>
            <w:noWrap w:val="0"/>
            <w:vAlign w:val="center"/>
          </w:tcPr>
          <w:p w14:paraId="4059566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重庆市丰都中学校、丰都县老干部事务中心等</w:t>
            </w:r>
          </w:p>
        </w:tc>
      </w:tr>
      <w:tr w14:paraId="1B47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5D487D1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7</w:t>
            </w:r>
          </w:p>
        </w:tc>
        <w:tc>
          <w:tcPr>
            <w:tcW w:w="1678" w:type="dxa"/>
            <w:tcBorders>
              <w:top w:val="single" w:color="auto" w:sz="4" w:space="0"/>
              <w:left w:val="nil"/>
              <w:bottom w:val="single" w:color="auto" w:sz="4" w:space="0"/>
              <w:right w:val="single" w:color="auto" w:sz="4" w:space="0"/>
            </w:tcBorders>
            <w:noWrap w:val="0"/>
            <w:vAlign w:val="center"/>
          </w:tcPr>
          <w:p w14:paraId="0DF9B9E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ZMJ-007</w:t>
            </w:r>
          </w:p>
        </w:tc>
        <w:tc>
          <w:tcPr>
            <w:tcW w:w="2308" w:type="dxa"/>
            <w:tcBorders>
              <w:top w:val="single" w:color="auto" w:sz="4" w:space="0"/>
              <w:left w:val="nil"/>
              <w:bottom w:val="single" w:color="auto" w:sz="4" w:space="0"/>
              <w:right w:val="single" w:color="auto" w:sz="4" w:space="0"/>
            </w:tcBorders>
            <w:noWrap w:val="0"/>
            <w:vAlign w:val="center"/>
          </w:tcPr>
          <w:p w14:paraId="43EE7748">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5002302L006</w:t>
            </w:r>
          </w:p>
        </w:tc>
        <w:tc>
          <w:tcPr>
            <w:tcW w:w="1468" w:type="dxa"/>
            <w:tcBorders>
              <w:top w:val="single" w:color="auto" w:sz="4" w:space="0"/>
              <w:left w:val="nil"/>
              <w:bottom w:val="single" w:color="auto" w:sz="4" w:space="0"/>
              <w:right w:val="single" w:color="auto" w:sz="4" w:space="0"/>
            </w:tcBorders>
            <w:noWrap w:val="0"/>
            <w:vAlign w:val="center"/>
          </w:tcPr>
          <w:p w14:paraId="4EF6C048">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0.16</w:t>
            </w:r>
          </w:p>
        </w:tc>
        <w:tc>
          <w:tcPr>
            <w:tcW w:w="1888" w:type="dxa"/>
            <w:tcBorders>
              <w:top w:val="single" w:color="auto" w:sz="4" w:space="0"/>
              <w:left w:val="nil"/>
              <w:bottom w:val="single" w:color="auto" w:sz="4" w:space="0"/>
              <w:right w:val="single" w:color="auto" w:sz="4" w:space="0"/>
            </w:tcBorders>
            <w:noWrap w:val="0"/>
            <w:vAlign w:val="center"/>
          </w:tcPr>
          <w:p w14:paraId="5589E42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7FFE132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世平路以西、滨江西路以南、平都大道以北，双桂路两侧围合区</w:t>
            </w:r>
          </w:p>
        </w:tc>
        <w:tc>
          <w:tcPr>
            <w:tcW w:w="9306" w:type="dxa"/>
            <w:tcBorders>
              <w:top w:val="single" w:color="auto" w:sz="4" w:space="0"/>
              <w:left w:val="nil"/>
              <w:bottom w:val="single" w:color="auto" w:sz="4" w:space="0"/>
              <w:right w:val="single" w:color="auto" w:sz="4" w:space="0"/>
            </w:tcBorders>
            <w:noWrap w:val="0"/>
            <w:vAlign w:val="center"/>
          </w:tcPr>
          <w:p w14:paraId="45C5FD3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丰都县河库综合事务中心、丰都县人民医院、丰都县滨江中学校等</w:t>
            </w:r>
          </w:p>
        </w:tc>
      </w:tr>
      <w:tr w14:paraId="1C99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14C517F4">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8</w:t>
            </w:r>
          </w:p>
        </w:tc>
        <w:tc>
          <w:tcPr>
            <w:tcW w:w="1678" w:type="dxa"/>
            <w:tcBorders>
              <w:top w:val="single" w:color="auto" w:sz="4" w:space="0"/>
              <w:left w:val="nil"/>
              <w:bottom w:val="single" w:color="auto" w:sz="4" w:space="0"/>
              <w:right w:val="single" w:color="auto" w:sz="4" w:space="0"/>
            </w:tcBorders>
            <w:noWrap w:val="0"/>
            <w:vAlign w:val="center"/>
          </w:tcPr>
          <w:p w14:paraId="697E08E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ZMJ-008</w:t>
            </w:r>
          </w:p>
        </w:tc>
        <w:tc>
          <w:tcPr>
            <w:tcW w:w="2308" w:type="dxa"/>
            <w:tcBorders>
              <w:top w:val="single" w:color="auto" w:sz="4" w:space="0"/>
              <w:left w:val="nil"/>
              <w:bottom w:val="single" w:color="auto" w:sz="4" w:space="0"/>
              <w:right w:val="single" w:color="auto" w:sz="4" w:space="0"/>
            </w:tcBorders>
            <w:noWrap w:val="0"/>
            <w:vAlign w:val="center"/>
          </w:tcPr>
          <w:p w14:paraId="3BDEC417">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5002302L006</w:t>
            </w:r>
          </w:p>
        </w:tc>
        <w:tc>
          <w:tcPr>
            <w:tcW w:w="1468" w:type="dxa"/>
            <w:tcBorders>
              <w:top w:val="single" w:color="auto" w:sz="4" w:space="0"/>
              <w:left w:val="nil"/>
              <w:bottom w:val="single" w:color="auto" w:sz="4" w:space="0"/>
              <w:right w:val="single" w:color="auto" w:sz="4" w:space="0"/>
            </w:tcBorders>
            <w:noWrap w:val="0"/>
            <w:vAlign w:val="center"/>
          </w:tcPr>
          <w:p w14:paraId="6E128AA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0.33</w:t>
            </w:r>
          </w:p>
        </w:tc>
        <w:tc>
          <w:tcPr>
            <w:tcW w:w="1888" w:type="dxa"/>
            <w:tcBorders>
              <w:top w:val="single" w:color="auto" w:sz="4" w:space="0"/>
              <w:left w:val="nil"/>
              <w:bottom w:val="single" w:color="auto" w:sz="4" w:space="0"/>
              <w:right w:val="single" w:color="auto" w:sz="4" w:space="0"/>
            </w:tcBorders>
            <w:noWrap w:val="0"/>
            <w:vAlign w:val="center"/>
          </w:tcPr>
          <w:p w14:paraId="5566347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47A59A0A">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名山大道以西、平都大道以北、滨江西路以南、商业路两侧围合区</w:t>
            </w:r>
          </w:p>
        </w:tc>
        <w:tc>
          <w:tcPr>
            <w:tcW w:w="9306" w:type="dxa"/>
            <w:tcBorders>
              <w:top w:val="single" w:color="auto" w:sz="4" w:space="0"/>
              <w:left w:val="nil"/>
              <w:bottom w:val="single" w:color="auto" w:sz="4" w:space="0"/>
              <w:right w:val="single" w:color="auto" w:sz="4" w:space="0"/>
            </w:tcBorders>
            <w:noWrap w:val="0"/>
            <w:vAlign w:val="center"/>
          </w:tcPr>
          <w:p w14:paraId="7ECE10B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环境卫生服务中心、丰都县廉政教育中心、丰都县移民服务中心、丰都县三合规划和自然资源所、丰都县住房和城乡建设委员会、三合街道办事处、丰都县建设工程质量服务中心、丰都县生态环境局、丰都县残疾人综合服务中心、丰都县人力资源和保障局、丰都港曦医院、丰都县市场监督管理局、丰都县三合街道社区卫生服务中心、丰都县卫健委、重庆市丰都县消费者权益保护委员会、丰都县道路运输事务中心、丰都亚太眼科医院、丰都县滨江小学校、丰都仁爱医院等</w:t>
            </w:r>
          </w:p>
        </w:tc>
      </w:tr>
      <w:tr w14:paraId="03BF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6EC87B7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9</w:t>
            </w:r>
          </w:p>
        </w:tc>
        <w:tc>
          <w:tcPr>
            <w:tcW w:w="1678" w:type="dxa"/>
            <w:tcBorders>
              <w:top w:val="single" w:color="auto" w:sz="4" w:space="0"/>
              <w:left w:val="nil"/>
              <w:bottom w:val="single" w:color="auto" w:sz="4" w:space="0"/>
              <w:right w:val="single" w:color="auto" w:sz="4" w:space="0"/>
            </w:tcBorders>
            <w:noWrap w:val="0"/>
            <w:vAlign w:val="center"/>
          </w:tcPr>
          <w:p w14:paraId="01C2C306">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ZMJ-009</w:t>
            </w:r>
          </w:p>
        </w:tc>
        <w:tc>
          <w:tcPr>
            <w:tcW w:w="2308" w:type="dxa"/>
            <w:tcBorders>
              <w:top w:val="single" w:color="auto" w:sz="4" w:space="0"/>
              <w:left w:val="nil"/>
              <w:bottom w:val="single" w:color="auto" w:sz="4" w:space="0"/>
              <w:right w:val="single" w:color="auto" w:sz="4" w:space="0"/>
            </w:tcBorders>
            <w:noWrap w:val="0"/>
            <w:vAlign w:val="center"/>
          </w:tcPr>
          <w:p w14:paraId="0A20076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5002302L005</w:t>
            </w:r>
          </w:p>
        </w:tc>
        <w:tc>
          <w:tcPr>
            <w:tcW w:w="1468" w:type="dxa"/>
            <w:tcBorders>
              <w:top w:val="single" w:color="auto" w:sz="4" w:space="0"/>
              <w:left w:val="nil"/>
              <w:bottom w:val="single" w:color="auto" w:sz="4" w:space="0"/>
              <w:right w:val="single" w:color="auto" w:sz="4" w:space="0"/>
            </w:tcBorders>
            <w:noWrap w:val="0"/>
            <w:vAlign w:val="center"/>
          </w:tcPr>
          <w:p w14:paraId="41B0619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0.26</w:t>
            </w:r>
          </w:p>
        </w:tc>
        <w:tc>
          <w:tcPr>
            <w:tcW w:w="1888" w:type="dxa"/>
            <w:tcBorders>
              <w:top w:val="single" w:color="auto" w:sz="4" w:space="0"/>
              <w:left w:val="nil"/>
              <w:bottom w:val="single" w:color="auto" w:sz="4" w:space="0"/>
              <w:right w:val="single" w:color="auto" w:sz="4" w:space="0"/>
            </w:tcBorders>
            <w:noWrap w:val="0"/>
            <w:vAlign w:val="center"/>
          </w:tcPr>
          <w:p w14:paraId="6B104F92">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0B87483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平都大道以南、名山大道以西、世平路、102省道以北围合区</w:t>
            </w:r>
          </w:p>
        </w:tc>
        <w:tc>
          <w:tcPr>
            <w:tcW w:w="9306" w:type="dxa"/>
            <w:tcBorders>
              <w:top w:val="single" w:color="auto" w:sz="4" w:space="0"/>
              <w:left w:val="nil"/>
              <w:bottom w:val="single" w:color="auto" w:sz="4" w:space="0"/>
              <w:right w:val="single" w:color="auto" w:sz="4" w:space="0"/>
            </w:tcBorders>
            <w:noWrap w:val="0"/>
            <w:vAlign w:val="center"/>
          </w:tcPr>
          <w:p w14:paraId="62108DF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丰都县农业农村委员会、县委党校县融媒体中心、丰都县民兵武器装备仓库训练基地、党政办公大楼、党政办公大楼、第二行政办公大楼、丰都县文化馆、丰都县图书馆、丰都县少年儿童业余体校等</w:t>
            </w:r>
          </w:p>
        </w:tc>
      </w:tr>
      <w:tr w14:paraId="47C8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1F5E7FE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w:t>
            </w:r>
          </w:p>
        </w:tc>
        <w:tc>
          <w:tcPr>
            <w:tcW w:w="1678" w:type="dxa"/>
            <w:tcBorders>
              <w:top w:val="single" w:color="auto" w:sz="4" w:space="0"/>
              <w:left w:val="nil"/>
              <w:bottom w:val="single" w:color="auto" w:sz="4" w:space="0"/>
              <w:right w:val="single" w:color="auto" w:sz="4" w:space="0"/>
            </w:tcBorders>
            <w:noWrap w:val="0"/>
            <w:vAlign w:val="center"/>
          </w:tcPr>
          <w:p w14:paraId="37FB5F5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ZMJ-010</w:t>
            </w:r>
          </w:p>
        </w:tc>
        <w:tc>
          <w:tcPr>
            <w:tcW w:w="2308" w:type="dxa"/>
            <w:tcBorders>
              <w:top w:val="single" w:color="auto" w:sz="4" w:space="0"/>
              <w:left w:val="nil"/>
              <w:bottom w:val="single" w:color="auto" w:sz="4" w:space="0"/>
              <w:right w:val="single" w:color="auto" w:sz="4" w:space="0"/>
            </w:tcBorders>
            <w:noWrap w:val="0"/>
            <w:vAlign w:val="center"/>
          </w:tcPr>
          <w:p w14:paraId="26A058F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5002302L005</w:t>
            </w:r>
          </w:p>
        </w:tc>
        <w:tc>
          <w:tcPr>
            <w:tcW w:w="1468" w:type="dxa"/>
            <w:tcBorders>
              <w:top w:val="single" w:color="auto" w:sz="4" w:space="0"/>
              <w:left w:val="nil"/>
              <w:bottom w:val="single" w:color="auto" w:sz="4" w:space="0"/>
              <w:right w:val="single" w:color="auto" w:sz="4" w:space="0"/>
            </w:tcBorders>
            <w:noWrap w:val="0"/>
            <w:vAlign w:val="center"/>
          </w:tcPr>
          <w:p w14:paraId="41DD59B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0.60</w:t>
            </w:r>
          </w:p>
        </w:tc>
        <w:tc>
          <w:tcPr>
            <w:tcW w:w="1888" w:type="dxa"/>
            <w:tcBorders>
              <w:top w:val="single" w:color="auto" w:sz="4" w:space="0"/>
              <w:left w:val="nil"/>
              <w:bottom w:val="single" w:color="auto" w:sz="4" w:space="0"/>
              <w:right w:val="single" w:color="auto" w:sz="4" w:space="0"/>
            </w:tcBorders>
            <w:noWrap w:val="0"/>
            <w:vAlign w:val="center"/>
          </w:tcPr>
          <w:p w14:paraId="009C039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96.45%</w:t>
            </w:r>
          </w:p>
        </w:tc>
        <w:tc>
          <w:tcPr>
            <w:tcW w:w="3355" w:type="dxa"/>
            <w:tcBorders>
              <w:top w:val="single" w:color="auto" w:sz="4" w:space="0"/>
              <w:left w:val="nil"/>
              <w:bottom w:val="single" w:color="auto" w:sz="4" w:space="0"/>
              <w:right w:val="single" w:color="auto" w:sz="4" w:space="0"/>
            </w:tcBorders>
            <w:noWrap w:val="0"/>
            <w:vAlign w:val="center"/>
          </w:tcPr>
          <w:p w14:paraId="799A3B0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平都大道以南、名山大道以东、龙河路以北围合区和部分龙河东路东侧片区</w:t>
            </w:r>
          </w:p>
        </w:tc>
        <w:tc>
          <w:tcPr>
            <w:tcW w:w="9306" w:type="dxa"/>
            <w:tcBorders>
              <w:top w:val="single" w:color="auto" w:sz="4" w:space="0"/>
              <w:left w:val="nil"/>
              <w:bottom w:val="single" w:color="auto" w:sz="4" w:space="0"/>
              <w:right w:val="single" w:color="auto" w:sz="4" w:space="0"/>
            </w:tcBorders>
            <w:noWrap w:val="0"/>
            <w:vAlign w:val="center"/>
          </w:tcPr>
          <w:p w14:paraId="68BF7BC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林业局、丰都县财政局、丰都县应急管理局、丰都县应急指挥中心、重庆市丰都县职业教育中心、重庆市丰都县教师进修学校、丰都县突发事件预警信息发布中心、丰都县革命烈士纪念馆、重庆市丰都县实验中学校、丰都县交通运输综合行政执法支队、丰都县妇幼保健院、丰都县县级机关幼儿园、丰都县第一小学校、丰都县文化和旅游研究院、重庆市丰都县平都中学校、丰都华仁护理院、丰都县公安局、丰都县教育委员会、丰都县中医院、丰都县工商业联合会等</w:t>
            </w:r>
          </w:p>
        </w:tc>
      </w:tr>
      <w:tr w14:paraId="26EE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2052DE98">
            <w:pPr>
              <w:adjustRightInd w:val="0"/>
              <w:snapToGrid w:val="0"/>
              <w:jc w:val="center"/>
              <w:rPr>
                <w:bCs/>
                <w:sz w:val="24"/>
                <w:szCs w:val="24"/>
              </w:rPr>
            </w:pPr>
            <w:r>
              <w:rPr>
                <w:bCs/>
                <w:sz w:val="24"/>
                <w:szCs w:val="24"/>
              </w:rPr>
              <w:t>11</w:t>
            </w:r>
          </w:p>
        </w:tc>
        <w:tc>
          <w:tcPr>
            <w:tcW w:w="1678" w:type="dxa"/>
            <w:tcBorders>
              <w:top w:val="single" w:color="auto" w:sz="4" w:space="0"/>
              <w:left w:val="nil"/>
              <w:bottom w:val="single" w:color="auto" w:sz="4" w:space="0"/>
              <w:right w:val="single" w:color="auto" w:sz="4" w:space="0"/>
            </w:tcBorders>
            <w:noWrap w:val="0"/>
            <w:vAlign w:val="center"/>
          </w:tcPr>
          <w:p w14:paraId="0F8839AE">
            <w:pPr>
              <w:adjustRightInd w:val="0"/>
              <w:snapToGrid w:val="0"/>
              <w:jc w:val="center"/>
              <w:rPr>
                <w:bCs/>
                <w:sz w:val="24"/>
                <w:szCs w:val="24"/>
              </w:rPr>
            </w:pPr>
            <w:r>
              <w:rPr>
                <w:bCs/>
                <w:sz w:val="24"/>
                <w:szCs w:val="24"/>
              </w:rPr>
              <w:t>ZMJ-011</w:t>
            </w:r>
          </w:p>
        </w:tc>
        <w:tc>
          <w:tcPr>
            <w:tcW w:w="2308" w:type="dxa"/>
            <w:tcBorders>
              <w:top w:val="single" w:color="auto" w:sz="4" w:space="0"/>
              <w:left w:val="nil"/>
              <w:bottom w:val="single" w:color="auto" w:sz="4" w:space="0"/>
              <w:right w:val="single" w:color="auto" w:sz="4" w:space="0"/>
            </w:tcBorders>
            <w:noWrap w:val="0"/>
            <w:vAlign w:val="center"/>
          </w:tcPr>
          <w:p w14:paraId="4D088F78">
            <w:pPr>
              <w:adjustRightInd w:val="0"/>
              <w:snapToGrid w:val="0"/>
              <w:jc w:val="center"/>
              <w:rPr>
                <w:bCs/>
                <w:sz w:val="24"/>
                <w:szCs w:val="24"/>
              </w:rPr>
            </w:pPr>
            <w:r>
              <w:rPr>
                <w:bCs/>
                <w:sz w:val="24"/>
                <w:szCs w:val="24"/>
              </w:rPr>
              <w:t>5002302L007</w:t>
            </w:r>
          </w:p>
        </w:tc>
        <w:tc>
          <w:tcPr>
            <w:tcW w:w="1468" w:type="dxa"/>
            <w:tcBorders>
              <w:top w:val="single" w:color="auto" w:sz="4" w:space="0"/>
              <w:left w:val="nil"/>
              <w:bottom w:val="single" w:color="auto" w:sz="4" w:space="0"/>
              <w:right w:val="single" w:color="auto" w:sz="4" w:space="0"/>
            </w:tcBorders>
            <w:noWrap w:val="0"/>
            <w:vAlign w:val="center"/>
          </w:tcPr>
          <w:p w14:paraId="0B119E52">
            <w:pPr>
              <w:adjustRightInd w:val="0"/>
              <w:snapToGrid w:val="0"/>
              <w:jc w:val="center"/>
              <w:rPr>
                <w:bCs/>
                <w:sz w:val="24"/>
                <w:szCs w:val="24"/>
              </w:rPr>
            </w:pPr>
            <w:r>
              <w:rPr>
                <w:bCs/>
                <w:sz w:val="24"/>
                <w:szCs w:val="24"/>
              </w:rPr>
              <w:t>0.28</w:t>
            </w:r>
          </w:p>
        </w:tc>
        <w:tc>
          <w:tcPr>
            <w:tcW w:w="1888" w:type="dxa"/>
            <w:tcBorders>
              <w:top w:val="single" w:color="auto" w:sz="4" w:space="0"/>
              <w:left w:val="nil"/>
              <w:bottom w:val="single" w:color="auto" w:sz="4" w:space="0"/>
              <w:right w:val="single" w:color="auto" w:sz="4" w:space="0"/>
            </w:tcBorders>
            <w:noWrap w:val="0"/>
            <w:vAlign w:val="center"/>
          </w:tcPr>
          <w:p w14:paraId="51205370">
            <w:pPr>
              <w:adjustRightInd w:val="0"/>
              <w:snapToGrid w:val="0"/>
              <w:jc w:val="center"/>
              <w:rPr>
                <w:bCs/>
                <w:sz w:val="24"/>
                <w:szCs w:val="24"/>
              </w:rPr>
            </w:pPr>
            <w:r>
              <w:rPr>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42C51134">
            <w:pPr>
              <w:adjustRightInd w:val="0"/>
              <w:snapToGrid w:val="0"/>
              <w:jc w:val="center"/>
              <w:rPr>
                <w:bCs/>
                <w:sz w:val="24"/>
                <w:szCs w:val="24"/>
              </w:rPr>
            </w:pPr>
            <w:r>
              <w:rPr>
                <w:bCs/>
                <w:sz w:val="24"/>
                <w:szCs w:val="24"/>
              </w:rPr>
              <w:t>龙河路以南、雪玉路以西围合区</w:t>
            </w:r>
          </w:p>
        </w:tc>
        <w:tc>
          <w:tcPr>
            <w:tcW w:w="9306" w:type="dxa"/>
            <w:tcBorders>
              <w:top w:val="single" w:color="auto" w:sz="4" w:space="0"/>
              <w:left w:val="nil"/>
              <w:bottom w:val="single" w:color="auto" w:sz="4" w:space="0"/>
              <w:right w:val="single" w:color="auto" w:sz="4" w:space="0"/>
            </w:tcBorders>
            <w:noWrap w:val="0"/>
            <w:vAlign w:val="center"/>
          </w:tcPr>
          <w:p w14:paraId="11B1F20B">
            <w:pPr>
              <w:adjustRightInd w:val="0"/>
              <w:snapToGrid w:val="0"/>
              <w:jc w:val="center"/>
              <w:rPr>
                <w:bCs/>
                <w:sz w:val="24"/>
                <w:szCs w:val="24"/>
              </w:rPr>
            </w:pPr>
            <w:r>
              <w:rPr>
                <w:bCs/>
                <w:sz w:val="24"/>
                <w:szCs w:val="24"/>
              </w:rPr>
              <w:t>丰都县司法局等</w:t>
            </w:r>
          </w:p>
        </w:tc>
      </w:tr>
      <w:tr w14:paraId="3748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52B610B7">
            <w:pPr>
              <w:adjustRightInd w:val="0"/>
              <w:snapToGrid w:val="0"/>
              <w:jc w:val="center"/>
              <w:rPr>
                <w:bCs/>
                <w:sz w:val="24"/>
                <w:szCs w:val="24"/>
              </w:rPr>
            </w:pPr>
            <w:r>
              <w:rPr>
                <w:bCs/>
                <w:sz w:val="24"/>
                <w:szCs w:val="24"/>
              </w:rPr>
              <w:t>12</w:t>
            </w:r>
          </w:p>
        </w:tc>
        <w:tc>
          <w:tcPr>
            <w:tcW w:w="1678" w:type="dxa"/>
            <w:tcBorders>
              <w:top w:val="single" w:color="auto" w:sz="4" w:space="0"/>
              <w:left w:val="nil"/>
              <w:bottom w:val="single" w:color="auto" w:sz="4" w:space="0"/>
              <w:right w:val="single" w:color="auto" w:sz="4" w:space="0"/>
            </w:tcBorders>
            <w:noWrap w:val="0"/>
            <w:vAlign w:val="center"/>
          </w:tcPr>
          <w:p w14:paraId="7269E9D9">
            <w:pPr>
              <w:adjustRightInd w:val="0"/>
              <w:snapToGrid w:val="0"/>
              <w:jc w:val="center"/>
              <w:rPr>
                <w:bCs/>
                <w:sz w:val="24"/>
                <w:szCs w:val="24"/>
              </w:rPr>
            </w:pPr>
            <w:r>
              <w:rPr>
                <w:bCs/>
                <w:sz w:val="24"/>
                <w:szCs w:val="24"/>
              </w:rPr>
              <w:t>ZMJ-012</w:t>
            </w:r>
          </w:p>
        </w:tc>
        <w:tc>
          <w:tcPr>
            <w:tcW w:w="2308" w:type="dxa"/>
            <w:tcBorders>
              <w:top w:val="single" w:color="auto" w:sz="4" w:space="0"/>
              <w:left w:val="nil"/>
              <w:bottom w:val="single" w:color="auto" w:sz="4" w:space="0"/>
              <w:right w:val="single" w:color="auto" w:sz="4" w:space="0"/>
            </w:tcBorders>
            <w:noWrap w:val="0"/>
            <w:vAlign w:val="center"/>
          </w:tcPr>
          <w:p w14:paraId="3A757584">
            <w:pPr>
              <w:adjustRightInd w:val="0"/>
              <w:snapToGrid w:val="0"/>
              <w:jc w:val="center"/>
              <w:rPr>
                <w:bCs/>
                <w:sz w:val="24"/>
                <w:szCs w:val="24"/>
              </w:rPr>
            </w:pPr>
            <w:r>
              <w:rPr>
                <w:bCs/>
                <w:sz w:val="24"/>
                <w:szCs w:val="24"/>
              </w:rPr>
              <w:t>5002302L008</w:t>
            </w:r>
          </w:p>
        </w:tc>
        <w:tc>
          <w:tcPr>
            <w:tcW w:w="1468" w:type="dxa"/>
            <w:tcBorders>
              <w:top w:val="single" w:color="auto" w:sz="4" w:space="0"/>
              <w:left w:val="nil"/>
              <w:bottom w:val="single" w:color="auto" w:sz="4" w:space="0"/>
              <w:right w:val="single" w:color="auto" w:sz="4" w:space="0"/>
            </w:tcBorders>
            <w:noWrap w:val="0"/>
            <w:vAlign w:val="center"/>
          </w:tcPr>
          <w:p w14:paraId="2E7BE4A8">
            <w:pPr>
              <w:adjustRightInd w:val="0"/>
              <w:snapToGrid w:val="0"/>
              <w:jc w:val="center"/>
              <w:rPr>
                <w:bCs/>
                <w:sz w:val="24"/>
                <w:szCs w:val="24"/>
              </w:rPr>
            </w:pPr>
            <w:r>
              <w:rPr>
                <w:bCs/>
                <w:sz w:val="24"/>
                <w:szCs w:val="24"/>
              </w:rPr>
              <w:t>0.75</w:t>
            </w:r>
          </w:p>
        </w:tc>
        <w:tc>
          <w:tcPr>
            <w:tcW w:w="1888" w:type="dxa"/>
            <w:tcBorders>
              <w:top w:val="single" w:color="auto" w:sz="4" w:space="0"/>
              <w:left w:val="nil"/>
              <w:bottom w:val="single" w:color="auto" w:sz="4" w:space="0"/>
              <w:right w:val="single" w:color="auto" w:sz="4" w:space="0"/>
            </w:tcBorders>
            <w:noWrap w:val="0"/>
            <w:vAlign w:val="center"/>
          </w:tcPr>
          <w:p w14:paraId="68BFFA20">
            <w:pPr>
              <w:adjustRightInd w:val="0"/>
              <w:snapToGrid w:val="0"/>
              <w:jc w:val="center"/>
              <w:rPr>
                <w:bCs/>
                <w:sz w:val="24"/>
                <w:szCs w:val="24"/>
              </w:rPr>
            </w:pPr>
            <w:r>
              <w:rPr>
                <w:bCs/>
                <w:sz w:val="24"/>
                <w:szCs w:val="24"/>
              </w:rPr>
              <w:t>78.38%</w:t>
            </w:r>
          </w:p>
        </w:tc>
        <w:tc>
          <w:tcPr>
            <w:tcW w:w="3355" w:type="dxa"/>
            <w:tcBorders>
              <w:top w:val="single" w:color="auto" w:sz="4" w:space="0"/>
              <w:left w:val="nil"/>
              <w:bottom w:val="single" w:color="auto" w:sz="4" w:space="0"/>
              <w:right w:val="single" w:color="auto" w:sz="4" w:space="0"/>
            </w:tcBorders>
            <w:noWrap w:val="0"/>
            <w:vAlign w:val="center"/>
          </w:tcPr>
          <w:p w14:paraId="7AA20875">
            <w:pPr>
              <w:adjustRightInd w:val="0"/>
              <w:snapToGrid w:val="0"/>
              <w:jc w:val="center"/>
              <w:rPr>
                <w:bCs/>
                <w:sz w:val="24"/>
                <w:szCs w:val="24"/>
              </w:rPr>
            </w:pPr>
            <w:r>
              <w:rPr>
                <w:bCs/>
                <w:sz w:val="24"/>
                <w:szCs w:val="24"/>
              </w:rPr>
              <w:t>龙城大道以西、久恒大道以西金龙街以北围合区</w:t>
            </w:r>
          </w:p>
        </w:tc>
        <w:tc>
          <w:tcPr>
            <w:tcW w:w="9306" w:type="dxa"/>
            <w:tcBorders>
              <w:top w:val="single" w:color="auto" w:sz="4" w:space="0"/>
              <w:left w:val="nil"/>
              <w:bottom w:val="single" w:color="auto" w:sz="4" w:space="0"/>
              <w:right w:val="single" w:color="auto" w:sz="4" w:space="0"/>
            </w:tcBorders>
            <w:noWrap w:val="0"/>
            <w:vAlign w:val="center"/>
          </w:tcPr>
          <w:p w14:paraId="276A294C">
            <w:pPr>
              <w:adjustRightInd w:val="0"/>
              <w:snapToGrid w:val="0"/>
              <w:jc w:val="center"/>
              <w:rPr>
                <w:bCs/>
                <w:sz w:val="24"/>
                <w:szCs w:val="24"/>
              </w:rPr>
            </w:pPr>
            <w:r>
              <w:rPr>
                <w:bCs/>
                <w:sz w:val="24"/>
                <w:szCs w:val="24"/>
              </w:rPr>
              <w:t>丰都县龙腾幼儿园、丰都县融智学校等</w:t>
            </w:r>
          </w:p>
        </w:tc>
      </w:tr>
      <w:tr w14:paraId="589C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49576BA6">
            <w:pPr>
              <w:adjustRightInd w:val="0"/>
              <w:snapToGrid w:val="0"/>
              <w:jc w:val="center"/>
              <w:rPr>
                <w:bCs/>
                <w:sz w:val="24"/>
                <w:szCs w:val="24"/>
              </w:rPr>
            </w:pPr>
            <w:r>
              <w:rPr>
                <w:bCs/>
                <w:sz w:val="24"/>
                <w:szCs w:val="24"/>
              </w:rPr>
              <w:t>13</w:t>
            </w:r>
          </w:p>
        </w:tc>
        <w:tc>
          <w:tcPr>
            <w:tcW w:w="1678" w:type="dxa"/>
            <w:tcBorders>
              <w:top w:val="single" w:color="auto" w:sz="4" w:space="0"/>
              <w:left w:val="nil"/>
              <w:bottom w:val="single" w:color="auto" w:sz="4" w:space="0"/>
              <w:right w:val="single" w:color="auto" w:sz="4" w:space="0"/>
            </w:tcBorders>
            <w:noWrap w:val="0"/>
            <w:vAlign w:val="center"/>
          </w:tcPr>
          <w:p w14:paraId="6B99C5E4">
            <w:pPr>
              <w:adjustRightInd w:val="0"/>
              <w:snapToGrid w:val="0"/>
              <w:jc w:val="center"/>
              <w:rPr>
                <w:bCs/>
                <w:sz w:val="24"/>
                <w:szCs w:val="24"/>
              </w:rPr>
            </w:pPr>
            <w:r>
              <w:rPr>
                <w:bCs/>
                <w:sz w:val="24"/>
                <w:szCs w:val="24"/>
              </w:rPr>
              <w:t>ZMJ-013</w:t>
            </w:r>
          </w:p>
        </w:tc>
        <w:tc>
          <w:tcPr>
            <w:tcW w:w="2308" w:type="dxa"/>
            <w:tcBorders>
              <w:top w:val="single" w:color="auto" w:sz="4" w:space="0"/>
              <w:left w:val="nil"/>
              <w:bottom w:val="single" w:color="auto" w:sz="4" w:space="0"/>
              <w:right w:val="single" w:color="auto" w:sz="4" w:space="0"/>
            </w:tcBorders>
            <w:noWrap w:val="0"/>
            <w:vAlign w:val="center"/>
          </w:tcPr>
          <w:p w14:paraId="0408169D">
            <w:pPr>
              <w:adjustRightInd w:val="0"/>
              <w:snapToGrid w:val="0"/>
              <w:jc w:val="center"/>
              <w:rPr>
                <w:bCs/>
                <w:sz w:val="24"/>
                <w:szCs w:val="24"/>
              </w:rPr>
            </w:pPr>
            <w:r>
              <w:rPr>
                <w:bCs/>
                <w:sz w:val="24"/>
                <w:szCs w:val="24"/>
              </w:rPr>
              <w:t>5002302L008</w:t>
            </w:r>
          </w:p>
        </w:tc>
        <w:tc>
          <w:tcPr>
            <w:tcW w:w="1468" w:type="dxa"/>
            <w:tcBorders>
              <w:top w:val="single" w:color="auto" w:sz="4" w:space="0"/>
              <w:left w:val="nil"/>
              <w:bottom w:val="single" w:color="auto" w:sz="4" w:space="0"/>
              <w:right w:val="single" w:color="auto" w:sz="4" w:space="0"/>
            </w:tcBorders>
            <w:noWrap w:val="0"/>
            <w:vAlign w:val="center"/>
          </w:tcPr>
          <w:p w14:paraId="7192B9D0">
            <w:pPr>
              <w:adjustRightInd w:val="0"/>
              <w:snapToGrid w:val="0"/>
              <w:jc w:val="center"/>
              <w:rPr>
                <w:bCs/>
                <w:sz w:val="24"/>
                <w:szCs w:val="24"/>
              </w:rPr>
            </w:pPr>
            <w:r>
              <w:rPr>
                <w:bCs/>
                <w:sz w:val="24"/>
                <w:szCs w:val="24"/>
              </w:rPr>
              <w:t>0.41</w:t>
            </w:r>
          </w:p>
        </w:tc>
        <w:tc>
          <w:tcPr>
            <w:tcW w:w="1888" w:type="dxa"/>
            <w:tcBorders>
              <w:top w:val="single" w:color="auto" w:sz="4" w:space="0"/>
              <w:left w:val="nil"/>
              <w:bottom w:val="single" w:color="auto" w:sz="4" w:space="0"/>
              <w:right w:val="single" w:color="auto" w:sz="4" w:space="0"/>
            </w:tcBorders>
            <w:noWrap w:val="0"/>
            <w:vAlign w:val="center"/>
          </w:tcPr>
          <w:p w14:paraId="551081C7">
            <w:pPr>
              <w:adjustRightInd w:val="0"/>
              <w:snapToGrid w:val="0"/>
              <w:jc w:val="center"/>
              <w:rPr>
                <w:bCs/>
                <w:sz w:val="24"/>
                <w:szCs w:val="24"/>
              </w:rPr>
            </w:pPr>
            <w:r>
              <w:rPr>
                <w:bCs/>
                <w:sz w:val="24"/>
                <w:szCs w:val="24"/>
              </w:rPr>
              <w:t>92.02%</w:t>
            </w:r>
          </w:p>
        </w:tc>
        <w:tc>
          <w:tcPr>
            <w:tcW w:w="3355" w:type="dxa"/>
            <w:tcBorders>
              <w:top w:val="single" w:color="auto" w:sz="4" w:space="0"/>
              <w:left w:val="nil"/>
              <w:bottom w:val="single" w:color="auto" w:sz="4" w:space="0"/>
              <w:right w:val="single" w:color="auto" w:sz="4" w:space="0"/>
            </w:tcBorders>
            <w:noWrap w:val="0"/>
            <w:vAlign w:val="center"/>
          </w:tcPr>
          <w:p w14:paraId="2C2F012A">
            <w:pPr>
              <w:adjustRightInd w:val="0"/>
              <w:snapToGrid w:val="0"/>
              <w:jc w:val="center"/>
              <w:rPr>
                <w:bCs/>
                <w:sz w:val="24"/>
                <w:szCs w:val="24"/>
              </w:rPr>
            </w:pPr>
            <w:r>
              <w:rPr>
                <w:bCs/>
                <w:sz w:val="24"/>
                <w:szCs w:val="24"/>
              </w:rPr>
              <w:t>金龙街和龙城大道围合区</w:t>
            </w:r>
          </w:p>
        </w:tc>
        <w:tc>
          <w:tcPr>
            <w:tcW w:w="9306" w:type="dxa"/>
            <w:tcBorders>
              <w:top w:val="single" w:color="auto" w:sz="4" w:space="0"/>
              <w:left w:val="nil"/>
              <w:bottom w:val="single" w:color="auto" w:sz="4" w:space="0"/>
              <w:right w:val="single" w:color="auto" w:sz="4" w:space="0"/>
            </w:tcBorders>
            <w:noWrap w:val="0"/>
            <w:vAlign w:val="center"/>
          </w:tcPr>
          <w:p w14:paraId="40D68EEF">
            <w:pPr>
              <w:adjustRightInd w:val="0"/>
              <w:snapToGrid w:val="0"/>
              <w:jc w:val="center"/>
              <w:rPr>
                <w:bCs/>
                <w:sz w:val="24"/>
                <w:szCs w:val="24"/>
              </w:rPr>
            </w:pPr>
            <w:r>
              <w:rPr>
                <w:bCs/>
                <w:sz w:val="24"/>
                <w:szCs w:val="24"/>
              </w:rPr>
              <w:t>暂无重点噪声建筑物，主要为居民聚居点</w:t>
            </w:r>
          </w:p>
        </w:tc>
      </w:tr>
      <w:tr w14:paraId="0C9B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3E5FE5BC">
            <w:pPr>
              <w:adjustRightInd w:val="0"/>
              <w:snapToGrid w:val="0"/>
              <w:jc w:val="center"/>
              <w:rPr>
                <w:bCs/>
                <w:sz w:val="24"/>
                <w:szCs w:val="24"/>
              </w:rPr>
            </w:pPr>
            <w:r>
              <w:rPr>
                <w:bCs/>
                <w:sz w:val="24"/>
                <w:szCs w:val="24"/>
              </w:rPr>
              <w:t>14</w:t>
            </w:r>
          </w:p>
        </w:tc>
        <w:tc>
          <w:tcPr>
            <w:tcW w:w="1678" w:type="dxa"/>
            <w:tcBorders>
              <w:top w:val="single" w:color="auto" w:sz="4" w:space="0"/>
              <w:left w:val="nil"/>
              <w:bottom w:val="single" w:color="auto" w:sz="4" w:space="0"/>
              <w:right w:val="single" w:color="auto" w:sz="4" w:space="0"/>
            </w:tcBorders>
            <w:noWrap w:val="0"/>
            <w:vAlign w:val="center"/>
          </w:tcPr>
          <w:p w14:paraId="6D8679C7">
            <w:pPr>
              <w:adjustRightInd w:val="0"/>
              <w:snapToGrid w:val="0"/>
              <w:jc w:val="center"/>
              <w:rPr>
                <w:bCs/>
                <w:sz w:val="24"/>
                <w:szCs w:val="24"/>
              </w:rPr>
            </w:pPr>
            <w:r>
              <w:rPr>
                <w:bCs/>
                <w:sz w:val="24"/>
                <w:szCs w:val="24"/>
              </w:rPr>
              <w:t>ZMJ-014</w:t>
            </w:r>
          </w:p>
        </w:tc>
        <w:tc>
          <w:tcPr>
            <w:tcW w:w="2308" w:type="dxa"/>
            <w:tcBorders>
              <w:top w:val="single" w:color="auto" w:sz="4" w:space="0"/>
              <w:left w:val="nil"/>
              <w:bottom w:val="single" w:color="auto" w:sz="4" w:space="0"/>
              <w:right w:val="single" w:color="auto" w:sz="4" w:space="0"/>
            </w:tcBorders>
            <w:noWrap w:val="0"/>
            <w:vAlign w:val="center"/>
          </w:tcPr>
          <w:p w14:paraId="0A5EE3EA">
            <w:pPr>
              <w:adjustRightInd w:val="0"/>
              <w:snapToGrid w:val="0"/>
              <w:jc w:val="center"/>
              <w:rPr>
                <w:bCs/>
                <w:sz w:val="24"/>
                <w:szCs w:val="24"/>
              </w:rPr>
            </w:pPr>
            <w:r>
              <w:rPr>
                <w:bCs/>
                <w:sz w:val="24"/>
                <w:szCs w:val="24"/>
              </w:rPr>
              <w:t>5002302L009</w:t>
            </w:r>
          </w:p>
        </w:tc>
        <w:tc>
          <w:tcPr>
            <w:tcW w:w="1468" w:type="dxa"/>
            <w:tcBorders>
              <w:top w:val="single" w:color="auto" w:sz="4" w:space="0"/>
              <w:left w:val="nil"/>
              <w:bottom w:val="single" w:color="auto" w:sz="4" w:space="0"/>
              <w:right w:val="single" w:color="auto" w:sz="4" w:space="0"/>
            </w:tcBorders>
            <w:noWrap w:val="0"/>
            <w:vAlign w:val="center"/>
          </w:tcPr>
          <w:p w14:paraId="44626CDF">
            <w:pPr>
              <w:adjustRightInd w:val="0"/>
              <w:snapToGrid w:val="0"/>
              <w:jc w:val="center"/>
              <w:rPr>
                <w:bCs/>
                <w:sz w:val="24"/>
                <w:szCs w:val="24"/>
              </w:rPr>
            </w:pPr>
            <w:r>
              <w:rPr>
                <w:bCs/>
                <w:sz w:val="24"/>
                <w:szCs w:val="24"/>
              </w:rPr>
              <w:t>0.69</w:t>
            </w:r>
          </w:p>
        </w:tc>
        <w:tc>
          <w:tcPr>
            <w:tcW w:w="1888" w:type="dxa"/>
            <w:tcBorders>
              <w:top w:val="single" w:color="auto" w:sz="4" w:space="0"/>
              <w:left w:val="nil"/>
              <w:bottom w:val="single" w:color="auto" w:sz="4" w:space="0"/>
              <w:right w:val="single" w:color="auto" w:sz="4" w:space="0"/>
            </w:tcBorders>
            <w:noWrap w:val="0"/>
            <w:vAlign w:val="center"/>
          </w:tcPr>
          <w:p w14:paraId="764A7C40">
            <w:pPr>
              <w:adjustRightInd w:val="0"/>
              <w:snapToGrid w:val="0"/>
              <w:jc w:val="center"/>
              <w:rPr>
                <w:bCs/>
                <w:sz w:val="24"/>
                <w:szCs w:val="24"/>
              </w:rPr>
            </w:pPr>
            <w:r>
              <w:rPr>
                <w:bCs/>
                <w:sz w:val="24"/>
                <w:szCs w:val="24"/>
              </w:rPr>
              <w:t>79.97%</w:t>
            </w:r>
          </w:p>
        </w:tc>
        <w:tc>
          <w:tcPr>
            <w:tcW w:w="3355" w:type="dxa"/>
            <w:tcBorders>
              <w:top w:val="single" w:color="auto" w:sz="4" w:space="0"/>
              <w:left w:val="nil"/>
              <w:bottom w:val="single" w:color="auto" w:sz="4" w:space="0"/>
              <w:right w:val="single" w:color="auto" w:sz="4" w:space="0"/>
            </w:tcBorders>
            <w:noWrap w:val="0"/>
            <w:vAlign w:val="center"/>
          </w:tcPr>
          <w:p w14:paraId="1975BB59">
            <w:pPr>
              <w:adjustRightInd w:val="0"/>
              <w:snapToGrid w:val="0"/>
              <w:jc w:val="center"/>
              <w:rPr>
                <w:bCs/>
                <w:sz w:val="24"/>
                <w:szCs w:val="24"/>
              </w:rPr>
            </w:pPr>
            <w:r>
              <w:rPr>
                <w:bCs/>
                <w:sz w:val="24"/>
                <w:szCs w:val="24"/>
              </w:rPr>
              <w:t>龙城大道以东、龙城华府御峰、曾家下湾区域</w:t>
            </w:r>
          </w:p>
        </w:tc>
        <w:tc>
          <w:tcPr>
            <w:tcW w:w="9306" w:type="dxa"/>
            <w:tcBorders>
              <w:top w:val="single" w:color="auto" w:sz="4" w:space="0"/>
              <w:left w:val="nil"/>
              <w:bottom w:val="single" w:color="auto" w:sz="4" w:space="0"/>
              <w:right w:val="single" w:color="auto" w:sz="4" w:space="0"/>
            </w:tcBorders>
            <w:noWrap w:val="0"/>
            <w:vAlign w:val="center"/>
          </w:tcPr>
          <w:p w14:paraId="53B06470">
            <w:pPr>
              <w:adjustRightInd w:val="0"/>
              <w:snapToGrid w:val="0"/>
              <w:jc w:val="center"/>
              <w:rPr>
                <w:bCs/>
                <w:sz w:val="24"/>
                <w:szCs w:val="24"/>
              </w:rPr>
            </w:pPr>
            <w:bookmarkStart w:id="33" w:name="OLE_LINK4"/>
            <w:r>
              <w:rPr>
                <w:bCs/>
                <w:sz w:val="24"/>
                <w:szCs w:val="24"/>
              </w:rPr>
              <w:t>暂无重点噪声建筑物，主要为居民聚居点</w:t>
            </w:r>
            <w:bookmarkEnd w:id="33"/>
          </w:p>
        </w:tc>
      </w:tr>
      <w:tr w14:paraId="5DD1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4E3C6D5E">
            <w:pPr>
              <w:adjustRightInd w:val="0"/>
              <w:snapToGrid w:val="0"/>
              <w:jc w:val="center"/>
              <w:rPr>
                <w:bCs/>
                <w:sz w:val="24"/>
                <w:szCs w:val="24"/>
              </w:rPr>
            </w:pPr>
            <w:r>
              <w:rPr>
                <w:bCs/>
                <w:sz w:val="24"/>
                <w:szCs w:val="24"/>
              </w:rPr>
              <w:t>15</w:t>
            </w:r>
          </w:p>
        </w:tc>
        <w:tc>
          <w:tcPr>
            <w:tcW w:w="1678" w:type="dxa"/>
            <w:tcBorders>
              <w:top w:val="single" w:color="auto" w:sz="4" w:space="0"/>
              <w:left w:val="nil"/>
              <w:bottom w:val="single" w:color="auto" w:sz="4" w:space="0"/>
              <w:right w:val="single" w:color="auto" w:sz="4" w:space="0"/>
            </w:tcBorders>
            <w:noWrap w:val="0"/>
            <w:vAlign w:val="center"/>
          </w:tcPr>
          <w:p w14:paraId="27D6A30E">
            <w:pPr>
              <w:adjustRightInd w:val="0"/>
              <w:snapToGrid w:val="0"/>
              <w:jc w:val="center"/>
              <w:rPr>
                <w:bCs/>
                <w:sz w:val="24"/>
                <w:szCs w:val="24"/>
              </w:rPr>
            </w:pPr>
            <w:r>
              <w:rPr>
                <w:bCs/>
                <w:sz w:val="24"/>
                <w:szCs w:val="24"/>
              </w:rPr>
              <w:t>ZMJ-015</w:t>
            </w:r>
          </w:p>
        </w:tc>
        <w:tc>
          <w:tcPr>
            <w:tcW w:w="2308" w:type="dxa"/>
            <w:tcBorders>
              <w:top w:val="single" w:color="auto" w:sz="4" w:space="0"/>
              <w:left w:val="nil"/>
              <w:bottom w:val="single" w:color="auto" w:sz="4" w:space="0"/>
              <w:right w:val="single" w:color="auto" w:sz="4" w:space="0"/>
            </w:tcBorders>
            <w:noWrap w:val="0"/>
            <w:vAlign w:val="center"/>
          </w:tcPr>
          <w:p w14:paraId="7B6EAB84">
            <w:pPr>
              <w:adjustRightInd w:val="0"/>
              <w:snapToGrid w:val="0"/>
              <w:jc w:val="center"/>
              <w:rPr>
                <w:bCs/>
                <w:sz w:val="24"/>
                <w:szCs w:val="24"/>
              </w:rPr>
            </w:pPr>
            <w:r>
              <w:rPr>
                <w:bCs/>
                <w:sz w:val="24"/>
                <w:szCs w:val="24"/>
              </w:rPr>
              <w:t>5002302L009</w:t>
            </w:r>
          </w:p>
        </w:tc>
        <w:tc>
          <w:tcPr>
            <w:tcW w:w="1468" w:type="dxa"/>
            <w:tcBorders>
              <w:top w:val="single" w:color="auto" w:sz="4" w:space="0"/>
              <w:left w:val="nil"/>
              <w:bottom w:val="single" w:color="auto" w:sz="4" w:space="0"/>
              <w:right w:val="single" w:color="auto" w:sz="4" w:space="0"/>
            </w:tcBorders>
            <w:noWrap w:val="0"/>
            <w:vAlign w:val="center"/>
          </w:tcPr>
          <w:p w14:paraId="1FE55CB1">
            <w:pPr>
              <w:adjustRightInd w:val="0"/>
              <w:snapToGrid w:val="0"/>
              <w:jc w:val="center"/>
              <w:rPr>
                <w:bCs/>
                <w:sz w:val="24"/>
                <w:szCs w:val="24"/>
              </w:rPr>
            </w:pPr>
            <w:r>
              <w:rPr>
                <w:bCs/>
                <w:sz w:val="24"/>
                <w:szCs w:val="24"/>
              </w:rPr>
              <w:t>0.36</w:t>
            </w:r>
          </w:p>
        </w:tc>
        <w:tc>
          <w:tcPr>
            <w:tcW w:w="1888" w:type="dxa"/>
            <w:tcBorders>
              <w:top w:val="single" w:color="auto" w:sz="4" w:space="0"/>
              <w:left w:val="nil"/>
              <w:bottom w:val="single" w:color="auto" w:sz="4" w:space="0"/>
              <w:right w:val="single" w:color="auto" w:sz="4" w:space="0"/>
            </w:tcBorders>
            <w:noWrap w:val="0"/>
            <w:vAlign w:val="center"/>
          </w:tcPr>
          <w:p w14:paraId="239C5231">
            <w:pPr>
              <w:adjustRightInd w:val="0"/>
              <w:snapToGrid w:val="0"/>
              <w:jc w:val="center"/>
              <w:rPr>
                <w:bCs/>
                <w:sz w:val="24"/>
                <w:szCs w:val="24"/>
              </w:rPr>
            </w:pPr>
            <w:r>
              <w:rPr>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5135D9E1">
            <w:pPr>
              <w:adjustRightInd w:val="0"/>
              <w:snapToGrid w:val="0"/>
              <w:jc w:val="center"/>
              <w:rPr>
                <w:bCs/>
                <w:sz w:val="24"/>
                <w:szCs w:val="24"/>
              </w:rPr>
            </w:pPr>
            <w:r>
              <w:rPr>
                <w:bCs/>
                <w:sz w:val="24"/>
                <w:szCs w:val="24"/>
              </w:rPr>
              <w:t>产业大道、龙河东码头以东、龙城大道以西久恒大道两侧围合区</w:t>
            </w:r>
          </w:p>
        </w:tc>
        <w:tc>
          <w:tcPr>
            <w:tcW w:w="9306" w:type="dxa"/>
            <w:tcBorders>
              <w:top w:val="single" w:color="auto" w:sz="4" w:space="0"/>
              <w:left w:val="nil"/>
              <w:bottom w:val="single" w:color="auto" w:sz="4" w:space="0"/>
              <w:right w:val="single" w:color="auto" w:sz="4" w:space="0"/>
            </w:tcBorders>
            <w:noWrap w:val="0"/>
            <w:vAlign w:val="center"/>
          </w:tcPr>
          <w:p w14:paraId="76E531B1">
            <w:pPr>
              <w:adjustRightInd w:val="0"/>
              <w:snapToGrid w:val="0"/>
              <w:jc w:val="center"/>
              <w:rPr>
                <w:bCs/>
                <w:sz w:val="24"/>
                <w:szCs w:val="24"/>
              </w:rPr>
            </w:pPr>
            <w:r>
              <w:rPr>
                <w:bCs/>
                <w:sz w:val="24"/>
                <w:szCs w:val="24"/>
              </w:rPr>
              <w:t>暂无重点噪声建筑物，主要为居民聚居点</w:t>
            </w:r>
          </w:p>
        </w:tc>
      </w:tr>
      <w:tr w14:paraId="7AD7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11946058">
            <w:pPr>
              <w:adjustRightInd w:val="0"/>
              <w:snapToGrid w:val="0"/>
              <w:jc w:val="center"/>
              <w:rPr>
                <w:bCs/>
                <w:sz w:val="24"/>
                <w:szCs w:val="24"/>
              </w:rPr>
            </w:pPr>
            <w:r>
              <w:rPr>
                <w:bCs/>
                <w:sz w:val="24"/>
                <w:szCs w:val="24"/>
              </w:rPr>
              <w:t>16</w:t>
            </w:r>
          </w:p>
        </w:tc>
        <w:tc>
          <w:tcPr>
            <w:tcW w:w="1678" w:type="dxa"/>
            <w:tcBorders>
              <w:top w:val="single" w:color="auto" w:sz="4" w:space="0"/>
              <w:left w:val="nil"/>
              <w:bottom w:val="single" w:color="auto" w:sz="4" w:space="0"/>
              <w:right w:val="single" w:color="auto" w:sz="4" w:space="0"/>
            </w:tcBorders>
            <w:noWrap w:val="0"/>
            <w:vAlign w:val="center"/>
          </w:tcPr>
          <w:p w14:paraId="71045043">
            <w:pPr>
              <w:adjustRightInd w:val="0"/>
              <w:snapToGrid w:val="0"/>
              <w:jc w:val="center"/>
              <w:rPr>
                <w:bCs/>
                <w:sz w:val="24"/>
                <w:szCs w:val="24"/>
              </w:rPr>
            </w:pPr>
            <w:r>
              <w:rPr>
                <w:bCs/>
                <w:sz w:val="24"/>
                <w:szCs w:val="24"/>
              </w:rPr>
              <w:t>ZMJ-016</w:t>
            </w:r>
          </w:p>
        </w:tc>
        <w:tc>
          <w:tcPr>
            <w:tcW w:w="2308" w:type="dxa"/>
            <w:tcBorders>
              <w:top w:val="single" w:color="auto" w:sz="4" w:space="0"/>
              <w:left w:val="nil"/>
              <w:bottom w:val="single" w:color="auto" w:sz="4" w:space="0"/>
              <w:right w:val="single" w:color="auto" w:sz="4" w:space="0"/>
            </w:tcBorders>
            <w:noWrap w:val="0"/>
            <w:vAlign w:val="center"/>
          </w:tcPr>
          <w:p w14:paraId="5E2A2732">
            <w:pPr>
              <w:adjustRightInd w:val="0"/>
              <w:snapToGrid w:val="0"/>
              <w:jc w:val="center"/>
              <w:rPr>
                <w:bCs/>
                <w:sz w:val="24"/>
                <w:szCs w:val="24"/>
              </w:rPr>
            </w:pPr>
            <w:r>
              <w:rPr>
                <w:bCs/>
                <w:sz w:val="24"/>
                <w:szCs w:val="24"/>
              </w:rPr>
              <w:t>5002302L010</w:t>
            </w:r>
          </w:p>
        </w:tc>
        <w:tc>
          <w:tcPr>
            <w:tcW w:w="1468" w:type="dxa"/>
            <w:tcBorders>
              <w:top w:val="single" w:color="auto" w:sz="4" w:space="0"/>
              <w:left w:val="nil"/>
              <w:bottom w:val="single" w:color="auto" w:sz="4" w:space="0"/>
              <w:right w:val="single" w:color="auto" w:sz="4" w:space="0"/>
            </w:tcBorders>
            <w:noWrap w:val="0"/>
            <w:vAlign w:val="center"/>
          </w:tcPr>
          <w:p w14:paraId="35773128">
            <w:pPr>
              <w:adjustRightInd w:val="0"/>
              <w:snapToGrid w:val="0"/>
              <w:jc w:val="center"/>
              <w:rPr>
                <w:bCs/>
                <w:sz w:val="24"/>
                <w:szCs w:val="24"/>
              </w:rPr>
            </w:pPr>
            <w:r>
              <w:rPr>
                <w:bCs/>
                <w:sz w:val="24"/>
                <w:szCs w:val="24"/>
              </w:rPr>
              <w:t>0.34</w:t>
            </w:r>
          </w:p>
        </w:tc>
        <w:tc>
          <w:tcPr>
            <w:tcW w:w="1888" w:type="dxa"/>
            <w:tcBorders>
              <w:top w:val="single" w:color="auto" w:sz="4" w:space="0"/>
              <w:left w:val="nil"/>
              <w:bottom w:val="single" w:color="auto" w:sz="4" w:space="0"/>
              <w:right w:val="single" w:color="auto" w:sz="4" w:space="0"/>
            </w:tcBorders>
            <w:noWrap w:val="0"/>
            <w:vAlign w:val="center"/>
          </w:tcPr>
          <w:p w14:paraId="7576A62D">
            <w:pPr>
              <w:adjustRightInd w:val="0"/>
              <w:snapToGrid w:val="0"/>
              <w:jc w:val="center"/>
              <w:rPr>
                <w:bCs/>
                <w:sz w:val="24"/>
                <w:szCs w:val="24"/>
              </w:rPr>
            </w:pPr>
            <w:r>
              <w:rPr>
                <w:bCs/>
                <w:sz w:val="24"/>
                <w:szCs w:val="24"/>
              </w:rPr>
              <w:t>96.52%</w:t>
            </w:r>
          </w:p>
        </w:tc>
        <w:tc>
          <w:tcPr>
            <w:tcW w:w="3355" w:type="dxa"/>
            <w:tcBorders>
              <w:top w:val="single" w:color="auto" w:sz="4" w:space="0"/>
              <w:left w:val="nil"/>
              <w:bottom w:val="single" w:color="auto" w:sz="4" w:space="0"/>
              <w:right w:val="single" w:color="auto" w:sz="4" w:space="0"/>
            </w:tcBorders>
            <w:noWrap w:val="0"/>
            <w:vAlign w:val="center"/>
          </w:tcPr>
          <w:p w14:paraId="0BCED981">
            <w:pPr>
              <w:adjustRightInd w:val="0"/>
              <w:snapToGrid w:val="0"/>
              <w:jc w:val="center"/>
              <w:rPr>
                <w:bCs/>
                <w:sz w:val="24"/>
                <w:szCs w:val="24"/>
              </w:rPr>
            </w:pPr>
            <w:r>
              <w:rPr>
                <w:bCs/>
                <w:sz w:val="24"/>
                <w:szCs w:val="24"/>
              </w:rPr>
              <w:t>重庆丰都育才中学、龙城大道两侧片区</w:t>
            </w:r>
          </w:p>
        </w:tc>
        <w:tc>
          <w:tcPr>
            <w:tcW w:w="9306" w:type="dxa"/>
            <w:tcBorders>
              <w:top w:val="single" w:color="auto" w:sz="4" w:space="0"/>
              <w:left w:val="nil"/>
              <w:bottom w:val="single" w:color="auto" w:sz="4" w:space="0"/>
              <w:right w:val="single" w:color="auto" w:sz="4" w:space="0"/>
            </w:tcBorders>
            <w:noWrap w:val="0"/>
            <w:vAlign w:val="center"/>
          </w:tcPr>
          <w:p w14:paraId="12F46D3D">
            <w:pPr>
              <w:adjustRightInd w:val="0"/>
              <w:snapToGrid w:val="0"/>
              <w:jc w:val="center"/>
              <w:rPr>
                <w:bCs/>
                <w:sz w:val="24"/>
                <w:szCs w:val="24"/>
              </w:rPr>
            </w:pPr>
            <w:r>
              <w:rPr>
                <w:bCs/>
                <w:sz w:val="24"/>
                <w:szCs w:val="24"/>
              </w:rPr>
              <w:t>重庆丰都育才中学</w:t>
            </w:r>
          </w:p>
        </w:tc>
      </w:tr>
      <w:tr w14:paraId="6A5A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5716CE7C">
            <w:pPr>
              <w:adjustRightInd w:val="0"/>
              <w:snapToGrid w:val="0"/>
              <w:jc w:val="center"/>
              <w:rPr>
                <w:bCs/>
                <w:sz w:val="24"/>
                <w:szCs w:val="24"/>
              </w:rPr>
            </w:pPr>
            <w:r>
              <w:rPr>
                <w:bCs/>
                <w:sz w:val="24"/>
                <w:szCs w:val="24"/>
              </w:rPr>
              <w:t>17</w:t>
            </w:r>
          </w:p>
        </w:tc>
        <w:tc>
          <w:tcPr>
            <w:tcW w:w="1678" w:type="dxa"/>
            <w:tcBorders>
              <w:top w:val="single" w:color="auto" w:sz="4" w:space="0"/>
              <w:left w:val="nil"/>
              <w:bottom w:val="single" w:color="auto" w:sz="4" w:space="0"/>
              <w:right w:val="single" w:color="auto" w:sz="4" w:space="0"/>
            </w:tcBorders>
            <w:noWrap w:val="0"/>
            <w:vAlign w:val="center"/>
          </w:tcPr>
          <w:p w14:paraId="37DFEFEB">
            <w:pPr>
              <w:adjustRightInd w:val="0"/>
              <w:snapToGrid w:val="0"/>
              <w:jc w:val="center"/>
              <w:rPr>
                <w:bCs/>
                <w:sz w:val="24"/>
                <w:szCs w:val="24"/>
              </w:rPr>
            </w:pPr>
            <w:r>
              <w:rPr>
                <w:bCs/>
                <w:sz w:val="24"/>
                <w:szCs w:val="24"/>
              </w:rPr>
              <w:t>ZMJ-017</w:t>
            </w:r>
          </w:p>
        </w:tc>
        <w:tc>
          <w:tcPr>
            <w:tcW w:w="2308" w:type="dxa"/>
            <w:tcBorders>
              <w:top w:val="single" w:color="auto" w:sz="4" w:space="0"/>
              <w:left w:val="nil"/>
              <w:bottom w:val="single" w:color="auto" w:sz="4" w:space="0"/>
              <w:right w:val="single" w:color="auto" w:sz="4" w:space="0"/>
            </w:tcBorders>
            <w:noWrap w:val="0"/>
            <w:vAlign w:val="center"/>
          </w:tcPr>
          <w:p w14:paraId="434CDE9E">
            <w:pPr>
              <w:adjustRightInd w:val="0"/>
              <w:snapToGrid w:val="0"/>
              <w:jc w:val="center"/>
              <w:rPr>
                <w:bCs/>
                <w:sz w:val="24"/>
                <w:szCs w:val="24"/>
              </w:rPr>
            </w:pPr>
            <w:r>
              <w:rPr>
                <w:bCs/>
                <w:sz w:val="24"/>
                <w:szCs w:val="24"/>
              </w:rPr>
              <w:t>5002302L012</w:t>
            </w:r>
          </w:p>
        </w:tc>
        <w:tc>
          <w:tcPr>
            <w:tcW w:w="1468" w:type="dxa"/>
            <w:tcBorders>
              <w:top w:val="single" w:color="auto" w:sz="4" w:space="0"/>
              <w:left w:val="nil"/>
              <w:bottom w:val="single" w:color="auto" w:sz="4" w:space="0"/>
              <w:right w:val="single" w:color="auto" w:sz="4" w:space="0"/>
            </w:tcBorders>
            <w:noWrap w:val="0"/>
            <w:vAlign w:val="center"/>
          </w:tcPr>
          <w:p w14:paraId="638E6E9C">
            <w:pPr>
              <w:adjustRightInd w:val="0"/>
              <w:snapToGrid w:val="0"/>
              <w:jc w:val="center"/>
              <w:rPr>
                <w:bCs/>
                <w:sz w:val="24"/>
                <w:szCs w:val="24"/>
              </w:rPr>
            </w:pPr>
            <w:r>
              <w:rPr>
                <w:bCs/>
                <w:sz w:val="24"/>
                <w:szCs w:val="24"/>
              </w:rPr>
              <w:t>0.76</w:t>
            </w:r>
          </w:p>
        </w:tc>
        <w:tc>
          <w:tcPr>
            <w:tcW w:w="1888" w:type="dxa"/>
            <w:tcBorders>
              <w:top w:val="single" w:color="auto" w:sz="4" w:space="0"/>
              <w:left w:val="nil"/>
              <w:bottom w:val="single" w:color="auto" w:sz="4" w:space="0"/>
              <w:right w:val="single" w:color="auto" w:sz="4" w:space="0"/>
            </w:tcBorders>
            <w:noWrap w:val="0"/>
            <w:vAlign w:val="center"/>
          </w:tcPr>
          <w:p w14:paraId="30EB777C">
            <w:pPr>
              <w:adjustRightInd w:val="0"/>
              <w:snapToGrid w:val="0"/>
              <w:jc w:val="center"/>
              <w:rPr>
                <w:bCs/>
                <w:sz w:val="24"/>
                <w:szCs w:val="24"/>
              </w:rPr>
            </w:pPr>
            <w:r>
              <w:rPr>
                <w:bCs/>
                <w:sz w:val="24"/>
                <w:szCs w:val="24"/>
              </w:rPr>
              <w:t>98.20%</w:t>
            </w:r>
          </w:p>
        </w:tc>
        <w:tc>
          <w:tcPr>
            <w:tcW w:w="3355" w:type="dxa"/>
            <w:tcBorders>
              <w:top w:val="single" w:color="auto" w:sz="4" w:space="0"/>
              <w:left w:val="nil"/>
              <w:bottom w:val="single" w:color="auto" w:sz="4" w:space="0"/>
              <w:right w:val="single" w:color="auto" w:sz="4" w:space="0"/>
            </w:tcBorders>
            <w:noWrap w:val="0"/>
            <w:vAlign w:val="center"/>
          </w:tcPr>
          <w:p w14:paraId="76E5A3FA">
            <w:pPr>
              <w:adjustRightInd w:val="0"/>
              <w:snapToGrid w:val="0"/>
              <w:jc w:val="center"/>
              <w:rPr>
                <w:bCs/>
                <w:sz w:val="24"/>
                <w:szCs w:val="24"/>
              </w:rPr>
            </w:pPr>
            <w:r>
              <w:rPr>
                <w:bCs/>
                <w:sz w:val="24"/>
                <w:szCs w:val="24"/>
              </w:rPr>
              <w:t>高龙路、临江西路以东片区</w:t>
            </w:r>
          </w:p>
        </w:tc>
        <w:tc>
          <w:tcPr>
            <w:tcW w:w="9306" w:type="dxa"/>
            <w:tcBorders>
              <w:top w:val="single" w:color="auto" w:sz="4" w:space="0"/>
              <w:left w:val="nil"/>
              <w:bottom w:val="single" w:color="auto" w:sz="4" w:space="0"/>
              <w:right w:val="single" w:color="auto" w:sz="4" w:space="0"/>
            </w:tcBorders>
            <w:noWrap w:val="0"/>
            <w:vAlign w:val="center"/>
          </w:tcPr>
          <w:p w14:paraId="5185A0BA">
            <w:pPr>
              <w:adjustRightInd w:val="0"/>
              <w:snapToGrid w:val="0"/>
              <w:jc w:val="center"/>
              <w:rPr>
                <w:bCs/>
                <w:sz w:val="24"/>
                <w:szCs w:val="24"/>
              </w:rPr>
            </w:pPr>
            <w:r>
              <w:rPr>
                <w:bCs/>
                <w:sz w:val="24"/>
                <w:szCs w:val="24"/>
              </w:rPr>
              <w:t>丰都县琢成学校、丰都县高镇规划和自然资源所、丰都县高家镇中心小学校、丰都县高家镇人民政府、丰都县高家镇中心卫生院、重庆市丰都第二中学校等</w:t>
            </w:r>
          </w:p>
        </w:tc>
      </w:tr>
    </w:tbl>
    <w:p w14:paraId="6BEA98FE">
      <w:pPr>
        <w:snapToGrid w:val="0"/>
        <w:spacing w:line="600" w:lineRule="exact"/>
        <w:rPr>
          <w:szCs w:val="32"/>
        </w:rPr>
      </w:pPr>
    </w:p>
    <w:p w14:paraId="0341E48B">
      <w:pPr>
        <w:snapToGrid w:val="0"/>
        <w:spacing w:line="600" w:lineRule="exact"/>
        <w:rPr>
          <w:szCs w:val="32"/>
        </w:rPr>
      </w:pPr>
    </w:p>
    <w:p w14:paraId="035FB96F">
      <w:pPr>
        <w:snapToGrid w:val="0"/>
        <w:spacing w:line="600" w:lineRule="exact"/>
        <w:rPr>
          <w:szCs w:val="32"/>
        </w:rPr>
      </w:pPr>
    </w:p>
    <w:p w14:paraId="1C2B73F1">
      <w:pPr>
        <w:snapToGrid w:val="0"/>
        <w:spacing w:line="600" w:lineRule="exact"/>
        <w:rPr>
          <w:szCs w:val="32"/>
        </w:rPr>
      </w:pPr>
    </w:p>
    <w:p w14:paraId="17F28670">
      <w:pPr>
        <w:snapToGrid w:val="0"/>
        <w:spacing w:line="600" w:lineRule="exact"/>
        <w:rPr>
          <w:szCs w:val="32"/>
        </w:rPr>
      </w:pPr>
    </w:p>
    <w:p w14:paraId="5F89DF6F">
      <w:pPr>
        <w:snapToGrid w:val="0"/>
        <w:spacing w:line="600" w:lineRule="exact"/>
        <w:rPr>
          <w:szCs w:val="32"/>
        </w:rPr>
      </w:pPr>
    </w:p>
    <w:p w14:paraId="29FE0C3F">
      <w:pPr>
        <w:snapToGrid w:val="0"/>
        <w:spacing w:line="600" w:lineRule="exact"/>
        <w:rPr>
          <w:szCs w:val="32"/>
        </w:rPr>
      </w:pPr>
      <w:bookmarkStart w:id="34" w:name="_GoBack"/>
    </w:p>
    <w:bookmarkEnd w:id="34"/>
    <w:p w14:paraId="31A052F5">
      <w:pPr>
        <w:snapToGrid w:val="0"/>
        <w:spacing w:line="600" w:lineRule="exact"/>
        <w:rPr>
          <w:szCs w:val="32"/>
        </w:rPr>
      </w:pPr>
    </w:p>
    <w:p w14:paraId="46072141">
      <w:pPr>
        <w:snapToGrid w:val="0"/>
        <w:spacing w:line="600" w:lineRule="exact"/>
        <w:rPr>
          <w:szCs w:val="32"/>
        </w:rPr>
      </w:pPr>
    </w:p>
    <w:p w14:paraId="647DA9B6">
      <w:pPr>
        <w:snapToGrid w:val="0"/>
        <w:spacing w:line="600" w:lineRule="exact"/>
        <w:rPr>
          <w:szCs w:val="32"/>
        </w:rPr>
      </w:pPr>
    </w:p>
    <w:p w14:paraId="54E7F4A1">
      <w:pPr>
        <w:snapToGrid w:val="0"/>
        <w:spacing w:line="600" w:lineRule="exact"/>
        <w:rPr>
          <w:szCs w:val="32"/>
        </w:rPr>
      </w:pPr>
    </w:p>
    <w:p w14:paraId="17814555">
      <w:pPr>
        <w:snapToGrid w:val="0"/>
        <w:spacing w:line="600" w:lineRule="exact"/>
        <w:rPr>
          <w:szCs w:val="32"/>
        </w:rPr>
      </w:pPr>
    </w:p>
    <w:p w14:paraId="08837F0B">
      <w:pPr>
        <w:snapToGrid w:val="0"/>
        <w:spacing w:line="600" w:lineRule="exac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附件2</w:t>
      </w:r>
    </w:p>
    <w:p w14:paraId="6B5993C8">
      <w:pPr>
        <w:snapToGrid w:val="0"/>
        <w:spacing w:line="600" w:lineRule="exact"/>
        <w:jc w:val="center"/>
        <w:rPr>
          <w:rFonts w:eastAsia="方正小标宋_GBK"/>
          <w:sz w:val="44"/>
          <w:szCs w:val="44"/>
        </w:rPr>
      </w:pPr>
      <w:r>
        <w:rPr>
          <w:rFonts w:eastAsia="方正小标宋_GBK"/>
          <w:sz w:val="44"/>
          <w:szCs w:val="44"/>
        </w:rPr>
        <w:t>丰都县噪声敏感建筑物集中区域划分范围</w:t>
      </w:r>
    </w:p>
    <w:p w14:paraId="20F57BDE">
      <w:pPr>
        <w:snapToGrid w:val="0"/>
        <w:spacing w:line="600" w:lineRule="exact"/>
        <w:rPr>
          <w:szCs w:val="32"/>
        </w:rPr>
      </w:pPr>
      <w:r>
        <w:drawing>
          <wp:anchor distT="0" distB="0" distL="114300" distR="114300" simplePos="0" relativeHeight="251659264" behindDoc="0" locked="0" layoutInCell="1" allowOverlap="1">
            <wp:simplePos x="0" y="0"/>
            <wp:positionH relativeFrom="page">
              <wp:posOffset>965835</wp:posOffset>
            </wp:positionH>
            <wp:positionV relativeFrom="margin">
              <wp:posOffset>894080</wp:posOffset>
            </wp:positionV>
            <wp:extent cx="13173075" cy="7200265"/>
            <wp:effectExtent l="0" t="0" r="9525" b="63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rcRect l="784" t="1109" r="1569" b="2016"/>
                    <a:stretch>
                      <a:fillRect/>
                    </a:stretch>
                  </pic:blipFill>
                  <pic:spPr>
                    <a:xfrm>
                      <a:off x="0" y="0"/>
                      <a:ext cx="13173075" cy="7200265"/>
                    </a:xfrm>
                    <a:prstGeom prst="rect">
                      <a:avLst/>
                    </a:prstGeom>
                    <a:noFill/>
                    <a:ln>
                      <a:noFill/>
                    </a:ln>
                  </pic:spPr>
                </pic:pic>
              </a:graphicData>
            </a:graphic>
          </wp:anchor>
        </w:drawing>
      </w:r>
    </w:p>
    <w:p w14:paraId="7931AE13">
      <w:pPr>
        <w:snapToGrid w:val="0"/>
        <w:spacing w:line="600" w:lineRule="exact"/>
        <w:rPr>
          <w:szCs w:val="32"/>
        </w:rPr>
      </w:pPr>
    </w:p>
    <w:p w14:paraId="4C12755A">
      <w:pPr>
        <w:snapToGrid w:val="0"/>
        <w:spacing w:line="600" w:lineRule="exact"/>
        <w:rPr>
          <w:szCs w:val="32"/>
        </w:rPr>
      </w:pPr>
    </w:p>
    <w:p w14:paraId="0F3F1FC4">
      <w:pPr>
        <w:snapToGrid w:val="0"/>
        <w:spacing w:line="600" w:lineRule="exact"/>
        <w:rPr>
          <w:szCs w:val="32"/>
        </w:rPr>
      </w:pPr>
    </w:p>
    <w:p w14:paraId="51521150">
      <w:pPr>
        <w:snapToGrid w:val="0"/>
        <w:spacing w:line="600" w:lineRule="exact"/>
        <w:rPr>
          <w:szCs w:val="32"/>
        </w:rPr>
      </w:pPr>
    </w:p>
    <w:p w14:paraId="78327F85">
      <w:pPr>
        <w:snapToGrid w:val="0"/>
        <w:spacing w:line="600" w:lineRule="exact"/>
        <w:rPr>
          <w:szCs w:val="32"/>
        </w:rPr>
      </w:pPr>
    </w:p>
    <w:p w14:paraId="2838F3A4">
      <w:pPr>
        <w:snapToGrid w:val="0"/>
        <w:spacing w:line="600" w:lineRule="exact"/>
        <w:rPr>
          <w:szCs w:val="32"/>
        </w:rPr>
      </w:pPr>
    </w:p>
    <w:p w14:paraId="068B6971">
      <w:pPr>
        <w:widowControl w:val="0"/>
        <w:numPr>
          <w:ilvl w:val="0"/>
          <w:numId w:val="0"/>
        </w:numPr>
        <w:snapToGrid w:val="0"/>
        <w:spacing w:line="600" w:lineRule="exact"/>
        <w:jc w:val="both"/>
        <w:rPr>
          <w:rFonts w:ascii="Times New Roman" w:hAnsi="Times New Roman" w:eastAsia="方正仿宋_GBK" w:cs="Times New Roman"/>
          <w:sz w:val="32"/>
          <w:szCs w:val="20"/>
        </w:rPr>
      </w:pPr>
    </w:p>
    <w:sectPr>
      <w:headerReference r:id="rId5" w:type="default"/>
      <w:footerReference r:id="rId6" w:type="default"/>
      <w:type w:val="continuous"/>
      <w:pgSz w:w="23811" w:h="16838" w:orient="landscape"/>
      <w:pgMar w:top="1587" w:right="1962" w:bottom="1474" w:left="1962"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7985B">
    <w:pPr>
      <w:pStyle w:val="8"/>
      <w:ind w:left="4788" w:leftChars="2280" w:firstLine="6400" w:firstLineChars="2000"/>
      <w:rPr>
        <w:rFonts w:eastAsia="仿宋"/>
        <w:sz w:val="32"/>
        <w:szCs w:val="48"/>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138ECA">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qIGU4AgAAc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qogZTgCAABwBAAADgAAAAAAAAABACAAAAAfAQAAZHJzL2Uyb0RvYy54&#10;bWxQSwUGAAAAAAYABgBZAQAAyQUAAAAA&#10;">
              <v:fill on="f" focussize="0,0"/>
              <v:stroke on="f" weight="0.5pt"/>
              <v:imagedata o:title=""/>
              <o:lock v:ext="edit" aspectratio="f"/>
              <v:textbox inset="0mm,0mm,0mm,0mm" style="mso-fit-shape-to-text:t;">
                <w:txbxContent>
                  <w:p w14:paraId="16138ECA">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p w14:paraId="300010A0">
    <w:pPr>
      <w:pStyle w:val="8"/>
      <w:wordWrap w:val="0"/>
      <w:ind w:left="3786" w:leftChars="1803" w:firstLine="7398" w:firstLineChars="2312"/>
      <w:jc w:val="right"/>
      <w:rPr>
        <w:color w:val="FAFAFA"/>
        <w:sz w:val="32"/>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74295</wp:posOffset>
              </wp:positionV>
              <wp:extent cx="5615940" cy="1905"/>
              <wp:effectExtent l="0" t="10795" r="3810" b="15875"/>
              <wp:wrapNone/>
              <wp:docPr id="12"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5" o:spid="_x0000_s1026" o:spt="20" style="position:absolute;left:0pt;margin-left:0pt;margin-top:5.85pt;height:0.15pt;width:442.2pt;z-index:251661312;mso-width-relative:page;mso-height-relative:page;" filled="f" stroked="t" coordsize="21600,21600" o:gfxdata="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K8&#10;Kb/TAAAABgEAAA8AAAAAAAAAAQAgAAAAIgAAAGRycy9kb3ducmV2LnhtbFBLAQIUABQAAAAIAIdO&#10;4kBK/77a7wEAAMQDAAAOAAAAAAAAAAEAIAAAACIBAABkcnMvZTJvRG9jLnhtbFBLBQYAAAAABgAG&#10;AFkBAACDBQAAAAA=&#10;">
              <v:fill on="f" focussize="0,0"/>
              <v:stroke weight="1.75pt" color="#005192" miterlimit="8" joinstyle="miter"/>
              <v:imagedata o:title=""/>
              <o:lock v:ext="edit" aspectratio="f"/>
            </v:line>
          </w:pict>
        </mc:Fallback>
      </mc:AlternateContent>
    </w:r>
  </w:p>
  <w:p w14:paraId="137C4589">
    <w:pPr>
      <w:pStyle w:val="8"/>
      <w:keepNext w:val="0"/>
      <w:keepLines w:val="0"/>
      <w:pageBreakBefore w:val="0"/>
      <w:widowControl w:val="0"/>
      <w:kinsoku/>
      <w:wordWrap w:val="0"/>
      <w:overflowPunct/>
      <w:topLinePunct w:val="0"/>
      <w:bidi w:val="0"/>
      <w:adjustRightInd/>
      <w:snapToGrid w:val="0"/>
      <w:jc w:val="right"/>
      <w:textAlignment w:val="auto"/>
      <w:rPr>
        <w:rFonts w:ascii="宋体" w:hAnsi="宋体" w:eastAsia="宋体" w:cs="宋体"/>
        <w:b/>
        <w:bCs/>
        <w:color w:val="005192"/>
        <w:sz w:val="28"/>
        <w:szCs w:val="44"/>
      </w:rPr>
    </w:pPr>
    <w:r>
      <w:rPr>
        <w:rFonts w:hint="eastAsia" w:ascii="宋体" w:hAnsi="宋体" w:eastAsia="宋体" w:cs="宋体"/>
        <w:b/>
        <w:bCs/>
        <w:color w:val="005192"/>
        <w:sz w:val="28"/>
        <w:szCs w:val="44"/>
      </w:rPr>
      <w:t>重庆市丰都县</w:t>
    </w:r>
    <w:r>
      <w:rPr>
        <w:rFonts w:hint="eastAsia" w:ascii="宋体" w:hAnsi="宋体" w:eastAsia="宋体" w:cs="宋体"/>
        <w:b/>
        <w:bCs/>
        <w:color w:val="005192"/>
        <w:sz w:val="28"/>
        <w:szCs w:val="44"/>
        <w:lang w:val="en-US" w:eastAsia="zh-CN"/>
      </w:rPr>
      <w:t>生态环境局</w:t>
    </w:r>
    <w:r>
      <w:rPr>
        <w:rFonts w:hint="eastAsia" w:ascii="宋体" w:hAnsi="宋体" w:eastAsia="宋体" w:cs="宋体"/>
        <w:b/>
        <w:bCs/>
        <w:color w:val="005192"/>
        <w:sz w:val="28"/>
        <w:szCs w:val="44"/>
      </w:rPr>
      <w:t xml:space="preserve">发布     </w:t>
    </w:r>
  </w:p>
  <w:p w14:paraId="552FA6E3">
    <w:pPr>
      <w:pStyle w:val="8"/>
      <w:wordWrap w:val="0"/>
      <w:ind w:left="4788" w:leftChars="2280" w:firstLine="5622" w:firstLineChars="2000"/>
      <w:jc w:val="right"/>
      <w:rPr>
        <w:rFonts w:ascii="宋体" w:hAnsi="宋体" w:eastAsia="宋体" w:cs="宋体"/>
        <w:b/>
        <w:bCs/>
        <w:color w:val="005192"/>
        <w:sz w:val="28"/>
        <w:szCs w:val="4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D4F6C">
    <w:pPr>
      <w:pStyle w:val="8"/>
      <w:ind w:left="4788" w:leftChars="2280" w:firstLine="6400" w:firstLineChars="2000"/>
      <w:rPr>
        <w:rFonts w:eastAsia="仿宋"/>
        <w:sz w:val="32"/>
        <w:szCs w:val="48"/>
      </w:rPr>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34FCAD">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f4/I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g3+PyNwIAAG8EAAAOAAAAAAAAAAEAIAAAAB8BAABkcnMvZTJvRG9jLnht&#10;bFBLBQYAAAAABgAGAFkBAADIBQAAAAA=&#10;">
              <v:fill on="f" focussize="0,0"/>
              <v:stroke on="f" weight="0.5pt"/>
              <v:imagedata o:title=""/>
              <o:lock v:ext="edit" aspectratio="f"/>
              <v:textbox inset="0mm,0mm,0mm,0mm" style="mso-fit-shape-to-text:t;">
                <w:txbxContent>
                  <w:p w14:paraId="3E34FCAD">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p w14:paraId="04D363AE">
    <w:pPr>
      <w:pStyle w:val="8"/>
      <w:wordWrap w:val="0"/>
      <w:ind w:left="3786" w:leftChars="1803" w:firstLine="7398" w:firstLineChars="2312"/>
      <w:jc w:val="right"/>
      <w:rPr>
        <w:color w:val="FAFAFA"/>
        <w:sz w:val="32"/>
      </w:rPr>
    </w:pPr>
    <w:r>
      <w:rPr>
        <w:color w:val="FAFAFA"/>
        <w:sz w:val="3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74295</wp:posOffset>
              </wp:positionV>
              <wp:extent cx="12640310" cy="635"/>
              <wp:effectExtent l="0" t="10795" r="8890" b="17145"/>
              <wp:wrapNone/>
              <wp:docPr id="7" name="直接连接符 5"/>
              <wp:cNvGraphicFramePr/>
              <a:graphic xmlns:a="http://schemas.openxmlformats.org/drawingml/2006/main">
                <a:graphicData uri="http://schemas.microsoft.com/office/word/2010/wordprocessingShape">
                  <wps:wsp>
                    <wps:cNvCnPr/>
                    <wps:spPr>
                      <a:xfrm>
                        <a:off x="0" y="0"/>
                        <a:ext cx="12640310" cy="635"/>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5" o:spid="_x0000_s1026" o:spt="20" style="position:absolute;left:0pt;margin-left:0pt;margin-top:5.85pt;height:0.05pt;width:995.3pt;z-index:251664384;mso-width-relative:page;mso-height-relative:page;" filled="f" stroked="t" coordsize="21600,21600" o:gfxdata="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2jmr9MAAAAHAQAADwAAAAAAAAABACAAAAAiAAAAZHJzL2Rvd25yZXYueG1sUEsBAhQAFAAAAAgA&#10;h07iQMOQhsfxAQAAwwMAAA4AAAAAAAAAAQAgAAAAIgEAAGRycy9lMm9Eb2MueG1sUEsFBgAAAAAG&#10;AAYAWQEAAIUFAAAAAA==&#10;">
              <v:fill on="f" focussize="0,0"/>
              <v:stroke weight="1.75pt" color="#005192" miterlimit="8" joinstyle="miter"/>
              <v:imagedata o:title=""/>
              <o:lock v:ext="edit" aspectratio="f"/>
            </v:line>
          </w:pict>
        </mc:Fallback>
      </mc:AlternateContent>
    </w:r>
  </w:p>
  <w:p w14:paraId="2FCC7F66">
    <w:pPr>
      <w:pStyle w:val="8"/>
      <w:keepNext w:val="0"/>
      <w:keepLines w:val="0"/>
      <w:pageBreakBefore w:val="0"/>
      <w:widowControl w:val="0"/>
      <w:kinsoku/>
      <w:wordWrap w:val="0"/>
      <w:overflowPunct/>
      <w:topLinePunct w:val="0"/>
      <w:bidi w:val="0"/>
      <w:adjustRightInd/>
      <w:snapToGrid w:val="0"/>
      <w:jc w:val="right"/>
      <w:textAlignment w:val="auto"/>
      <w:rPr>
        <w:rFonts w:ascii="宋体" w:hAnsi="宋体" w:eastAsia="宋体" w:cs="宋体"/>
        <w:b/>
        <w:bCs/>
        <w:color w:val="005192"/>
        <w:sz w:val="28"/>
        <w:szCs w:val="44"/>
      </w:rPr>
    </w:pPr>
    <w:r>
      <w:rPr>
        <w:rFonts w:hint="eastAsia" w:ascii="宋体" w:hAnsi="宋体" w:eastAsia="宋体" w:cs="宋体"/>
        <w:b/>
        <w:bCs/>
        <w:color w:val="005192"/>
        <w:sz w:val="28"/>
        <w:szCs w:val="44"/>
      </w:rPr>
      <w:t>重庆市丰都县</w:t>
    </w:r>
    <w:r>
      <w:rPr>
        <w:rFonts w:hint="eastAsia" w:ascii="宋体" w:hAnsi="宋体" w:eastAsia="宋体" w:cs="宋体"/>
        <w:b/>
        <w:bCs/>
        <w:color w:val="005192"/>
        <w:sz w:val="28"/>
        <w:szCs w:val="44"/>
        <w:lang w:val="en-US" w:eastAsia="zh-CN"/>
      </w:rPr>
      <w:t>生态环境局</w:t>
    </w:r>
    <w:r>
      <w:rPr>
        <w:rFonts w:hint="eastAsia" w:ascii="宋体" w:hAnsi="宋体" w:eastAsia="宋体" w:cs="宋体"/>
        <w:b/>
        <w:bCs/>
        <w:color w:val="005192"/>
        <w:sz w:val="28"/>
        <w:szCs w:val="44"/>
      </w:rPr>
      <w:t xml:space="preserve">发布     </w:t>
    </w:r>
  </w:p>
  <w:p w14:paraId="50A234AA">
    <w:pPr>
      <w:pStyle w:val="8"/>
      <w:wordWrap w:val="0"/>
      <w:ind w:left="4788" w:leftChars="2280" w:firstLine="5622" w:firstLineChars="2000"/>
      <w:jc w:val="right"/>
      <w:rPr>
        <w:rFonts w:ascii="宋体" w:hAnsi="宋体" w:eastAsia="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FF9E">
    <w:pPr>
      <w:pStyle w:val="8"/>
      <w:textAlignment w:val="center"/>
      <w:rPr>
        <w:rFonts w:ascii="方正仿宋_GBK" w:hAnsi="方正仿宋_GBK" w:eastAsia="方正仿宋_GBK" w:cs="方正仿宋_GBK"/>
        <w:b/>
        <w:bCs/>
        <w:color w:val="000000" w:themeColor="text1"/>
        <w:sz w:val="32"/>
        <w14:textFill>
          <w14:solidFill>
            <w14:schemeClr w14:val="tx1"/>
          </w14:solidFill>
        </w14:textFill>
      </w:rPr>
    </w:pPr>
    <w:r>
      <w:rPr>
        <w:rFonts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690245</wp:posOffset>
              </wp:positionV>
              <wp:extent cx="5619750" cy="0"/>
              <wp:effectExtent l="0" t="10795" r="0" b="17780"/>
              <wp:wrapNone/>
              <wp:docPr id="11"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4" o:spid="_x0000_s1026" o:spt="20" style="position:absolute;left:0pt;margin-left:0pt;margin-top:54.35pt;height:0pt;width:442.5pt;z-index:251660288;mso-width-relative:page;mso-height-relative:page;" filled="f" stroked="t" coordsize="21600,21600" o:gfxdata="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rsUa3TAAAACAEAAA8AAAAAAAAAAQAgAAAAIgAAAGRycy9kb3ducmV2LnhtbFBLAQIU&#10;ABQAAAAIAIdO4kBUSnrh+AEAAMwDAAAOAAAAAAAAAAEAIAAAACIBAABkcnMvZTJvRG9jLnhtbFBL&#10;BQYAAAAABgAGAFkBAACMBQAAAAA=&#10;">
              <v:fill on="f" focussize="0,0"/>
              <v:stroke weight="1.75pt" color="#005192" miterlimit="8" joinstyle="miter"/>
              <v:imagedata o:title=""/>
              <o:lock v:ext="edit" aspectratio="f"/>
            </v:line>
          </w:pict>
        </mc:Fallback>
      </mc:AlternateContent>
    </w:r>
  </w:p>
  <w:p w14:paraId="1E4B988A">
    <w:pPr>
      <w:pStyle w:val="8"/>
      <w:textAlignment w:val="center"/>
      <w:rPr>
        <w:rFonts w:hint="default"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2" name="图片 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重庆市丰都县</w:t>
    </w:r>
    <w:r>
      <w:rPr>
        <w:rFonts w:hint="eastAsia" w:ascii="宋体" w:hAnsi="宋体" w:eastAsia="宋体" w:cs="宋体"/>
        <w:b/>
        <w:bCs/>
        <w:color w:val="005192"/>
        <w:sz w:val="32"/>
        <w:lang w:val="en-US" w:eastAsia="zh-CN"/>
      </w:rPr>
      <w:t>生态环境局</w:t>
    </w:r>
    <w:r>
      <w:rPr>
        <w:rFonts w:hint="eastAsia" w:ascii="宋体" w:hAnsi="宋体" w:eastAsia="宋体" w:cs="宋体"/>
        <w:b/>
        <w:bCs/>
        <w:color w:val="005192"/>
        <w:sz w:val="32"/>
        <w:lang w:eastAsia="zh-CN"/>
      </w:rPr>
      <w:t>行政</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10CA0">
    <w:pPr>
      <w:pStyle w:val="8"/>
      <w:textAlignment w:val="center"/>
      <w:rPr>
        <w:rFonts w:ascii="方正仿宋_GBK" w:hAnsi="方正仿宋_GBK" w:eastAsia="方正仿宋_GBK" w:cs="方正仿宋_GBK"/>
        <w:b/>
        <w:bCs/>
        <w:color w:val="000000" w:themeColor="text1"/>
        <w:sz w:val="32"/>
        <w14:textFill>
          <w14:solidFill>
            <w14:schemeClr w14:val="tx1"/>
          </w14:solidFill>
        </w14:textFill>
      </w:rPr>
    </w:pPr>
  </w:p>
  <w:p w14:paraId="0B55F3AE">
    <w:pPr>
      <w:pStyle w:val="8"/>
      <w:textAlignment w:val="center"/>
      <w:rPr>
        <w:rFonts w:hint="default" w:ascii="宋体" w:hAnsi="宋体" w:eastAsia="宋体" w:cs="宋体"/>
        <w:b/>
        <w:bCs/>
        <w:color w:val="005192"/>
        <w:sz w:val="32"/>
        <w:szCs w:val="32"/>
        <w:lang w:val="en-US" w:eastAsia="zh-CN"/>
      </w:rPr>
    </w:pPr>
    <w:r>
      <w:rPr>
        <w:rFonts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8255</wp:posOffset>
              </wp:positionH>
              <wp:positionV relativeFrom="paragraph">
                <wp:posOffset>312420</wp:posOffset>
              </wp:positionV>
              <wp:extent cx="12600305" cy="1905"/>
              <wp:effectExtent l="0" t="10795" r="10795" b="15875"/>
              <wp:wrapNone/>
              <wp:docPr id="4" name="直接连接符 4"/>
              <wp:cNvGraphicFramePr/>
              <a:graphic xmlns:a="http://schemas.openxmlformats.org/drawingml/2006/main">
                <a:graphicData uri="http://schemas.microsoft.com/office/word/2010/wordprocessingShape">
                  <wps:wsp>
                    <wps:cNvCnPr/>
                    <wps:spPr>
                      <a:xfrm flipV="1">
                        <a:off x="4133850" y="864870"/>
                        <a:ext cx="1260030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flip:y;margin-left:0.65pt;margin-top:24.6pt;height:0.15pt;width:992.15pt;z-index:251663360;mso-width-relative:page;mso-height-relative:page;" filled="f" stroked="t" coordsize="21600,21600" o:gfxdata="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ZPJtzYAAAACAEAAA8AAAAAAAAAAQAgAAAAIgAAAGRycy9k&#10;b3ducmV2LnhtbFBLAQIUABQAAAAIAIdO4kC+mMl9AgIAANkDAAAOAAAAAAAAAAEAIAAAACcBAABk&#10;cnMvZTJvRG9jLnhtbFBLBQYAAAAABgAGAFkBAACbBQAAAAA=&#10;">
              <v:fill on="f" focussize="0,0"/>
              <v:stroke weight="1.75pt" color="#005192"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5" name="图片 5"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重庆市丰都县</w:t>
    </w:r>
    <w:r>
      <w:rPr>
        <w:rFonts w:hint="eastAsia" w:ascii="宋体" w:hAnsi="宋体" w:eastAsia="宋体" w:cs="宋体"/>
        <w:b/>
        <w:bCs/>
        <w:color w:val="005192"/>
        <w:sz w:val="32"/>
        <w:lang w:val="en-US" w:eastAsia="zh-CN"/>
      </w:rPr>
      <w:t>生态环境局</w:t>
    </w:r>
    <w:r>
      <w:rPr>
        <w:rFonts w:hint="eastAsia" w:ascii="宋体" w:hAnsi="宋体" w:eastAsia="宋体" w:cs="宋体"/>
        <w:b/>
        <w:bCs/>
        <w:color w:val="005192"/>
        <w:sz w:val="32"/>
        <w:lang w:eastAsia="zh-CN"/>
      </w:rPr>
      <w:t>行政</w:t>
    </w:r>
    <w:r>
      <w:rPr>
        <w:rFonts w:hint="eastAsia" w:ascii="宋体" w:hAnsi="宋体" w:eastAsia="宋体" w:cs="宋体"/>
        <w:b/>
        <w:bCs/>
        <w:color w:val="005192"/>
        <w:sz w:val="32"/>
        <w:szCs w:val="32"/>
        <w:lang w:val="en-US" w:eastAsia="zh-Hans"/>
      </w:rPr>
      <w:t>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4A282D"/>
    <w:multiLevelType w:val="singleLevel"/>
    <w:tmpl w:val="774A282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yYmU5NzY4YzY1OTQzMTZlOGFlODU1YjNlNzA2YzcifQ=="/>
  </w:docVars>
  <w:rsids>
    <w:rsidRoot w:val="00172A27"/>
    <w:rsid w:val="00165C01"/>
    <w:rsid w:val="00172A27"/>
    <w:rsid w:val="0026538E"/>
    <w:rsid w:val="003B6294"/>
    <w:rsid w:val="00443A92"/>
    <w:rsid w:val="00550976"/>
    <w:rsid w:val="00865736"/>
    <w:rsid w:val="008D52D8"/>
    <w:rsid w:val="008F49A7"/>
    <w:rsid w:val="00901516"/>
    <w:rsid w:val="00963409"/>
    <w:rsid w:val="0097364E"/>
    <w:rsid w:val="009E4759"/>
    <w:rsid w:val="009F196C"/>
    <w:rsid w:val="00DA4363"/>
    <w:rsid w:val="019E71BD"/>
    <w:rsid w:val="037D1AEC"/>
    <w:rsid w:val="041C42DA"/>
    <w:rsid w:val="04B679C3"/>
    <w:rsid w:val="05F07036"/>
    <w:rsid w:val="06E00104"/>
    <w:rsid w:val="080F63D8"/>
    <w:rsid w:val="09341458"/>
    <w:rsid w:val="098254C2"/>
    <w:rsid w:val="0A766EDE"/>
    <w:rsid w:val="0AD64BE8"/>
    <w:rsid w:val="0B0912D7"/>
    <w:rsid w:val="0C7513FA"/>
    <w:rsid w:val="0D4416C2"/>
    <w:rsid w:val="0D9A50E8"/>
    <w:rsid w:val="0E025194"/>
    <w:rsid w:val="1319358D"/>
    <w:rsid w:val="152D2DCA"/>
    <w:rsid w:val="179370AC"/>
    <w:rsid w:val="187168EA"/>
    <w:rsid w:val="18E55CEF"/>
    <w:rsid w:val="196673CA"/>
    <w:rsid w:val="1AC21F41"/>
    <w:rsid w:val="1B2F4AEE"/>
    <w:rsid w:val="1CF734C9"/>
    <w:rsid w:val="1DEC284C"/>
    <w:rsid w:val="1E6523AC"/>
    <w:rsid w:val="1F527B21"/>
    <w:rsid w:val="22440422"/>
    <w:rsid w:val="22BB4BBB"/>
    <w:rsid w:val="241E2D4D"/>
    <w:rsid w:val="267A1667"/>
    <w:rsid w:val="29150806"/>
    <w:rsid w:val="2A4C2BDF"/>
    <w:rsid w:val="2AEB3417"/>
    <w:rsid w:val="2E7B51CF"/>
    <w:rsid w:val="31A15F24"/>
    <w:rsid w:val="324A1681"/>
    <w:rsid w:val="36FB1DF0"/>
    <w:rsid w:val="37F039D3"/>
    <w:rsid w:val="395347B5"/>
    <w:rsid w:val="39A232A0"/>
    <w:rsid w:val="39E745AA"/>
    <w:rsid w:val="3B5A6BBB"/>
    <w:rsid w:val="3EDA13A6"/>
    <w:rsid w:val="412B79D0"/>
    <w:rsid w:val="417B75E9"/>
    <w:rsid w:val="42F058B7"/>
    <w:rsid w:val="436109F6"/>
    <w:rsid w:val="441A38D4"/>
    <w:rsid w:val="4504239D"/>
    <w:rsid w:val="46435A85"/>
    <w:rsid w:val="4BC77339"/>
    <w:rsid w:val="4BED09BF"/>
    <w:rsid w:val="4C9236C5"/>
    <w:rsid w:val="4E250A85"/>
    <w:rsid w:val="4FFD4925"/>
    <w:rsid w:val="505C172E"/>
    <w:rsid w:val="506405EA"/>
    <w:rsid w:val="52F46F0B"/>
    <w:rsid w:val="532B6A10"/>
    <w:rsid w:val="53D8014D"/>
    <w:rsid w:val="55E064E0"/>
    <w:rsid w:val="572C6D10"/>
    <w:rsid w:val="59C633A7"/>
    <w:rsid w:val="5DC34279"/>
    <w:rsid w:val="5FCD688E"/>
    <w:rsid w:val="5FF9BDAA"/>
    <w:rsid w:val="5FFE5333"/>
    <w:rsid w:val="608816D1"/>
    <w:rsid w:val="60EF4E7F"/>
    <w:rsid w:val="631502AE"/>
    <w:rsid w:val="648B0A32"/>
    <w:rsid w:val="665233C1"/>
    <w:rsid w:val="69AC0D42"/>
    <w:rsid w:val="6AD9688B"/>
    <w:rsid w:val="6B2D65E4"/>
    <w:rsid w:val="6CA33403"/>
    <w:rsid w:val="6D0E3F22"/>
    <w:rsid w:val="6FD74555"/>
    <w:rsid w:val="70293003"/>
    <w:rsid w:val="71397275"/>
    <w:rsid w:val="744E4660"/>
    <w:rsid w:val="753355A2"/>
    <w:rsid w:val="759F1C61"/>
    <w:rsid w:val="769F2DE8"/>
    <w:rsid w:val="76FDEB7C"/>
    <w:rsid w:val="79C65162"/>
    <w:rsid w:val="7A6D06A1"/>
    <w:rsid w:val="7B095F0A"/>
    <w:rsid w:val="7C9011D9"/>
    <w:rsid w:val="7DC651C5"/>
    <w:rsid w:val="7DF350ED"/>
    <w:rsid w:val="7EA253F9"/>
    <w:rsid w:val="7F9DA0E8"/>
    <w:rsid w:val="7FCC2834"/>
    <w:rsid w:val="7FF6A4EF"/>
    <w:rsid w:val="92DD1CEF"/>
    <w:rsid w:val="F05B4F69"/>
    <w:rsid w:val="F97D9566"/>
    <w:rsid w:val="FDFF41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autoRedefine/>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5"/>
    <w:qFormat/>
    <w:uiPriority w:val="0"/>
    <w:rPr>
      <w:sz w:val="28"/>
    </w:rPr>
  </w:style>
  <w:style w:type="paragraph" w:customStyle="1" w:styleId="5">
    <w:name w:val="默认"/>
    <w:unhideWhenUsed/>
    <w:qFormat/>
    <w:uiPriority w:val="99"/>
    <w:rPr>
      <w:rFonts w:hint="eastAsia" w:ascii="Helvetica" w:hAnsi="Helvetica" w:eastAsia="宋体" w:cs="Times New Roman"/>
      <w:color w:val="000000"/>
      <w:sz w:val="22"/>
      <w:lang w:val="en-US" w:eastAsia="zh-CN" w:bidi="ar-SA"/>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Title"/>
    <w:basedOn w:val="1"/>
    <w:next w:val="1"/>
    <w:qFormat/>
    <w:uiPriority w:val="0"/>
    <w:pPr>
      <w:spacing w:line="594" w:lineRule="exact"/>
      <w:jc w:val="center"/>
      <w:outlineLvl w:val="0"/>
    </w:pPr>
    <w:rPr>
      <w:rFonts w:eastAsia="方正小标宋_GBK"/>
      <w:b/>
      <w:bCs/>
      <w:sz w:val="44"/>
      <w:szCs w:val="32"/>
    </w:rPr>
  </w:style>
  <w:style w:type="character" w:styleId="13">
    <w:name w:val="Strong"/>
    <w:basedOn w:val="12"/>
    <w:qFormat/>
    <w:uiPriority w:val="0"/>
    <w:rPr>
      <w:b/>
      <w:bCs/>
    </w:rPr>
  </w:style>
  <w:style w:type="character" w:styleId="14">
    <w:name w:val="page number"/>
    <w:qFormat/>
    <w:uiPriority w:val="0"/>
    <w:rPr>
      <w:rFonts w:ascii="Times New Roman" w:hAnsi="Times New Roman" w:eastAsia="宋体" w:cs="Times New Roman"/>
    </w:rPr>
  </w:style>
  <w:style w:type="paragraph" w:customStyle="1" w:styleId="15">
    <w:name w:val="Default"/>
    <w:basedOn w:val="1"/>
    <w:qFormat/>
    <w:uiPriority w:val="99"/>
    <w:pPr>
      <w:autoSpaceDE w:val="0"/>
      <w:autoSpaceDN w:val="0"/>
    </w:pPr>
    <w:rPr>
      <w:rFonts w:ascii="方正黑体_GBK" w:hAnsi="方正黑体_GBK" w:eastAsia="方正黑体_GBK" w:cs="Times New Roman"/>
      <w:color w:val="000000"/>
      <w:sz w:val="24"/>
    </w:rPr>
  </w:style>
  <w:style w:type="paragraph" w:customStyle="1" w:styleId="16">
    <w:name w:val="p0"/>
    <w:basedOn w:val="1"/>
    <w:qFormat/>
    <w:uiPriority w:val="0"/>
    <w:pPr>
      <w:widowControl/>
    </w:pPr>
    <w:rPr>
      <w:rFonts w:ascii="Calibri" w:hAnsi="Calibri" w:eastAsia="宋体" w:cs="宋体"/>
      <w:kern w:val="0"/>
      <w:szCs w:val="32"/>
    </w:rPr>
  </w:style>
  <w:style w:type="character" w:customStyle="1" w:styleId="17">
    <w:name w:val="批注框文本 Char"/>
    <w:basedOn w:val="12"/>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2BBCE2-3EC0-46FC-9803-F9B802D83A5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3505</Words>
  <Characters>3997</Characters>
  <Lines>6</Lines>
  <Paragraphs>1</Paragraphs>
  <TotalTime>7</TotalTime>
  <ScaleCrop>false</ScaleCrop>
  <LinksUpToDate>false</LinksUpToDate>
  <CharactersWithSpaces>4076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2024-05-14T01:22:00Z</dcterms:created>
  <dc:creator>t</dc:creator>
  <cp:lastModifiedBy>棉花蛮蛮</cp:lastModifiedBy>
  <cp:lastPrinted>2022-05-12T00:46:00Z</cp:lastPrinted>
  <dcterms:modified xsi:type="dcterms:W3CDTF">2025-08-28T09:19:15Z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9BE2AE8407084AB5A525B6497DDDAE48_13</vt:lpwstr>
  </property>
  <property fmtid="{D5CDD505-2E9C-101B-9397-08002B2CF9AE}" pid="4" name="KSOTemplateDocerSaveRecord">
    <vt:lpwstr>eyJoZGlkIjoiMzkwYzZmNzFjOWY0YTdjM2JmZmJmYjhmZDBlMGEyMDkiLCJ1c2VySWQiOiIzNDQ3MzM3MzgifQ==</vt:lpwstr>
  </property>
</Properties>
</file>