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kinsoku/>
        <w:wordWrap/>
        <w:overflowPunct/>
        <w:topLinePunct w:val="0"/>
        <w:autoSpaceDE/>
        <w:autoSpaceDN/>
        <w:bidi w:val="0"/>
        <w:adjustRightInd/>
        <w:snapToGrid w:val="0"/>
        <w:spacing w:before="320" w:line="420" w:lineRule="auto"/>
        <w:jc w:val="center"/>
        <w:rPr>
          <w:rFonts w:hint="eastAsia" w:ascii="宋体" w:hAnsi="宋体" w:eastAsia="宋体" w:cs="宋体"/>
          <w:b/>
          <w:bCs w:val="0"/>
          <w:sz w:val="28"/>
          <w:szCs w:val="28"/>
        </w:rPr>
      </w:pPr>
      <w:r>
        <w:rPr>
          <w:rFonts w:hint="eastAsia" w:ascii="宋体" w:hAnsi="宋体" w:eastAsia="宋体" w:cs="宋体"/>
          <w:b/>
          <w:bCs w:val="0"/>
          <w:kern w:val="0"/>
          <w:sz w:val="28"/>
          <w:szCs w:val="28"/>
        </w:rPr>
        <w:t>丰都县生态环境局审查建设项目环评信息公示表</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bCs/>
          <w:sz w:val="28"/>
          <w:szCs w:val="28"/>
        </w:rPr>
      </w:pPr>
      <w:bookmarkStart w:id="0" w:name="_GoBack"/>
      <w:r>
        <w:rPr>
          <w:rFonts w:hint="eastAsia" w:ascii="宋体" w:hAnsi="宋体" w:eastAsia="宋体" w:cs="宋体"/>
          <w:kern w:val="0"/>
          <w:sz w:val="28"/>
          <w:szCs w:val="28"/>
        </w:rPr>
        <w:t>丰都县生态环境局审查以下建设项目环评文件，现公告有关环评信息，接受社会监督，公示期为</w:t>
      </w:r>
      <w:r>
        <w:rPr>
          <w:rFonts w:hint="eastAsia" w:ascii="宋体" w:hAnsi="宋体" w:eastAsia="宋体" w:cs="宋体"/>
          <w:color w:val="auto"/>
          <w:kern w:val="0"/>
          <w:sz w:val="28"/>
          <w:szCs w:val="28"/>
          <w:lang w:val="en-US" w:eastAsia="zh-CN"/>
        </w:rPr>
        <w:t>2025</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10</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17</w:t>
      </w:r>
      <w:r>
        <w:rPr>
          <w:rFonts w:hint="eastAsia" w:ascii="宋体" w:hAnsi="宋体" w:eastAsia="宋体" w:cs="宋体"/>
          <w:color w:val="auto"/>
          <w:kern w:val="0"/>
          <w:sz w:val="28"/>
          <w:szCs w:val="28"/>
        </w:rPr>
        <w:t>日—</w:t>
      </w:r>
      <w:r>
        <w:rPr>
          <w:rFonts w:hint="eastAsia" w:ascii="宋体" w:hAnsi="宋体" w:eastAsia="宋体" w:cs="宋体"/>
          <w:color w:val="auto"/>
          <w:kern w:val="0"/>
          <w:sz w:val="28"/>
          <w:szCs w:val="28"/>
          <w:lang w:val="en-US" w:eastAsia="zh-CN"/>
        </w:rPr>
        <w:t>2025</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10</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23</w:t>
      </w:r>
      <w:r>
        <w:rPr>
          <w:rFonts w:hint="eastAsia" w:ascii="宋体" w:hAnsi="宋体" w:eastAsia="宋体" w:cs="宋体"/>
          <w:color w:val="auto"/>
          <w:kern w:val="0"/>
          <w:sz w:val="28"/>
          <w:szCs w:val="28"/>
        </w:rPr>
        <w:t>日</w:t>
      </w:r>
      <w:r>
        <w:rPr>
          <w:rFonts w:hint="eastAsia" w:ascii="宋体" w:hAnsi="宋体" w:eastAsia="宋体" w:cs="宋体"/>
          <w:kern w:val="0"/>
          <w:sz w:val="28"/>
          <w:szCs w:val="28"/>
        </w:rPr>
        <w:t>。环评文件查询方式</w:t>
      </w:r>
      <w:r>
        <w:rPr>
          <w:rFonts w:hint="eastAsia" w:ascii="宋体" w:hAnsi="宋体" w:eastAsia="宋体" w:cs="宋体"/>
          <w:sz w:val="28"/>
          <w:szCs w:val="28"/>
        </w:rPr>
        <w:t>http://www.cqfd.gov.cn/bm/sthjj/</w:t>
      </w:r>
      <w:r>
        <w:rPr>
          <w:rFonts w:hint="eastAsia" w:ascii="宋体" w:hAnsi="宋体" w:eastAsia="宋体" w:cs="宋体"/>
          <w:kern w:val="0"/>
          <w:sz w:val="28"/>
          <w:szCs w:val="28"/>
        </w:rPr>
        <w:t>。反馈意见受理方式为电子邮箱：fdhbjjgk@163.com，传真：023-70708728，通讯地址：丰都县三合街道商业二路321号，邮编：408200。申请人和利害关系人可自公示起5个工作日内以书面形式向我局提出听证申请。</w:t>
      </w:r>
    </w:p>
    <w:tbl>
      <w:tblPr>
        <w:tblStyle w:val="29"/>
        <w:tblpPr w:leftFromText="180" w:rightFromText="180" w:vertAnchor="text" w:horzAnchor="margin" w:tblpX="1" w:tblpY="102"/>
        <w:tblOverlap w:val="never"/>
        <w:tblW w:w="14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277"/>
        <w:gridCol w:w="1272"/>
        <w:gridCol w:w="886"/>
        <w:gridCol w:w="1275"/>
        <w:gridCol w:w="2310"/>
        <w:gridCol w:w="5345"/>
        <w:gridCol w:w="709"/>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501" w:type="dxa"/>
            <w:vAlign w:val="center"/>
          </w:tcPr>
          <w:p>
            <w:pPr>
              <w:snapToGrid w:val="0"/>
              <w:spacing w:line="360" w:lineRule="auto"/>
              <w:jc w:val="left"/>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序号</w:t>
            </w:r>
          </w:p>
        </w:tc>
        <w:tc>
          <w:tcPr>
            <w:tcW w:w="1277" w:type="dxa"/>
            <w:vAlign w:val="center"/>
          </w:tcPr>
          <w:p>
            <w:pPr>
              <w:snapToGrid w:val="0"/>
              <w:spacing w:line="360" w:lineRule="auto"/>
              <w:jc w:val="center"/>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项目名称</w:t>
            </w:r>
          </w:p>
        </w:tc>
        <w:tc>
          <w:tcPr>
            <w:tcW w:w="1272" w:type="dxa"/>
            <w:vAlign w:val="center"/>
          </w:tcPr>
          <w:p>
            <w:pPr>
              <w:snapToGrid w:val="0"/>
              <w:spacing w:line="360" w:lineRule="auto"/>
              <w:jc w:val="center"/>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建设地点</w:t>
            </w:r>
          </w:p>
        </w:tc>
        <w:tc>
          <w:tcPr>
            <w:tcW w:w="886" w:type="dxa"/>
            <w:vAlign w:val="center"/>
          </w:tcPr>
          <w:p>
            <w:pPr>
              <w:snapToGrid w:val="0"/>
              <w:spacing w:line="360" w:lineRule="auto"/>
              <w:jc w:val="center"/>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建设单位</w:t>
            </w:r>
          </w:p>
        </w:tc>
        <w:tc>
          <w:tcPr>
            <w:tcW w:w="1275" w:type="dxa"/>
            <w:vAlign w:val="center"/>
          </w:tcPr>
          <w:p>
            <w:pPr>
              <w:snapToGrid w:val="0"/>
              <w:spacing w:line="360" w:lineRule="auto"/>
              <w:jc w:val="center"/>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环境影响评价机构</w:t>
            </w:r>
          </w:p>
        </w:tc>
        <w:tc>
          <w:tcPr>
            <w:tcW w:w="2310" w:type="dxa"/>
            <w:vAlign w:val="center"/>
          </w:tcPr>
          <w:p>
            <w:pPr>
              <w:snapToGrid w:val="0"/>
              <w:spacing w:line="360" w:lineRule="auto"/>
              <w:jc w:val="center"/>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项目概况</w:t>
            </w:r>
          </w:p>
        </w:tc>
        <w:tc>
          <w:tcPr>
            <w:tcW w:w="5345" w:type="dxa"/>
            <w:vAlign w:val="center"/>
          </w:tcPr>
          <w:p>
            <w:pPr>
              <w:snapToGrid w:val="0"/>
              <w:spacing w:line="360" w:lineRule="auto"/>
              <w:jc w:val="center"/>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主要环境影响和环境保护对策与措施</w:t>
            </w:r>
          </w:p>
        </w:tc>
        <w:tc>
          <w:tcPr>
            <w:tcW w:w="709" w:type="dxa"/>
            <w:vAlign w:val="center"/>
          </w:tcPr>
          <w:p>
            <w:pPr>
              <w:snapToGrid w:val="0"/>
              <w:spacing w:line="360" w:lineRule="auto"/>
              <w:jc w:val="center"/>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相关部门意见</w:t>
            </w:r>
          </w:p>
        </w:tc>
        <w:tc>
          <w:tcPr>
            <w:tcW w:w="1176" w:type="dxa"/>
            <w:vAlign w:val="center"/>
          </w:tcPr>
          <w:p>
            <w:pPr>
              <w:snapToGrid w:val="0"/>
              <w:spacing w:line="360" w:lineRule="auto"/>
              <w:jc w:val="center"/>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建设单位开展的公众参与情况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1" w:hRule="atLeast"/>
        </w:trPr>
        <w:tc>
          <w:tcPr>
            <w:tcW w:w="501" w:type="dxa"/>
            <w:vAlign w:val="center"/>
          </w:tcPr>
          <w:p>
            <w:pPr>
              <w:snapToGrid w:val="0"/>
              <w:spacing w:line="360" w:lineRule="auto"/>
              <w:jc w:val="left"/>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1</w:t>
            </w:r>
          </w:p>
        </w:tc>
        <w:tc>
          <w:tcPr>
            <w:tcW w:w="1277" w:type="dxa"/>
            <w:vAlign w:val="center"/>
          </w:tcPr>
          <w:p>
            <w:pPr>
              <w:snapToGrid w:val="0"/>
              <w:spacing w:line="360" w:lineRule="auto"/>
              <w:jc w:val="center"/>
              <w:textAlignment w:val="baseline"/>
              <w:rPr>
                <w:rFonts w:hint="default" w:ascii="宋体" w:hAnsi="宋体" w:eastAsia="宋体" w:cs="Times New Roman"/>
                <w:bCs/>
                <w:sz w:val="20"/>
                <w:szCs w:val="20"/>
                <w:lang w:val="en-US" w:eastAsia="zh-CN"/>
              </w:rPr>
            </w:pPr>
            <w:r>
              <w:rPr>
                <w:rFonts w:hint="default" w:ascii="宋体" w:hAnsi="宋体" w:eastAsia="宋体" w:cs="Times New Roman"/>
                <w:bCs/>
                <w:sz w:val="20"/>
                <w:szCs w:val="20"/>
                <w:lang w:val="en-US" w:eastAsia="zh-CN"/>
              </w:rPr>
              <w:t>丰都回山坪扩建分散式风电项目（重新报批）</w:t>
            </w:r>
          </w:p>
        </w:tc>
        <w:tc>
          <w:tcPr>
            <w:tcW w:w="1272" w:type="dxa"/>
            <w:vAlign w:val="center"/>
          </w:tcPr>
          <w:p>
            <w:pPr>
              <w:snapToGrid w:val="0"/>
              <w:spacing w:line="360" w:lineRule="auto"/>
              <w:jc w:val="center"/>
              <w:textAlignment w:val="baseline"/>
              <w:rPr>
                <w:rFonts w:hint="default" w:ascii="宋体" w:hAnsi="宋体" w:eastAsia="宋体" w:cs="Times New Roman"/>
                <w:bCs/>
                <w:sz w:val="20"/>
                <w:szCs w:val="20"/>
                <w:lang w:val="en-US" w:eastAsia="zh-CN"/>
              </w:rPr>
            </w:pPr>
            <w:r>
              <w:rPr>
                <w:rFonts w:hint="default" w:ascii="宋体" w:hAnsi="宋体" w:eastAsia="宋体" w:cs="Times New Roman"/>
                <w:bCs/>
                <w:sz w:val="20"/>
                <w:szCs w:val="20"/>
                <w:lang w:val="en-US" w:eastAsia="zh-CN"/>
              </w:rPr>
              <w:t>重庆市丰都县</w:t>
            </w:r>
            <w:r>
              <w:rPr>
                <w:rFonts w:hint="eastAsia" w:ascii="宋体" w:hAnsi="宋体" w:eastAsia="宋体" w:cs="Times New Roman"/>
                <w:bCs/>
                <w:sz w:val="20"/>
                <w:szCs w:val="20"/>
                <w:lang w:val="en-US" w:eastAsia="zh-CN"/>
              </w:rPr>
              <w:t>-</w:t>
            </w:r>
            <w:r>
              <w:rPr>
                <w:rFonts w:hint="default" w:ascii="宋体" w:hAnsi="宋体" w:eastAsia="宋体" w:cs="Times New Roman"/>
                <w:bCs/>
                <w:sz w:val="20"/>
                <w:szCs w:val="20"/>
                <w:lang w:val="en-US" w:eastAsia="zh-CN"/>
              </w:rPr>
              <w:t>武平镇、太平坝乡</w:t>
            </w:r>
          </w:p>
        </w:tc>
        <w:tc>
          <w:tcPr>
            <w:tcW w:w="886" w:type="dxa"/>
            <w:vAlign w:val="center"/>
          </w:tcPr>
          <w:p>
            <w:pPr>
              <w:snapToGrid w:val="0"/>
              <w:spacing w:line="360" w:lineRule="auto"/>
              <w:jc w:val="left"/>
              <w:textAlignment w:val="baseline"/>
              <w:rPr>
                <w:rFonts w:hint="default" w:ascii="宋体" w:hAnsi="宋体" w:eastAsia="宋体" w:cs="Times New Roman"/>
                <w:bCs/>
                <w:sz w:val="20"/>
                <w:szCs w:val="20"/>
                <w:lang w:val="en-US" w:eastAsia="zh-CN"/>
              </w:rPr>
            </w:pPr>
            <w:r>
              <w:rPr>
                <w:rFonts w:hint="default" w:ascii="宋体" w:hAnsi="宋体" w:eastAsia="宋体" w:cs="Times New Roman"/>
                <w:bCs/>
                <w:sz w:val="20"/>
                <w:szCs w:val="20"/>
                <w:lang w:val="en-US" w:eastAsia="zh-CN"/>
              </w:rPr>
              <w:t>国能重庆市丰都县新能源开发有限公司</w:t>
            </w:r>
          </w:p>
        </w:tc>
        <w:tc>
          <w:tcPr>
            <w:tcW w:w="1275" w:type="dxa"/>
            <w:vAlign w:val="center"/>
          </w:tcPr>
          <w:p>
            <w:pPr>
              <w:snapToGrid w:val="0"/>
              <w:spacing w:line="360" w:lineRule="auto"/>
              <w:jc w:val="left"/>
              <w:textAlignment w:val="baseline"/>
              <w:rPr>
                <w:rFonts w:hint="default"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中煤科工重庆设计研究院（集团）有限公司</w:t>
            </w:r>
          </w:p>
        </w:tc>
        <w:tc>
          <w:tcPr>
            <w:tcW w:w="2310" w:type="dxa"/>
            <w:vAlign w:val="center"/>
          </w:tcPr>
          <w:p>
            <w:pPr>
              <w:snapToGrid w:val="0"/>
              <w:spacing w:line="360" w:lineRule="auto"/>
              <w:jc w:val="left"/>
              <w:textAlignment w:val="baseline"/>
              <w:rPr>
                <w:rFonts w:hint="default" w:ascii="宋体" w:hAnsi="宋体" w:eastAsia="宋体" w:cs="Times New Roman"/>
                <w:bCs/>
                <w:sz w:val="20"/>
                <w:szCs w:val="20"/>
                <w:lang w:val="en-US" w:eastAsia="zh-CN"/>
              </w:rPr>
            </w:pPr>
            <w:r>
              <w:rPr>
                <w:rFonts w:hint="default" w:ascii="宋体" w:hAnsi="宋体" w:eastAsia="宋体" w:cs="Times New Roman"/>
                <w:bCs/>
                <w:sz w:val="20"/>
                <w:szCs w:val="20"/>
                <w:lang w:val="en-US" w:eastAsia="zh-CN"/>
              </w:rPr>
              <w:t>拟安装5台6.25MW的WTG3型风力发电机组，配套建设5台箱式变电站，总装机容量为31.25MW。对一期110kV升压站进行主变增容改造，新建1回35kV集电线路接入一期升压站。</w:t>
            </w:r>
          </w:p>
        </w:tc>
        <w:tc>
          <w:tcPr>
            <w:tcW w:w="5345" w:type="dxa"/>
            <w:vAlign w:val="center"/>
          </w:tcPr>
          <w:p>
            <w:pPr>
              <w:widowControl w:val="0"/>
              <w:numPr>
                <w:ilvl w:val="0"/>
                <w:numId w:val="0"/>
              </w:numPr>
              <w:tabs>
                <w:tab w:val="clear" w:pos="1620"/>
                <w:tab w:val="clear" w:pos="2040"/>
              </w:tabs>
              <w:snapToGrid w:val="0"/>
              <w:spacing w:line="360" w:lineRule="auto"/>
              <w:ind w:leftChars="0"/>
              <w:jc w:val="left"/>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施工期环境影响</w:t>
            </w:r>
          </w:p>
          <w:p>
            <w:pPr>
              <w:widowControl w:val="0"/>
              <w:numPr>
                <w:ilvl w:val="0"/>
                <w:numId w:val="5"/>
              </w:numPr>
              <w:snapToGrid w:val="0"/>
              <w:spacing w:line="360" w:lineRule="auto"/>
              <w:ind w:leftChars="0"/>
              <w:jc w:val="left"/>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生态环境影响：项目施工期对生态环境的影响主要表现在工程占地对植被的破坏，施工活动引起的生境破坏、水土流失以及对动物的惊扰等。项目通过采取严禁超界施工、缩短挖填土石方的堆置时间、设临时挡土墙和排水沟、施工结束后要及时复植等一系列措施可有效减小项目建设对生态环境的影响。</w:t>
            </w:r>
          </w:p>
          <w:p>
            <w:pPr>
              <w:widowControl w:val="0"/>
              <w:numPr>
                <w:ilvl w:val="0"/>
                <w:numId w:val="5"/>
              </w:numPr>
              <w:snapToGrid w:val="0"/>
              <w:spacing w:line="360" w:lineRule="auto"/>
              <w:ind w:leftChars="0"/>
              <w:jc w:val="left"/>
              <w:textAlignment w:val="baseline"/>
              <w:rPr>
                <w:rFonts w:hint="default"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地表水环境影响：项目施工期产生的废水主要为施工废水、施工人员生活污水等，通过采取施工期生产废水收集，沉淀隔油处理后回用；施工人员生活污水处置后用于农用；严格控制施工活动范围，设置截排水沟，施工期废水、固废等未排入饮用水源保护区等措施可有效降低对地表水环境的影响。</w:t>
            </w:r>
          </w:p>
          <w:p>
            <w:pPr>
              <w:widowControl w:val="0"/>
              <w:numPr>
                <w:ilvl w:val="0"/>
                <w:numId w:val="5"/>
              </w:numPr>
              <w:snapToGrid w:val="0"/>
              <w:spacing w:line="360" w:lineRule="auto"/>
              <w:ind w:leftChars="0"/>
              <w:jc w:val="left"/>
              <w:textAlignment w:val="baseline"/>
              <w:rPr>
                <w:rFonts w:hint="default"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声环境影响：项目施工期产生的噪声通过采取合理布局高噪声设备，采用先进施工机械，加强设备维护保养、加强运输车辆管理，合理安排施工时间等措施可有效降低对声环境的影响。</w:t>
            </w:r>
          </w:p>
          <w:p>
            <w:pPr>
              <w:widowControl w:val="0"/>
              <w:numPr>
                <w:ilvl w:val="0"/>
                <w:numId w:val="5"/>
              </w:numPr>
              <w:snapToGrid w:val="0"/>
              <w:spacing w:line="360" w:lineRule="auto"/>
              <w:ind w:leftChars="0"/>
              <w:jc w:val="left"/>
              <w:textAlignment w:val="baseline"/>
              <w:rPr>
                <w:rFonts w:hint="default"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大气环境影响：项目施工期对大气环境的影响主要为施工扬尘、汽车尾气等对周边环境的影响，通过采取定时进行洒水降尘；渣土运输车辆密闭或加盖篷布；选用尾气排放合格的机械设备和车辆并加强维护；砂石料堆场设置围墙、防风抑尘网和防雨顶棚等措施可有效降低项目施工对周边大气环境的影响。</w:t>
            </w:r>
          </w:p>
          <w:p>
            <w:pPr>
              <w:widowControl w:val="0"/>
              <w:numPr>
                <w:ilvl w:val="0"/>
                <w:numId w:val="5"/>
              </w:numPr>
              <w:snapToGrid w:val="0"/>
              <w:spacing w:line="360" w:lineRule="auto"/>
              <w:ind w:leftChars="0"/>
              <w:jc w:val="left"/>
              <w:textAlignment w:val="baseline"/>
              <w:rPr>
                <w:rFonts w:hint="default"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固体废物：项目产的弃渣运输至弃渣场堆放，同时做好相应的分层压实、拦挡等水土保持措施；生活垃圾设置垃圾桶收集，定期清运，对周边环境影响较小。</w:t>
            </w:r>
          </w:p>
          <w:p>
            <w:pPr>
              <w:widowControl w:val="0"/>
              <w:numPr>
                <w:ilvl w:val="0"/>
                <w:numId w:val="0"/>
              </w:numPr>
              <w:tabs>
                <w:tab w:val="clear" w:pos="1620"/>
                <w:tab w:val="clear" w:pos="2040"/>
              </w:tabs>
              <w:snapToGrid w:val="0"/>
              <w:spacing w:line="360" w:lineRule="auto"/>
              <w:jc w:val="left"/>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运营期环境影响</w:t>
            </w:r>
          </w:p>
          <w:p>
            <w:pPr>
              <w:widowControl w:val="0"/>
              <w:numPr>
                <w:ilvl w:val="0"/>
                <w:numId w:val="6"/>
              </w:numPr>
              <w:snapToGrid w:val="0"/>
              <w:spacing w:line="360" w:lineRule="auto"/>
              <w:jc w:val="left"/>
              <w:textAlignment w:val="baseline"/>
              <w:rPr>
                <w:rFonts w:hint="eastAsia"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生态环境影响：项目运营期对生态环境的影响主要为风机转动对周边动物的影响，通过采取在风机的叶片、塔架的护套上涂上能吸引鸟类注意力的反射紫外线涂层和颜色醒目的警戒色，加强对风机平台和道路边坡绿化植被生长初期管护工作，确保其成活率等措施可有效控制对周边生态环境的影响。</w:t>
            </w:r>
          </w:p>
          <w:p>
            <w:pPr>
              <w:widowControl w:val="0"/>
              <w:numPr>
                <w:ilvl w:val="0"/>
                <w:numId w:val="6"/>
              </w:numPr>
              <w:snapToGrid w:val="0"/>
              <w:spacing w:line="360" w:lineRule="auto"/>
              <w:jc w:val="left"/>
              <w:textAlignment w:val="baseline"/>
              <w:rPr>
                <w:rFonts w:hint="default" w:ascii="宋体" w:hAnsi="宋体" w:eastAsia="宋体" w:cs="Times New Roman"/>
                <w:bCs/>
                <w:sz w:val="20"/>
                <w:szCs w:val="20"/>
                <w:lang w:val="en-US" w:eastAsia="zh-CN"/>
              </w:rPr>
            </w:pPr>
            <w:r>
              <w:rPr>
                <w:rFonts w:hint="default" w:ascii="宋体" w:hAnsi="宋体" w:eastAsia="宋体" w:cs="Times New Roman"/>
                <w:bCs/>
                <w:sz w:val="20"/>
                <w:szCs w:val="20"/>
                <w:lang w:val="en-US" w:eastAsia="zh-CN"/>
              </w:rPr>
              <w:t>地表水环境影响</w:t>
            </w:r>
            <w:r>
              <w:rPr>
                <w:rFonts w:hint="eastAsia" w:ascii="宋体" w:hAnsi="宋体" w:eastAsia="宋体" w:cs="Times New Roman"/>
                <w:bCs/>
                <w:sz w:val="20"/>
                <w:szCs w:val="20"/>
                <w:lang w:val="en-US" w:eastAsia="zh-CN"/>
              </w:rPr>
              <w:t>：本项目不新增劳动定员，不新增生活污水。</w:t>
            </w:r>
          </w:p>
          <w:p>
            <w:pPr>
              <w:widowControl w:val="0"/>
              <w:numPr>
                <w:ilvl w:val="0"/>
                <w:numId w:val="6"/>
              </w:numPr>
              <w:snapToGrid w:val="0"/>
              <w:spacing w:line="360" w:lineRule="auto"/>
              <w:jc w:val="left"/>
              <w:textAlignment w:val="baseline"/>
              <w:rPr>
                <w:rFonts w:hint="default"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声环境影响：本项目运营期主要噪声源主要为风力发电机组的运行噪声以及升压站运行噪声。通过采取减震、隔声，优选低噪声设备等措施可有效降低其对声环境的影响。</w:t>
            </w:r>
          </w:p>
          <w:p>
            <w:pPr>
              <w:widowControl w:val="0"/>
              <w:numPr>
                <w:ilvl w:val="0"/>
                <w:numId w:val="6"/>
              </w:numPr>
              <w:snapToGrid w:val="0"/>
              <w:spacing w:line="360" w:lineRule="auto"/>
              <w:jc w:val="left"/>
              <w:textAlignment w:val="baseline"/>
              <w:rPr>
                <w:rFonts w:hint="default"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固体废物：项目废含油棉纱手套、废润滑油暂存于危废贮存点，定期委托有资质单位处置；变压器油滤渣、废变压器油产生后直接交由有资质的单位进行处置。采取上述措施后，产生的固体废物得到妥善处置。</w:t>
            </w:r>
          </w:p>
          <w:p>
            <w:pPr>
              <w:widowControl w:val="0"/>
              <w:numPr>
                <w:ilvl w:val="0"/>
                <w:numId w:val="6"/>
              </w:numPr>
              <w:snapToGrid w:val="0"/>
              <w:spacing w:line="360" w:lineRule="auto"/>
              <w:jc w:val="left"/>
              <w:textAlignment w:val="baseline"/>
              <w:rPr>
                <w:rFonts w:hint="default"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电磁环境影响：项目对升压站的电气设备进行合理布局，保证导体和电气设备安全距离，选用具有抗干扰能力的设备，设置防雷接地保护装置。采取上述措施后对电磁环境影响可接受。</w:t>
            </w:r>
          </w:p>
        </w:tc>
        <w:tc>
          <w:tcPr>
            <w:tcW w:w="709" w:type="dxa"/>
            <w:vAlign w:val="center"/>
          </w:tcPr>
          <w:p>
            <w:pPr>
              <w:snapToGrid w:val="0"/>
              <w:spacing w:line="360" w:lineRule="auto"/>
              <w:jc w:val="left"/>
              <w:textAlignment w:val="baseline"/>
              <w:rPr>
                <w:rFonts w:hint="default" w:ascii="宋体" w:hAnsi="宋体" w:eastAsia="宋体" w:cs="Times New Roman"/>
                <w:bCs/>
                <w:sz w:val="20"/>
                <w:szCs w:val="20"/>
                <w:lang w:val="en-US" w:eastAsia="zh-CN"/>
              </w:rPr>
            </w:pPr>
            <w:r>
              <w:rPr>
                <w:rFonts w:hint="eastAsia" w:ascii="宋体" w:hAnsi="宋体" w:eastAsia="宋体" w:cs="Times New Roman"/>
                <w:bCs/>
                <w:sz w:val="20"/>
                <w:szCs w:val="20"/>
                <w:lang w:val="en-US" w:eastAsia="zh-CN"/>
              </w:rPr>
              <w:t>重庆市发展和改革委员会核准</w:t>
            </w:r>
          </w:p>
        </w:tc>
        <w:tc>
          <w:tcPr>
            <w:tcW w:w="1176" w:type="dxa"/>
            <w:vAlign w:val="center"/>
          </w:tcPr>
          <w:p>
            <w:pPr>
              <w:snapToGrid w:val="0"/>
              <w:spacing w:line="360" w:lineRule="auto"/>
              <w:jc w:val="center"/>
              <w:textAlignment w:val="baseline"/>
              <w:rPr>
                <w:rFonts w:hint="default" w:ascii="宋体" w:hAnsi="宋体" w:eastAsia="宋体" w:cs="Times New Roman"/>
                <w:bCs/>
                <w:sz w:val="20"/>
                <w:szCs w:val="20"/>
                <w:lang w:val="en-US" w:eastAsia="zh-CN"/>
              </w:rPr>
            </w:pPr>
            <w:r>
              <w:rPr>
                <w:rFonts w:hint="eastAsia" w:ascii="宋体" w:hAnsi="宋体" w:eastAsia="宋体" w:cs="Times New Roman"/>
                <w:bCs/>
                <w:color w:val="auto"/>
                <w:sz w:val="20"/>
                <w:szCs w:val="20"/>
                <w:highlight w:val="none"/>
                <w:lang w:val="en-US" w:eastAsia="zh-CN"/>
              </w:rPr>
              <w:t>无</w:t>
            </w:r>
          </w:p>
        </w:tc>
      </w:tr>
    </w:tbl>
    <w:p>
      <w:pPr>
        <w:snapToGrid w:val="0"/>
        <w:spacing w:line="360" w:lineRule="auto"/>
        <w:jc w:val="left"/>
        <w:textAlignment w:val="baseline"/>
        <w:rPr>
          <w:rFonts w:hint="eastAsia" w:ascii="宋体" w:hAnsi="宋体" w:eastAsia="宋体" w:cs="Times New Roman"/>
          <w:bCs/>
          <w:sz w:val="20"/>
          <w:szCs w:val="20"/>
          <w:lang w:val="en-US" w:eastAsia="zh-CN"/>
        </w:rPr>
      </w:pPr>
    </w:p>
    <w:sectPr>
      <w:headerReference r:id="rId3" w:type="default"/>
      <w:pgSz w:w="16838" w:h="11906" w:orient="landscape"/>
      <w:pgMar w:top="1797" w:right="1440" w:bottom="1797" w:left="144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decorative"/>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924517656">
    <w:nsid w:val="E9EB6318"/>
    <w:multiLevelType w:val="singleLevel"/>
    <w:tmpl w:val="E9EB6318"/>
    <w:lvl w:ilvl="0" w:tentative="1">
      <w:start w:val="1"/>
      <w:numFmt w:val="bullet"/>
      <w:pStyle w:val="6"/>
      <w:lvlText w:val=""/>
      <w:lvlJc w:val="left"/>
      <w:pPr>
        <w:tabs>
          <w:tab w:val="left" w:pos="1620"/>
        </w:tabs>
        <w:ind w:left="1620" w:hanging="360"/>
      </w:pPr>
      <w:rPr>
        <w:rFonts w:hint="default" w:ascii="Wingdings" w:hAnsi="Wingdings"/>
      </w:rPr>
    </w:lvl>
  </w:abstractNum>
  <w:abstractNum w:abstractNumId="165777474">
    <w:nsid w:val="09E19042"/>
    <w:multiLevelType w:val="singleLevel"/>
    <w:tmpl w:val="09E19042"/>
    <w:lvl w:ilvl="0" w:tentative="1">
      <w:start w:val="1"/>
      <w:numFmt w:val="bullet"/>
      <w:pStyle w:val="10"/>
      <w:lvlText w:val=""/>
      <w:lvlJc w:val="left"/>
      <w:pPr>
        <w:tabs>
          <w:tab w:val="left" w:pos="2040"/>
        </w:tabs>
        <w:ind w:left="2040" w:hanging="360"/>
      </w:pPr>
      <w:rPr>
        <w:rFonts w:hint="default" w:ascii="Wingdings" w:hAnsi="Wingdings"/>
      </w:rPr>
    </w:lvl>
  </w:abstractNum>
  <w:abstractNum w:abstractNumId="2637331676">
    <w:nsid w:val="9D327CDC"/>
    <w:multiLevelType w:val="multilevel"/>
    <w:tmpl w:val="9D327CDC"/>
    <w:lvl w:ilvl="0" w:tentative="1">
      <w:start w:val="1"/>
      <w:numFmt w:val="decimal"/>
      <w:lvlText w:val="%1."/>
      <w:lvlJc w:val="left"/>
      <w:pPr>
        <w:ind w:left="432" w:hanging="432"/>
      </w:pPr>
      <w:rPr>
        <w:rFonts w:hint="default"/>
      </w:rPr>
    </w:lvl>
    <w:lvl w:ilvl="1" w:tentative="1">
      <w:start w:val="1"/>
      <w:numFmt w:val="decimal"/>
      <w:lvlText w:val="%1.%2."/>
      <w:lvlJc w:val="left"/>
      <w:pPr>
        <w:ind w:left="575" w:hanging="575"/>
      </w:pPr>
      <w:rPr>
        <w:rFonts w:hint="default"/>
      </w:rPr>
    </w:lvl>
    <w:lvl w:ilvl="2" w:tentative="1">
      <w:start w:val="1"/>
      <w:numFmt w:val="decimal"/>
      <w:pStyle w:val="3"/>
      <w:lvlText w:val="%1.%2.%3."/>
      <w:lvlJc w:val="left"/>
      <w:pPr>
        <w:ind w:left="720" w:hanging="720"/>
      </w:pPr>
      <w:rPr>
        <w:rFonts w:hint="default"/>
      </w:rPr>
    </w:lvl>
    <w:lvl w:ilvl="3" w:tentative="1">
      <w:start w:val="1"/>
      <w:numFmt w:val="decimal"/>
      <w:lvlText w:val="%1.%2.%3.%4."/>
      <w:lvlJc w:val="left"/>
      <w:pPr>
        <w:ind w:left="864" w:hanging="864"/>
      </w:pPr>
      <w:rPr>
        <w:rFonts w:hint="default"/>
      </w:rPr>
    </w:lvl>
    <w:lvl w:ilvl="4" w:tentative="1">
      <w:start w:val="1"/>
      <w:numFmt w:val="decimal"/>
      <w:lvlText w:val="%1.%2.%3.%4.%5."/>
      <w:lvlJc w:val="left"/>
      <w:pPr>
        <w:ind w:left="1008" w:hanging="1008"/>
      </w:pPr>
      <w:rPr>
        <w:rFonts w:hint="default"/>
      </w:rPr>
    </w:lvl>
    <w:lvl w:ilvl="5" w:tentative="1">
      <w:start w:val="1"/>
      <w:numFmt w:val="decimal"/>
      <w:lvlText w:val="%1.%2.%3.%4.%5.%6."/>
      <w:lvlJc w:val="left"/>
      <w:pPr>
        <w:ind w:left="1151" w:hanging="1151"/>
      </w:pPr>
      <w:rPr>
        <w:rFonts w:hint="default"/>
      </w:rPr>
    </w:lvl>
    <w:lvl w:ilvl="6" w:tentative="1">
      <w:start w:val="1"/>
      <w:numFmt w:val="decimal"/>
      <w:lvlText w:val="%1.%2.%3.%4.%5.%6.%7."/>
      <w:lvlJc w:val="left"/>
      <w:pPr>
        <w:ind w:left="1296" w:hanging="1296"/>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583" w:hanging="1583"/>
      </w:pPr>
      <w:rPr>
        <w:rFonts w:hint="default"/>
      </w:rPr>
    </w:lvl>
  </w:abstractNum>
  <w:abstractNum w:abstractNumId="2382139896">
    <w:nsid w:val="8DFC91F8"/>
    <w:multiLevelType w:val="multilevel"/>
    <w:tmpl w:val="8DFC91F8"/>
    <w:lvl w:ilvl="0" w:tentative="1">
      <w:start w:val="1"/>
      <w:numFmt w:val="decimal"/>
      <w:lvlText w:val="%1."/>
      <w:legacy w:legacy="1" w:legacySpace="0" w:legacyIndent="0"/>
      <w:lvlJc w:val="left"/>
      <w:pPr>
        <w:ind w:left="0" w:firstLine="0"/>
      </w:pPr>
    </w:lvl>
    <w:lvl w:ilvl="1" w:tentative="1">
      <w:start w:val="1"/>
      <w:numFmt w:val="decimal"/>
      <w:pStyle w:val="2"/>
      <w:lvlText w:val="%1.%2"/>
      <w:legacy w:legacy="1" w:legacySpace="0" w:legacyIndent="0"/>
      <w:lvlJc w:val="left"/>
      <w:pPr>
        <w:ind w:left="0" w:firstLine="0"/>
      </w:pPr>
    </w:lvl>
    <w:lvl w:ilvl="2" w:tentative="1">
      <w:start w:val="1"/>
      <w:numFmt w:val="decimal"/>
      <w:lvlText w:val="%1.%2.%3"/>
      <w:legacy w:legacy="1" w:legacySpace="0" w:legacyIndent="0"/>
      <w:lvlJc w:val="left"/>
      <w:pPr>
        <w:ind w:left="0" w:firstLine="0"/>
      </w:pPr>
    </w:lvl>
    <w:lvl w:ilvl="3" w:tentative="1">
      <w:start w:val="1"/>
      <w:numFmt w:val="decimal"/>
      <w:lvlText w:val="%1.%2.%3.%4"/>
      <w:legacy w:legacy="1" w:legacySpace="0" w:legacyIndent="0"/>
      <w:lvlJc w:val="left"/>
      <w:pPr>
        <w:ind w:left="0" w:firstLine="0"/>
      </w:pPr>
    </w:lvl>
    <w:lvl w:ilvl="4" w:tentative="1">
      <w:start w:val="1"/>
      <w:numFmt w:val="decimal"/>
      <w:lvlText w:val="%1.%2.%3.%4.%5"/>
      <w:legacy w:legacy="1" w:legacySpace="0" w:legacyIndent="0"/>
      <w:lvlJc w:val="left"/>
      <w:pPr>
        <w:ind w:left="0" w:firstLine="0"/>
      </w:pPr>
    </w:lvl>
    <w:lvl w:ilvl="5" w:tentative="1">
      <w:start w:val="1"/>
      <w:numFmt w:val="decimal"/>
      <w:lvlText w:val="%1.%2.%3.%4.%5.%6"/>
      <w:legacy w:legacy="1" w:legacySpace="0" w:legacyIndent="0"/>
      <w:lvlJc w:val="left"/>
      <w:pPr>
        <w:ind w:left="0" w:firstLine="0"/>
      </w:pPr>
    </w:lvl>
    <w:lvl w:ilvl="6" w:tentative="1">
      <w:start w:val="1"/>
      <w:numFmt w:val="decimal"/>
      <w:lvlText w:val="%1.%2.%3.%4.%5.%6.%7"/>
      <w:legacy w:legacy="1" w:legacySpace="0" w:legacyIndent="0"/>
      <w:lvlJc w:val="left"/>
      <w:pPr>
        <w:ind w:left="0" w:firstLine="0"/>
      </w:pPr>
    </w:lvl>
    <w:lvl w:ilvl="7" w:tentative="1">
      <w:start w:val="1"/>
      <w:numFmt w:val="decimal"/>
      <w:lvlText w:val="%1.%2.%3.%4.%5.%6.%7.%8"/>
      <w:legacy w:legacy="1" w:legacySpace="0" w:legacyIndent="0"/>
      <w:lvlJc w:val="left"/>
      <w:pPr>
        <w:ind w:left="0" w:firstLine="0"/>
      </w:pPr>
    </w:lvl>
    <w:lvl w:ilvl="8" w:tentative="1">
      <w:start w:val="1"/>
      <w:numFmt w:val="decimal"/>
      <w:lvlText w:val="%1.%2.%3.%4.%5.%6.%7.%8.%9"/>
      <w:legacy w:legacy="1" w:legacySpace="0" w:legacyIndent="0"/>
      <w:lvlJc w:val="left"/>
      <w:pPr>
        <w:ind w:left="0" w:firstLine="0"/>
      </w:pPr>
    </w:lvl>
  </w:abstractNum>
  <w:abstractNum w:abstractNumId="3140674608">
    <w:nsid w:val="BB32E430"/>
    <w:multiLevelType w:val="singleLevel"/>
    <w:tmpl w:val="BB32E430"/>
    <w:lvl w:ilvl="0" w:tentative="1">
      <w:start w:val="1"/>
      <w:numFmt w:val="decimal"/>
      <w:suff w:val="nothing"/>
      <w:lvlText w:val="%1、"/>
      <w:lvlJc w:val="left"/>
    </w:lvl>
  </w:abstractNum>
  <w:abstractNum w:abstractNumId="2279249808">
    <w:nsid w:val="87DA9790"/>
    <w:multiLevelType w:val="singleLevel"/>
    <w:tmpl w:val="87DA9790"/>
    <w:lvl w:ilvl="0" w:tentative="1">
      <w:start w:val="1"/>
      <w:numFmt w:val="decimal"/>
      <w:suff w:val="nothing"/>
      <w:lvlText w:val="%1、"/>
      <w:lvlJc w:val="left"/>
    </w:lvl>
  </w:abstractNum>
  <w:num w:numId="1">
    <w:abstractNumId w:val="2382139896"/>
  </w:num>
  <w:num w:numId="2">
    <w:abstractNumId w:val="2637331676"/>
  </w:num>
  <w:num w:numId="3">
    <w:abstractNumId w:val="3924517656"/>
  </w:num>
  <w:num w:numId="4">
    <w:abstractNumId w:val="165777474"/>
  </w:num>
  <w:num w:numId="5">
    <w:abstractNumId w:val="3140674608"/>
  </w:num>
  <w:num w:numId="6">
    <w:abstractNumId w:val="22792498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hyphenationZone w:val="360"/>
  <w:drawingGridHorizontalSpacing w:val="1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ZTNlOWFjNmU1ZmYxY2Q4M2UyZjdmYjM0OTNlNjEifQ=="/>
    <w:docVar w:name="KSO_WPS_MARK_KEY" w:val="eafa40a7-47a0-41b9-8266-276fb260fddd"/>
  </w:docVars>
  <w:rsids>
    <w:rsidRoot w:val="5F6E3699"/>
    <w:rsid w:val="00001BE4"/>
    <w:rsid w:val="00021FCD"/>
    <w:rsid w:val="00034299"/>
    <w:rsid w:val="00057BA8"/>
    <w:rsid w:val="00066E78"/>
    <w:rsid w:val="00082C4E"/>
    <w:rsid w:val="00087864"/>
    <w:rsid w:val="00095F5A"/>
    <w:rsid w:val="000A4D43"/>
    <w:rsid w:val="000C3FCC"/>
    <w:rsid w:val="000F2FC2"/>
    <w:rsid w:val="000F7FEF"/>
    <w:rsid w:val="0010151F"/>
    <w:rsid w:val="00146ACC"/>
    <w:rsid w:val="00183484"/>
    <w:rsid w:val="001868A2"/>
    <w:rsid w:val="001A05AC"/>
    <w:rsid w:val="001A2156"/>
    <w:rsid w:val="001B5B59"/>
    <w:rsid w:val="001C6D42"/>
    <w:rsid w:val="001D15DF"/>
    <w:rsid w:val="00201839"/>
    <w:rsid w:val="0022574A"/>
    <w:rsid w:val="002354D9"/>
    <w:rsid w:val="00251D92"/>
    <w:rsid w:val="00256F02"/>
    <w:rsid w:val="00277DB6"/>
    <w:rsid w:val="00290FD4"/>
    <w:rsid w:val="002A497E"/>
    <w:rsid w:val="002A7412"/>
    <w:rsid w:val="002B5B56"/>
    <w:rsid w:val="002C429B"/>
    <w:rsid w:val="002D6826"/>
    <w:rsid w:val="002F2CA8"/>
    <w:rsid w:val="003034D0"/>
    <w:rsid w:val="0031378D"/>
    <w:rsid w:val="00332D6F"/>
    <w:rsid w:val="00354BA7"/>
    <w:rsid w:val="00376C3C"/>
    <w:rsid w:val="0038048B"/>
    <w:rsid w:val="00380FFD"/>
    <w:rsid w:val="003A2586"/>
    <w:rsid w:val="003A43FC"/>
    <w:rsid w:val="003C1B65"/>
    <w:rsid w:val="003C52FB"/>
    <w:rsid w:val="003C6C32"/>
    <w:rsid w:val="003E7589"/>
    <w:rsid w:val="003E794F"/>
    <w:rsid w:val="004018A3"/>
    <w:rsid w:val="004018E3"/>
    <w:rsid w:val="004142CE"/>
    <w:rsid w:val="00435554"/>
    <w:rsid w:val="00464AE7"/>
    <w:rsid w:val="00467BD7"/>
    <w:rsid w:val="004A231D"/>
    <w:rsid w:val="004B71D3"/>
    <w:rsid w:val="004C0C1B"/>
    <w:rsid w:val="004C3CCF"/>
    <w:rsid w:val="004C4A42"/>
    <w:rsid w:val="004C5F83"/>
    <w:rsid w:val="004C6560"/>
    <w:rsid w:val="004C6CD1"/>
    <w:rsid w:val="004D0F05"/>
    <w:rsid w:val="004E67F7"/>
    <w:rsid w:val="004F7C25"/>
    <w:rsid w:val="00504E8C"/>
    <w:rsid w:val="005147A1"/>
    <w:rsid w:val="00531283"/>
    <w:rsid w:val="005348F9"/>
    <w:rsid w:val="00536C97"/>
    <w:rsid w:val="00543D96"/>
    <w:rsid w:val="00564CA6"/>
    <w:rsid w:val="00565169"/>
    <w:rsid w:val="00585895"/>
    <w:rsid w:val="0059709A"/>
    <w:rsid w:val="005A63D9"/>
    <w:rsid w:val="005C5AB2"/>
    <w:rsid w:val="005D08BB"/>
    <w:rsid w:val="005D131B"/>
    <w:rsid w:val="005F1A2D"/>
    <w:rsid w:val="00656230"/>
    <w:rsid w:val="00693C21"/>
    <w:rsid w:val="00696DBB"/>
    <w:rsid w:val="00697494"/>
    <w:rsid w:val="006A4E5A"/>
    <w:rsid w:val="006B0FA2"/>
    <w:rsid w:val="006B24DE"/>
    <w:rsid w:val="006D7778"/>
    <w:rsid w:val="006E3357"/>
    <w:rsid w:val="006E51E8"/>
    <w:rsid w:val="0071088D"/>
    <w:rsid w:val="0071429A"/>
    <w:rsid w:val="00743F32"/>
    <w:rsid w:val="00756B37"/>
    <w:rsid w:val="00773473"/>
    <w:rsid w:val="007956FE"/>
    <w:rsid w:val="007D6237"/>
    <w:rsid w:val="007E716B"/>
    <w:rsid w:val="00800E38"/>
    <w:rsid w:val="0082634D"/>
    <w:rsid w:val="00834218"/>
    <w:rsid w:val="008524B8"/>
    <w:rsid w:val="00873E71"/>
    <w:rsid w:val="00884768"/>
    <w:rsid w:val="008A17EC"/>
    <w:rsid w:val="008C1FB4"/>
    <w:rsid w:val="008C2B2B"/>
    <w:rsid w:val="008D048E"/>
    <w:rsid w:val="00907088"/>
    <w:rsid w:val="0094286A"/>
    <w:rsid w:val="0095025B"/>
    <w:rsid w:val="00962DD0"/>
    <w:rsid w:val="009808D3"/>
    <w:rsid w:val="00981C42"/>
    <w:rsid w:val="009832D6"/>
    <w:rsid w:val="00985AD6"/>
    <w:rsid w:val="00996DD0"/>
    <w:rsid w:val="009B774B"/>
    <w:rsid w:val="00A01515"/>
    <w:rsid w:val="00A21461"/>
    <w:rsid w:val="00A400B5"/>
    <w:rsid w:val="00A54C16"/>
    <w:rsid w:val="00A57509"/>
    <w:rsid w:val="00A655A8"/>
    <w:rsid w:val="00A96831"/>
    <w:rsid w:val="00AA021A"/>
    <w:rsid w:val="00AC43A5"/>
    <w:rsid w:val="00AC57FA"/>
    <w:rsid w:val="00B116DE"/>
    <w:rsid w:val="00B22266"/>
    <w:rsid w:val="00B23A48"/>
    <w:rsid w:val="00B24EF7"/>
    <w:rsid w:val="00B331B6"/>
    <w:rsid w:val="00B55C45"/>
    <w:rsid w:val="00B87E08"/>
    <w:rsid w:val="00BB0933"/>
    <w:rsid w:val="00BB562F"/>
    <w:rsid w:val="00BD5E0B"/>
    <w:rsid w:val="00C1532D"/>
    <w:rsid w:val="00C26CDD"/>
    <w:rsid w:val="00C31D10"/>
    <w:rsid w:val="00C4412D"/>
    <w:rsid w:val="00C62BD4"/>
    <w:rsid w:val="00C6753A"/>
    <w:rsid w:val="00C76E42"/>
    <w:rsid w:val="00CA29C0"/>
    <w:rsid w:val="00CB16FA"/>
    <w:rsid w:val="00D01A74"/>
    <w:rsid w:val="00D0724A"/>
    <w:rsid w:val="00D2699C"/>
    <w:rsid w:val="00D6142C"/>
    <w:rsid w:val="00D7610E"/>
    <w:rsid w:val="00D84EB0"/>
    <w:rsid w:val="00DB7CC4"/>
    <w:rsid w:val="00DD207D"/>
    <w:rsid w:val="00DE594F"/>
    <w:rsid w:val="00E00E85"/>
    <w:rsid w:val="00E16326"/>
    <w:rsid w:val="00E26936"/>
    <w:rsid w:val="00E301AE"/>
    <w:rsid w:val="00E502C0"/>
    <w:rsid w:val="00E6278C"/>
    <w:rsid w:val="00EA0850"/>
    <w:rsid w:val="00EA57EF"/>
    <w:rsid w:val="00EE2D4F"/>
    <w:rsid w:val="00EF3A57"/>
    <w:rsid w:val="00F104C4"/>
    <w:rsid w:val="00F2541B"/>
    <w:rsid w:val="00F4798B"/>
    <w:rsid w:val="00F5560D"/>
    <w:rsid w:val="00F56E93"/>
    <w:rsid w:val="00F6319A"/>
    <w:rsid w:val="00F77BB0"/>
    <w:rsid w:val="00F840CE"/>
    <w:rsid w:val="00F84146"/>
    <w:rsid w:val="00F97626"/>
    <w:rsid w:val="00FB7450"/>
    <w:rsid w:val="00FF1E19"/>
    <w:rsid w:val="00FF6254"/>
    <w:rsid w:val="023915F5"/>
    <w:rsid w:val="02E82D4B"/>
    <w:rsid w:val="034623EE"/>
    <w:rsid w:val="03F92894"/>
    <w:rsid w:val="048219E6"/>
    <w:rsid w:val="04903542"/>
    <w:rsid w:val="06085010"/>
    <w:rsid w:val="060D2D39"/>
    <w:rsid w:val="069732DA"/>
    <w:rsid w:val="07133C6D"/>
    <w:rsid w:val="0793576B"/>
    <w:rsid w:val="0854278F"/>
    <w:rsid w:val="08856DEC"/>
    <w:rsid w:val="08AC6127"/>
    <w:rsid w:val="08E35950"/>
    <w:rsid w:val="09412D13"/>
    <w:rsid w:val="096C66BD"/>
    <w:rsid w:val="09B2776D"/>
    <w:rsid w:val="0B7A250D"/>
    <w:rsid w:val="0BA37CB5"/>
    <w:rsid w:val="0BC5640F"/>
    <w:rsid w:val="0C120997"/>
    <w:rsid w:val="0DF77E44"/>
    <w:rsid w:val="0E371CC6"/>
    <w:rsid w:val="0F135152"/>
    <w:rsid w:val="0F4970AB"/>
    <w:rsid w:val="100D7DF3"/>
    <w:rsid w:val="11357601"/>
    <w:rsid w:val="113D3C20"/>
    <w:rsid w:val="116E48C1"/>
    <w:rsid w:val="11B20C52"/>
    <w:rsid w:val="11F36B75"/>
    <w:rsid w:val="12347254"/>
    <w:rsid w:val="12543AB7"/>
    <w:rsid w:val="132A02CD"/>
    <w:rsid w:val="13533D6F"/>
    <w:rsid w:val="13AC7923"/>
    <w:rsid w:val="140D6614"/>
    <w:rsid w:val="14537D9F"/>
    <w:rsid w:val="14E05AD6"/>
    <w:rsid w:val="15A03D06"/>
    <w:rsid w:val="16A81373"/>
    <w:rsid w:val="17920BDE"/>
    <w:rsid w:val="17D270F3"/>
    <w:rsid w:val="18532054"/>
    <w:rsid w:val="18D23988"/>
    <w:rsid w:val="18DF42F7"/>
    <w:rsid w:val="191044B0"/>
    <w:rsid w:val="193543EB"/>
    <w:rsid w:val="19F3005A"/>
    <w:rsid w:val="1A310B82"/>
    <w:rsid w:val="1A9133CF"/>
    <w:rsid w:val="1AF44089"/>
    <w:rsid w:val="1AFB1FF4"/>
    <w:rsid w:val="1B662AAD"/>
    <w:rsid w:val="1B7C0CCC"/>
    <w:rsid w:val="1C060A87"/>
    <w:rsid w:val="1CE93797"/>
    <w:rsid w:val="1E0F6C5F"/>
    <w:rsid w:val="1E5A4604"/>
    <w:rsid w:val="1EFF124F"/>
    <w:rsid w:val="1F2760B0"/>
    <w:rsid w:val="1F947BE9"/>
    <w:rsid w:val="20635A0A"/>
    <w:rsid w:val="20B82E79"/>
    <w:rsid w:val="21D80261"/>
    <w:rsid w:val="22552F34"/>
    <w:rsid w:val="22A30143"/>
    <w:rsid w:val="235723EB"/>
    <w:rsid w:val="236C49D9"/>
    <w:rsid w:val="23F21382"/>
    <w:rsid w:val="24AD7057"/>
    <w:rsid w:val="277D5407"/>
    <w:rsid w:val="27BD5803"/>
    <w:rsid w:val="28041684"/>
    <w:rsid w:val="286A0797"/>
    <w:rsid w:val="287B7B98"/>
    <w:rsid w:val="28904CC6"/>
    <w:rsid w:val="2923105E"/>
    <w:rsid w:val="296E14AB"/>
    <w:rsid w:val="29982084"/>
    <w:rsid w:val="29B8764E"/>
    <w:rsid w:val="29C15A7E"/>
    <w:rsid w:val="29E518D5"/>
    <w:rsid w:val="2A0E2346"/>
    <w:rsid w:val="2A7C7BF7"/>
    <w:rsid w:val="2A7F4FF2"/>
    <w:rsid w:val="2AC41E55"/>
    <w:rsid w:val="2ADC28C5"/>
    <w:rsid w:val="2BA33DE7"/>
    <w:rsid w:val="2BCC0C4F"/>
    <w:rsid w:val="2D0A14EA"/>
    <w:rsid w:val="2E024318"/>
    <w:rsid w:val="2E093A48"/>
    <w:rsid w:val="2E182852"/>
    <w:rsid w:val="2FCB3525"/>
    <w:rsid w:val="306C3DFF"/>
    <w:rsid w:val="311D7742"/>
    <w:rsid w:val="31A04D91"/>
    <w:rsid w:val="32A25D21"/>
    <w:rsid w:val="3498562E"/>
    <w:rsid w:val="349D6F8E"/>
    <w:rsid w:val="34AC732B"/>
    <w:rsid w:val="34E67F69"/>
    <w:rsid w:val="35B20699"/>
    <w:rsid w:val="35BC359E"/>
    <w:rsid w:val="37E312B6"/>
    <w:rsid w:val="38511E58"/>
    <w:rsid w:val="39292CF8"/>
    <w:rsid w:val="39E906DA"/>
    <w:rsid w:val="3AD038E2"/>
    <w:rsid w:val="3B083158"/>
    <w:rsid w:val="3B084B8F"/>
    <w:rsid w:val="3B8763FC"/>
    <w:rsid w:val="3B9916CA"/>
    <w:rsid w:val="3CD14CB5"/>
    <w:rsid w:val="3CDD2778"/>
    <w:rsid w:val="3D8250CD"/>
    <w:rsid w:val="3DD84CED"/>
    <w:rsid w:val="3E9A6446"/>
    <w:rsid w:val="3F611ED2"/>
    <w:rsid w:val="3F650442"/>
    <w:rsid w:val="3F9837E6"/>
    <w:rsid w:val="40301872"/>
    <w:rsid w:val="40647E75"/>
    <w:rsid w:val="41907A0D"/>
    <w:rsid w:val="425D7EB7"/>
    <w:rsid w:val="42823479"/>
    <w:rsid w:val="42AE24C0"/>
    <w:rsid w:val="42B31885"/>
    <w:rsid w:val="43505326"/>
    <w:rsid w:val="44472BCC"/>
    <w:rsid w:val="448160DE"/>
    <w:rsid w:val="44B01DC4"/>
    <w:rsid w:val="44D64FC9"/>
    <w:rsid w:val="45DB35CC"/>
    <w:rsid w:val="46362EF9"/>
    <w:rsid w:val="46503FBA"/>
    <w:rsid w:val="46AF2A41"/>
    <w:rsid w:val="46E110B6"/>
    <w:rsid w:val="47571378"/>
    <w:rsid w:val="47835CCA"/>
    <w:rsid w:val="47975C19"/>
    <w:rsid w:val="480F755D"/>
    <w:rsid w:val="4901159C"/>
    <w:rsid w:val="49C53294"/>
    <w:rsid w:val="49F42EAF"/>
    <w:rsid w:val="4A1C41B3"/>
    <w:rsid w:val="4AA46683"/>
    <w:rsid w:val="4AC62A9D"/>
    <w:rsid w:val="4B215F25"/>
    <w:rsid w:val="4BC36D42"/>
    <w:rsid w:val="4C050469"/>
    <w:rsid w:val="4C3664E9"/>
    <w:rsid w:val="4CDF221D"/>
    <w:rsid w:val="4DE90850"/>
    <w:rsid w:val="4E4D0DDF"/>
    <w:rsid w:val="4EFB4CDF"/>
    <w:rsid w:val="4F3B11D6"/>
    <w:rsid w:val="4F806F93"/>
    <w:rsid w:val="501A2F43"/>
    <w:rsid w:val="50D57A1D"/>
    <w:rsid w:val="510A120A"/>
    <w:rsid w:val="51336575"/>
    <w:rsid w:val="51B03B5F"/>
    <w:rsid w:val="51B318A1"/>
    <w:rsid w:val="52D85640"/>
    <w:rsid w:val="55D571BC"/>
    <w:rsid w:val="56150435"/>
    <w:rsid w:val="568D26C1"/>
    <w:rsid w:val="577305F7"/>
    <w:rsid w:val="57D83E10"/>
    <w:rsid w:val="57D936E4"/>
    <w:rsid w:val="58127A9F"/>
    <w:rsid w:val="58F733B3"/>
    <w:rsid w:val="58FE08B7"/>
    <w:rsid w:val="59981AA8"/>
    <w:rsid w:val="59C75EEA"/>
    <w:rsid w:val="5B3752F1"/>
    <w:rsid w:val="5B922527"/>
    <w:rsid w:val="5D083439"/>
    <w:rsid w:val="5D4B5084"/>
    <w:rsid w:val="5D876E00"/>
    <w:rsid w:val="5DE352BC"/>
    <w:rsid w:val="5E59187D"/>
    <w:rsid w:val="5EA26F25"/>
    <w:rsid w:val="5EEF7D07"/>
    <w:rsid w:val="5F2711D9"/>
    <w:rsid w:val="5F6E3699"/>
    <w:rsid w:val="5FD90725"/>
    <w:rsid w:val="60E94998"/>
    <w:rsid w:val="61A43A98"/>
    <w:rsid w:val="627C183B"/>
    <w:rsid w:val="636335A8"/>
    <w:rsid w:val="63735C0C"/>
    <w:rsid w:val="63975554"/>
    <w:rsid w:val="64874BF3"/>
    <w:rsid w:val="64AA1849"/>
    <w:rsid w:val="651514F5"/>
    <w:rsid w:val="66357735"/>
    <w:rsid w:val="66D64615"/>
    <w:rsid w:val="67247F4C"/>
    <w:rsid w:val="686A205D"/>
    <w:rsid w:val="68B94BFD"/>
    <w:rsid w:val="693C1432"/>
    <w:rsid w:val="69B46861"/>
    <w:rsid w:val="69CB332E"/>
    <w:rsid w:val="6B5B0B88"/>
    <w:rsid w:val="6D102A68"/>
    <w:rsid w:val="6E2862DA"/>
    <w:rsid w:val="6E4B4EE4"/>
    <w:rsid w:val="6EFF7A7C"/>
    <w:rsid w:val="70187047"/>
    <w:rsid w:val="70194B6E"/>
    <w:rsid w:val="70657DB3"/>
    <w:rsid w:val="72CB03A1"/>
    <w:rsid w:val="730554A4"/>
    <w:rsid w:val="735E7467"/>
    <w:rsid w:val="73875315"/>
    <w:rsid w:val="73B544C0"/>
    <w:rsid w:val="74AC1B7A"/>
    <w:rsid w:val="75834F63"/>
    <w:rsid w:val="76A012F9"/>
    <w:rsid w:val="76AC4382"/>
    <w:rsid w:val="7789082B"/>
    <w:rsid w:val="77CD049D"/>
    <w:rsid w:val="785D673F"/>
    <w:rsid w:val="78882647"/>
    <w:rsid w:val="78EC49DB"/>
    <w:rsid w:val="79224A93"/>
    <w:rsid w:val="79273E57"/>
    <w:rsid w:val="79DD5036"/>
    <w:rsid w:val="79F84A83"/>
    <w:rsid w:val="7AC9184A"/>
    <w:rsid w:val="7BFF2E69"/>
    <w:rsid w:val="7C4818CB"/>
    <w:rsid w:val="7C8B6DF3"/>
    <w:rsid w:val="7D197F5B"/>
    <w:rsid w:val="7D2578C8"/>
    <w:rsid w:val="7DEC7621"/>
    <w:rsid w:val="7E4E6694"/>
    <w:rsid w:val="7F08472B"/>
    <w:rsid w:val="7F387821"/>
    <w:rsid w:val="7F89761A"/>
    <w:rsid w:val="7FB623D9"/>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widowControl w:val="0"/>
      <w:numPr>
        <w:ilvl w:val="1"/>
        <w:numId w:val="1"/>
      </w:numPr>
      <w:adjustRightInd w:val="0"/>
      <w:spacing w:before="260" w:after="260" w:line="416" w:lineRule="atLeast"/>
      <w:textAlignment w:val="baseline"/>
      <w:outlineLvl w:val="1"/>
    </w:pPr>
    <w:rPr>
      <w:rFonts w:ascii="Arial" w:hAnsi="Arial" w:eastAsia="黑体"/>
      <w:b/>
      <w:kern w:val="0"/>
      <w:szCs w:val="20"/>
    </w:rPr>
  </w:style>
  <w:style w:type="paragraph" w:styleId="3">
    <w:name w:val="heading 3"/>
    <w:basedOn w:val="1"/>
    <w:next w:val="1"/>
    <w:qFormat/>
    <w:uiPriority w:val="0"/>
    <w:pPr>
      <w:keepNext/>
      <w:keepLines/>
      <w:numPr>
        <w:ilvl w:val="2"/>
        <w:numId w:val="2"/>
      </w:numPr>
      <w:spacing w:line="360" w:lineRule="auto"/>
      <w:ind w:left="720" w:hanging="720" w:firstLineChars="0"/>
      <w:outlineLvl w:val="2"/>
    </w:pPr>
    <w:rPr>
      <w:rFonts w:ascii="Times New Roman" w:hAnsi="Times New Roman" w:eastAsia="宋体"/>
      <w:b/>
      <w:kern w:val="21"/>
      <w:sz w:val="24"/>
      <w:szCs w:val="24"/>
    </w:rPr>
  </w:style>
  <w:style w:type="character" w:default="1" w:styleId="20">
    <w:name w:val="Default Paragraph Font"/>
    <w:qFormat/>
    <w:uiPriority w:val="0"/>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4">
    <w:name w:val="Body Text First Indent"/>
    <w:basedOn w:val="5"/>
    <w:qFormat/>
    <w:uiPriority w:val="0"/>
    <w:pPr>
      <w:adjustRightInd/>
      <w:snapToGrid/>
      <w:spacing w:beforeLines="0" w:after="120" w:line="240" w:lineRule="auto"/>
      <w:ind w:firstLine="420" w:firstLineChars="100"/>
    </w:pPr>
    <w:rPr>
      <w:snapToGrid/>
      <w:color w:val="000000"/>
      <w:kern w:val="2"/>
    </w:rPr>
  </w:style>
  <w:style w:type="paragraph" w:styleId="5">
    <w:name w:val="Body Text"/>
    <w:basedOn w:val="1"/>
    <w:next w:val="1"/>
    <w:link w:val="31"/>
    <w:qFormat/>
    <w:uiPriority w:val="99"/>
    <w:pPr>
      <w:spacing w:after="120"/>
    </w:pPr>
  </w:style>
  <w:style w:type="paragraph" w:styleId="6">
    <w:name w:val="List Bullet 4"/>
    <w:basedOn w:val="1"/>
    <w:qFormat/>
    <w:uiPriority w:val="0"/>
    <w:pPr>
      <w:numPr>
        <w:ilvl w:val="0"/>
        <w:numId w:val="3"/>
      </w:numPr>
      <w:tabs>
        <w:tab w:val="left" w:pos="1620"/>
      </w:tabs>
    </w:pPr>
  </w:style>
  <w:style w:type="paragraph" w:styleId="7">
    <w:name w:val="Normal Indent"/>
    <w:basedOn w:val="1"/>
    <w:next w:val="1"/>
    <w:qFormat/>
    <w:uiPriority w:val="99"/>
    <w:pPr>
      <w:tabs>
        <w:tab w:val="left" w:pos="540"/>
        <w:tab w:val="left" w:pos="1080"/>
        <w:tab w:val="left" w:pos="1800"/>
      </w:tabs>
      <w:adjustRightInd w:val="0"/>
      <w:snapToGrid w:val="0"/>
      <w:spacing w:line="360" w:lineRule="auto"/>
      <w:ind w:firstLine="480"/>
    </w:pPr>
    <w:rPr>
      <w:rFonts w:ascii="仿宋_GB2312" w:hAnsi="宋体"/>
      <w:sz w:val="24"/>
      <w:szCs w:val="21"/>
    </w:rPr>
  </w:style>
  <w:style w:type="paragraph" w:styleId="8">
    <w:name w:val="annotation text"/>
    <w:basedOn w:val="1"/>
    <w:qFormat/>
    <w:uiPriority w:val="0"/>
    <w:pPr>
      <w:jc w:val="left"/>
    </w:pPr>
  </w:style>
  <w:style w:type="paragraph" w:styleId="9">
    <w:name w:val="Plain Text"/>
    <w:basedOn w:val="1"/>
    <w:qFormat/>
    <w:uiPriority w:val="0"/>
    <w:rPr>
      <w:rFonts w:ascii="宋体" w:hAnsi="Courier New"/>
      <w:kern w:val="0"/>
      <w:sz w:val="20"/>
      <w:szCs w:val="20"/>
    </w:rPr>
  </w:style>
  <w:style w:type="paragraph" w:styleId="10">
    <w:name w:val="List Bullet 5"/>
    <w:basedOn w:val="1"/>
    <w:qFormat/>
    <w:uiPriority w:val="0"/>
    <w:pPr>
      <w:numPr>
        <w:ilvl w:val="0"/>
        <w:numId w:val="4"/>
      </w:numPr>
      <w:tabs>
        <w:tab w:val="left" w:pos="2040"/>
      </w:tabs>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Body Text First Indent 2"/>
    <w:basedOn w:val="1"/>
    <w:next w:val="1"/>
    <w:qFormat/>
    <w:uiPriority w:val="0"/>
    <w:pPr>
      <w:ind w:firstLine="420" w:firstLineChars="200"/>
    </w:pPr>
    <w:rPr>
      <w:kern w:val="2"/>
      <w:sz w:val="21"/>
      <w:szCs w:val="24"/>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index heading"/>
    <w:basedOn w:val="1"/>
    <w:next w:val="16"/>
    <w:qFormat/>
    <w:uiPriority w:val="0"/>
    <w:rPr>
      <w:szCs w:val="20"/>
    </w:rPr>
  </w:style>
  <w:style w:type="paragraph" w:styleId="16">
    <w:name w:val="index 1"/>
    <w:basedOn w:val="1"/>
    <w:next w:val="1"/>
    <w:qFormat/>
    <w:uiPriority w:val="0"/>
    <w:pPr>
      <w:spacing w:line="320" w:lineRule="exact"/>
      <w:jc w:val="center"/>
    </w:pPr>
    <w:rPr>
      <w:color w:val="000000"/>
      <w:szCs w:val="21"/>
    </w:rPr>
  </w:style>
  <w:style w:type="paragraph" w:styleId="17">
    <w:name w:val="Body Text Indent 3"/>
    <w:basedOn w:val="1"/>
    <w:qFormat/>
    <w:uiPriority w:val="0"/>
    <w:pPr>
      <w:adjustRightInd w:val="0"/>
      <w:snapToGrid w:val="0"/>
      <w:spacing w:line="460" w:lineRule="exact"/>
      <w:ind w:firstLine="561"/>
    </w:pPr>
    <w:rPr>
      <w:rFonts w:ascii="宋体" w:eastAsia="楷体_GB2312"/>
      <w:color w:val="000000"/>
      <w:kern w:val="0"/>
      <w:sz w:val="26"/>
      <w:szCs w:val="22"/>
    </w:rPr>
  </w:style>
  <w:style w:type="paragraph" w:styleId="18">
    <w:name w:val="toc 2"/>
    <w:basedOn w:val="1"/>
    <w:next w:val="1"/>
    <w:qFormat/>
    <w:uiPriority w:val="39"/>
    <w:pPr>
      <w:ind w:left="210"/>
      <w:jc w:val="left"/>
    </w:pPr>
    <w:rPr>
      <w:smallCaps/>
    </w:rPr>
  </w:style>
  <w:style w:type="paragraph" w:styleId="19">
    <w:name w:val="Normal (Web)"/>
    <w:basedOn w:val="1"/>
    <w:qFormat/>
    <w:uiPriority w:val="99"/>
    <w:pPr>
      <w:jc w:val="left"/>
    </w:pPr>
    <w:rPr>
      <w:kern w:val="0"/>
      <w:sz w:val="24"/>
    </w:rPr>
  </w:style>
  <w:style w:type="character" w:styleId="21">
    <w:name w:val="FollowedHyperlink"/>
    <w:qFormat/>
    <w:uiPriority w:val="0"/>
    <w:rPr>
      <w:color w:val="333333"/>
      <w:u w:val="none"/>
    </w:rPr>
  </w:style>
  <w:style w:type="character" w:styleId="22">
    <w:name w:val="Emphasis"/>
    <w:qFormat/>
    <w:uiPriority w:val="0"/>
  </w:style>
  <w:style w:type="character" w:styleId="23">
    <w:name w:val="HTML Definition"/>
    <w:qFormat/>
    <w:uiPriority w:val="0"/>
  </w:style>
  <w:style w:type="character" w:styleId="24">
    <w:name w:val="HTML Acronym"/>
    <w:qFormat/>
    <w:uiPriority w:val="0"/>
  </w:style>
  <w:style w:type="character" w:styleId="25">
    <w:name w:val="HTML Variable"/>
    <w:qFormat/>
    <w:uiPriority w:val="0"/>
  </w:style>
  <w:style w:type="character" w:styleId="26">
    <w:name w:val="Hyperlink"/>
    <w:qFormat/>
    <w:uiPriority w:val="0"/>
    <w:rPr>
      <w:rFonts w:cs="Times New Roman"/>
      <w:color w:val="0000FF"/>
      <w:u w:val="single"/>
      <w:lang w:bidi="ar-SA"/>
    </w:rPr>
  </w:style>
  <w:style w:type="character" w:styleId="27">
    <w:name w:val="HTML Code"/>
    <w:qFormat/>
    <w:uiPriority w:val="0"/>
    <w:rPr>
      <w:rFonts w:ascii="Courier New" w:hAnsi="Courier New"/>
      <w:sz w:val="20"/>
    </w:rPr>
  </w:style>
  <w:style w:type="character" w:styleId="28">
    <w:name w:val="HTML Cite"/>
    <w:qFormat/>
    <w:uiPriority w:val="0"/>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1">
    <w:name w:val="正文文本 字符"/>
    <w:link w:val="5"/>
    <w:qFormat/>
    <w:uiPriority w:val="0"/>
    <w:rPr>
      <w:rFonts w:eastAsia="仿宋_GB2312"/>
      <w:kern w:val="2"/>
      <w:sz w:val="32"/>
      <w:szCs w:val="24"/>
    </w:rPr>
  </w:style>
  <w:style w:type="paragraph" w:customStyle="1" w:styleId="32">
    <w:name w:val="报告表正文"/>
    <w:next w:val="12"/>
    <w:qFormat/>
    <w:uiPriority w:val="0"/>
    <w:pPr>
      <w:spacing w:line="460" w:lineRule="exact"/>
      <w:ind w:firstLine="200" w:firstLineChars="200"/>
    </w:pPr>
    <w:rPr>
      <w:rFonts w:ascii="Times New Roman" w:hAnsi="Times New Roman" w:eastAsia="宋体" w:cs="Times New Roman"/>
      <w:sz w:val="24"/>
      <w:szCs w:val="24"/>
      <w:lang w:val="en-US" w:eastAsia="zh-CN" w:bidi="ar-SA"/>
    </w:rPr>
  </w:style>
  <w:style w:type="paragraph" w:customStyle="1" w:styleId="33">
    <w:name w:val="表格5号1"/>
    <w:next w:val="14"/>
    <w:qFormat/>
    <w:uiPriority w:val="0"/>
    <w:pPr>
      <w:spacing w:before="100" w:beforeAutospacing="1" w:after="100" w:afterAutospacing="1"/>
      <w:contextualSpacing/>
      <w:jc w:val="center"/>
    </w:pPr>
    <w:rPr>
      <w:rFonts w:ascii="Times New Roman" w:hAnsi="Times New Roman" w:eastAsia="仿宋_GB2312" w:cs="Times New Roman"/>
      <w:sz w:val="32"/>
      <w:szCs w:val="32"/>
      <w:lang w:val="en-US" w:eastAsia="zh-CN" w:bidi="ar-SA"/>
    </w:rPr>
  </w:style>
  <w:style w:type="paragraph" w:customStyle="1" w:styleId="34">
    <w:name w:val="01正文"/>
    <w:basedOn w:val="1"/>
    <w:qFormat/>
    <w:uiPriority w:val="0"/>
    <w:pPr>
      <w:spacing w:line="480" w:lineRule="exact"/>
      <w:ind w:firstLine="520"/>
    </w:pPr>
    <w:rPr>
      <w:kern w:val="2"/>
      <w:sz w:val="26"/>
      <w:szCs w:val="26"/>
    </w:rPr>
  </w:style>
  <w:style w:type="paragraph" w:customStyle="1" w:styleId="35">
    <w:name w:val="Char Char1 Char"/>
    <w:basedOn w:val="1"/>
    <w:qFormat/>
    <w:uiPriority w:val="0"/>
    <w:rPr>
      <w:rFonts w:eastAsia="宋体"/>
      <w:sz w:val="21"/>
      <w:szCs w:val="21"/>
    </w:rPr>
  </w:style>
  <w:style w:type="paragraph" w:customStyle="1" w:styleId="36">
    <w:name w:val="列出段落1"/>
    <w:basedOn w:val="1"/>
    <w:qFormat/>
    <w:uiPriority w:val="0"/>
    <w:pPr>
      <w:ind w:firstLine="200" w:firstLineChars="200"/>
    </w:pPr>
  </w:style>
  <w:style w:type="paragraph" w:customStyle="1" w:styleId="3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8">
    <w:name w:val="正文四号"/>
    <w:basedOn w:val="1"/>
    <w:qFormat/>
    <w:uiPriority w:val="0"/>
    <w:pPr>
      <w:spacing w:line="360" w:lineRule="auto"/>
      <w:ind w:firstLine="200" w:firstLineChars="200"/>
    </w:pPr>
    <w:rPr>
      <w:rFonts w:ascii="宋体" w:eastAsia="宋体" w:cs="宋体"/>
      <w:sz w:val="24"/>
      <w:szCs w:val="22"/>
      <w:lang w:bidi="ar-SA"/>
    </w:rPr>
  </w:style>
  <w:style w:type="paragraph" w:customStyle="1" w:styleId="39">
    <w:name w:val="表中文字"/>
    <w:basedOn w:val="1"/>
    <w:next w:val="1"/>
    <w:qFormat/>
    <w:uiPriority w:val="0"/>
    <w:pPr>
      <w:spacing w:line="288" w:lineRule="auto"/>
      <w:jc w:val="center"/>
    </w:pPr>
    <w:rPr>
      <w:rFonts w:eastAsia="宋体"/>
      <w:sz w:val="21"/>
      <w:szCs w:val="21"/>
    </w:rPr>
  </w:style>
  <w:style w:type="paragraph" w:customStyle="1" w:styleId="40">
    <w:name w:val="Default"/>
    <w:basedOn w:val="41"/>
    <w:next w:val="42"/>
    <w:qFormat/>
    <w:uiPriority w:val="0"/>
    <w:pPr>
      <w:widowControl w:val="0"/>
      <w:tabs>
        <w:tab w:val="right" w:pos="0"/>
      </w:tabs>
      <w:autoSpaceDE w:val="0"/>
      <w:autoSpaceDN w:val="0"/>
      <w:adjustRightInd w:val="0"/>
    </w:pPr>
    <w:rPr>
      <w:rFonts w:ascii="宋体" w:cs="宋体"/>
      <w:color w:val="000000"/>
      <w:sz w:val="24"/>
      <w:szCs w:val="24"/>
      <w:lang w:val="en-US" w:eastAsia="zh-CN" w:bidi="ar-SA"/>
    </w:rPr>
  </w:style>
  <w:style w:type="paragraph" w:customStyle="1" w:styleId="41">
    <w:name w:val="纯文本1"/>
    <w:basedOn w:val="1"/>
    <w:qFormat/>
    <w:uiPriority w:val="0"/>
    <w:pPr>
      <w:tabs>
        <w:tab w:val="right" w:pos="0"/>
      </w:tabs>
      <w:adjustRightInd w:val="0"/>
      <w:snapToGrid w:val="0"/>
      <w:spacing w:line="360" w:lineRule="auto"/>
      <w:jc w:val="center"/>
      <w:textAlignment w:val="baseline"/>
    </w:pPr>
    <w:rPr>
      <w:rFonts w:ascii="宋体" w:hAnsi="Courier New" w:eastAsia="仿宋_GB2312"/>
      <w:snapToGrid w:val="0"/>
      <w:kern w:val="0"/>
      <w:sz w:val="24"/>
      <w:szCs w:val="20"/>
    </w:rPr>
  </w:style>
  <w:style w:type="paragraph" w:customStyle="1" w:styleId="42">
    <w:name w:val="样式35"/>
    <w:basedOn w:val="43"/>
    <w:next w:val="44"/>
    <w:qFormat/>
    <w:uiPriority w:val="0"/>
    <w:pPr>
      <w:widowControl w:val="0"/>
      <w:spacing w:line="312" w:lineRule="auto"/>
      <w:ind w:firstLine="567"/>
      <w:jc w:val="both"/>
    </w:pPr>
    <w:rPr>
      <w:rFonts w:ascii="宋体" w:hAnsi="Times New Roman" w:eastAsia="宋体" w:cs="Times New Roman"/>
      <w:kern w:val="2"/>
      <w:sz w:val="21"/>
      <w:szCs w:val="22"/>
      <w:lang w:val="en-US" w:eastAsia="zh-CN" w:bidi="ar-SA"/>
    </w:rPr>
  </w:style>
  <w:style w:type="paragraph" w:customStyle="1" w:styleId="43">
    <w:name w:val="表 内容"/>
    <w:basedOn w:val="1"/>
    <w:qFormat/>
    <w:uiPriority w:val="0"/>
    <w:pPr>
      <w:adjustRightInd w:val="0"/>
      <w:snapToGrid w:val="0"/>
      <w:spacing w:beforeLines="15" w:afterLines="15"/>
      <w:jc w:val="center"/>
    </w:pPr>
    <w:rPr>
      <w:szCs w:val="21"/>
    </w:rPr>
  </w:style>
  <w:style w:type="paragraph" w:customStyle="1" w:styleId="44">
    <w:name w:val="font6"/>
    <w:next w:val="18"/>
    <w:qFormat/>
    <w:uiPriority w:val="0"/>
    <w:pPr>
      <w:spacing w:before="280" w:after="280"/>
      <w:jc w:val="both"/>
    </w:pPr>
    <w:rPr>
      <w:rFonts w:ascii="Times New Roman" w:hAnsi="Times New Roman" w:eastAsia="宋体" w:cs="Times New Roman"/>
      <w:kern w:val="2"/>
      <w:sz w:val="21"/>
      <w:szCs w:val="22"/>
      <w:lang w:val="en-US" w:eastAsia="zh-CN" w:bidi="ar-SA"/>
    </w:rPr>
  </w:style>
  <w:style w:type="paragraph" w:customStyle="1" w:styleId="45">
    <w:name w:val="样式18"/>
    <w:basedOn w:val="46"/>
    <w:qFormat/>
    <w:uiPriority w:val="0"/>
    <w:pPr>
      <w:keepNext w:val="0"/>
      <w:keepLines w:val="0"/>
      <w:widowControl/>
      <w:spacing w:before="0" w:line="460" w:lineRule="atLeast"/>
      <w:ind w:firstLine="200" w:firstLineChars="200"/>
      <w:outlineLvl w:val="9"/>
    </w:pPr>
    <w:rPr>
      <w:rFonts w:eastAsia="宋体"/>
      <w:sz w:val="26"/>
      <w:szCs w:val="26"/>
    </w:rPr>
  </w:style>
  <w:style w:type="paragraph" w:customStyle="1" w:styleId="46">
    <w:name w:val="样式16"/>
    <w:basedOn w:val="1"/>
    <w:qFormat/>
    <w:uiPriority w:val="0"/>
    <w:pPr>
      <w:keepNext/>
      <w:keepLines/>
      <w:widowControl/>
      <w:adjustRightInd w:val="0"/>
      <w:snapToGrid w:val="0"/>
      <w:spacing w:before="80" w:line="460" w:lineRule="exact"/>
      <w:jc w:val="left"/>
      <w:outlineLvl w:val="1"/>
    </w:pPr>
    <w:rPr>
      <w:rFonts w:eastAsia="黑体"/>
      <w:b/>
      <w:bCs/>
      <w:kern w:val="0"/>
      <w:sz w:val="28"/>
      <w:szCs w:val="28"/>
    </w:rPr>
  </w:style>
  <w:style w:type="paragraph" w:customStyle="1" w:styleId="47">
    <w:name w:val="忠庆表格"/>
    <w:basedOn w:val="37"/>
    <w:qFormat/>
    <w:uiPriority w:val="0"/>
    <w:rPr>
      <w:rFonts w:ascii="Times New Roman" w:hAnsi="Times New Roman"/>
      <w:sz w:val="22"/>
    </w:rPr>
  </w:style>
  <w:style w:type="paragraph" w:customStyle="1" w:styleId="48">
    <w:name w:val="忠庆正文"/>
    <w:basedOn w:val="47"/>
    <w:qFormat/>
    <w:uiPriority w:val="0"/>
    <w:pPr>
      <w:spacing w:line="460" w:lineRule="exact"/>
      <w:ind w:firstLine="200" w:firstLineChars="200"/>
    </w:pPr>
    <w:rPr>
      <w:rFonts w:eastAsia="宋体"/>
      <w:sz w:val="26"/>
      <w:szCs w:val="22"/>
    </w:rPr>
  </w:style>
  <w:style w:type="paragraph" w:customStyle="1" w:styleId="49">
    <w:name w:val="样式1"/>
    <w:basedOn w:val="1"/>
    <w:qFormat/>
    <w:uiPriority w:val="0"/>
    <w:pPr>
      <w:adjustRightInd w:val="0"/>
      <w:snapToGrid w:val="0"/>
      <w:spacing w:line="480" w:lineRule="exact"/>
      <w:ind w:firstLine="200" w:firstLineChars="200"/>
    </w:pPr>
    <w:rPr>
      <w:rFonts w:eastAsia="Times New Roman"/>
      <w:kern w:val="0"/>
      <w:sz w:val="26"/>
      <w:szCs w:val="20"/>
    </w:rPr>
  </w:style>
  <w:style w:type="character" w:customStyle="1" w:styleId="50">
    <w:name w:val="00正文 Char"/>
    <w:link w:val="51"/>
    <w:qFormat/>
    <w:uiPriority w:val="0"/>
    <w:rPr>
      <w:rFonts w:eastAsia="仿宋"/>
      <w:kern w:val="2"/>
      <w:sz w:val="26"/>
      <w:szCs w:val="22"/>
    </w:rPr>
  </w:style>
  <w:style w:type="paragraph" w:customStyle="1" w:styleId="51">
    <w:name w:val="00正文"/>
    <w:basedOn w:val="1"/>
    <w:link w:val="50"/>
    <w:qFormat/>
    <w:uiPriority w:val="0"/>
    <w:pPr>
      <w:spacing w:line="460" w:lineRule="exact"/>
      <w:ind w:firstLine="520" w:firstLineChars="200"/>
    </w:pPr>
    <w:rPr>
      <w:rFonts w:eastAsia="仿宋"/>
      <w:sz w:val="26"/>
      <w:szCs w:val="22"/>
    </w:rPr>
  </w:style>
  <w:style w:type="paragraph" w:customStyle="1" w:styleId="52">
    <w:name w:val="List Paragraph"/>
    <w:basedOn w:val="1"/>
    <w:qFormat/>
    <w:uiPriority w:val="34"/>
    <w:pPr>
      <w:ind w:firstLine="420"/>
    </w:pPr>
  </w:style>
  <w:style w:type="paragraph" w:customStyle="1" w:styleId="53">
    <w:name w:val="List Paragraph1"/>
    <w:basedOn w:val="1"/>
    <w:qFormat/>
    <w:uiPriority w:val="0"/>
    <w:pPr>
      <w:ind w:firstLine="420"/>
    </w:pPr>
  </w:style>
  <w:style w:type="character" w:customStyle="1" w:styleId="54">
    <w:name w:val="WJ正文 Char"/>
    <w:link w:val="55"/>
    <w:qFormat/>
    <w:locked/>
    <w:uiPriority w:val="0"/>
    <w:rPr>
      <w:color w:val="000000"/>
      <w:sz w:val="24"/>
      <w:szCs w:val="24"/>
    </w:rPr>
  </w:style>
  <w:style w:type="paragraph" w:customStyle="1" w:styleId="55">
    <w:name w:val="WJ正文"/>
    <w:basedOn w:val="1"/>
    <w:link w:val="54"/>
    <w:qFormat/>
    <w:uiPriority w:val="0"/>
    <w:pPr>
      <w:spacing w:line="440" w:lineRule="exact"/>
      <w:ind w:firstLine="480" w:firstLineChars="200"/>
      <w:jc w:val="left"/>
    </w:pPr>
    <w:rPr>
      <w:rFonts w:eastAsia="宋体"/>
      <w:color w:val="000000"/>
      <w:kern w:val="0"/>
      <w:sz w:val="24"/>
    </w:rPr>
  </w:style>
  <w:style w:type="paragraph" w:customStyle="1" w:styleId="56">
    <w:name w:val="_Style 2"/>
    <w:basedOn w:val="1"/>
    <w:qFormat/>
    <w:uiPriority w:val="0"/>
    <w:pPr>
      <w:widowControl/>
      <w:spacing w:after="160" w:line="240" w:lineRule="exact"/>
      <w:jc w:val="left"/>
    </w:pPr>
    <w:rPr>
      <w:rFonts w:ascii="Verdana" w:hAnsi="Verdana"/>
      <w:kern w:val="0"/>
      <w:sz w:val="24"/>
      <w:szCs w:val="20"/>
      <w:lang w:eastAsia="en-US"/>
    </w:rPr>
  </w:style>
  <w:style w:type="paragraph" w:customStyle="1" w:styleId="57">
    <w:name w:val="Table Paragraph"/>
    <w:basedOn w:val="1"/>
    <w:qFormat/>
    <w:uiPriority w:val="0"/>
    <w:pPr>
      <w:autoSpaceDE w:val="0"/>
      <w:autoSpaceDN w:val="0"/>
      <w:adjustRightInd w:val="0"/>
      <w:jc w:val="left"/>
    </w:pPr>
    <w:rPr>
      <w:kern w:val="0"/>
      <w:sz w:val="24"/>
    </w:rPr>
  </w:style>
  <w:style w:type="paragraph" w:customStyle="1" w:styleId="58">
    <w:name w:val="0A正文"/>
    <w:basedOn w:val="1"/>
    <w:qFormat/>
    <w:uiPriority w:val="0"/>
    <w:pPr>
      <w:spacing w:line="460" w:lineRule="exact"/>
      <w:jc w:val="both"/>
    </w:pPr>
    <w:rPr>
      <w:color w:val="000000"/>
      <w:szCs w:val="26"/>
    </w:rPr>
  </w:style>
  <w:style w:type="character" w:customStyle="1" w:styleId="59">
    <w:name w:val="表格格式 Char"/>
    <w:link w:val="60"/>
    <w:qFormat/>
    <w:locked/>
    <w:uiPriority w:val="0"/>
    <w:rPr>
      <w:sz w:val="21"/>
    </w:rPr>
  </w:style>
  <w:style w:type="paragraph" w:customStyle="1" w:styleId="60">
    <w:name w:val="表格格式"/>
    <w:basedOn w:val="1"/>
    <w:next w:val="1"/>
    <w:link w:val="59"/>
    <w:qFormat/>
    <w:uiPriority w:val="0"/>
    <w:pPr>
      <w:adjustRightInd w:val="0"/>
      <w:snapToGrid w:val="0"/>
      <w:jc w:val="center"/>
    </w:pPr>
    <w:rPr>
      <w:rFonts w:eastAsia="宋体"/>
      <w:kern w:val="0"/>
      <w:sz w:val="21"/>
      <w:szCs w:val="20"/>
    </w:rPr>
  </w:style>
  <w:style w:type="paragraph" w:customStyle="1" w:styleId="61">
    <w:name w:val="表格内容"/>
    <w:basedOn w:val="1"/>
    <w:next w:val="1"/>
    <w:qFormat/>
    <w:uiPriority w:val="0"/>
    <w:pPr>
      <w:adjustRightInd/>
      <w:snapToGrid/>
      <w:spacing w:line="240" w:lineRule="auto"/>
      <w:ind w:firstLine="0" w:firstLineChars="0"/>
      <w:jc w:val="center"/>
    </w:pPr>
    <w:rPr>
      <w:kern w:val="0"/>
      <w:sz w:val="2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eChat Files\wxid_dqq19jjwkb0022\FileStorage\File\2024-12\&#31532;&#20108;&#27425;&#20844;&#31034;&#34920;&#65288;&#20016;&#27877;&#27700;&#27877;&#31377;&#21327;&#21516;&#22788;&#32622;&#39033;&#30446;&#652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第二次公示表（丰泥水泥窑协同处置项目）.dotx</Template>
  <Pages>3</Pages>
  <Words>1350</Words>
  <Characters>1445</Characters>
  <Lines>16</Lines>
  <Paragraphs>4</Paragraphs>
  <TotalTime>0</TotalTime>
  <ScaleCrop>false</ScaleCrop>
  <LinksUpToDate>false</LinksUpToDate>
  <CharactersWithSpaces>1445</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2024-12-03T01:47:00Z</dcterms:created>
  <dc:creator>雨祭</dc:creator>
  <cp:lastModifiedBy>xjzx</cp:lastModifiedBy>
  <dcterms:modified xsi:type="dcterms:W3CDTF">2025-10-17T01:55:41Z</dcterms:modified>
  <dc:title>丰都县环保局审查建设项目环评信息公示表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y fmtid="{D5CDD505-2E9C-101B-9397-08002B2CF9AE}" pid="3" name="ICV">
    <vt:lpwstr>59C08C4D4FAC436DAE56F0857EEA4104_13</vt:lpwstr>
  </property>
  <property fmtid="{D5CDD505-2E9C-101B-9397-08002B2CF9AE}" pid="4" name="KSOTemplateDocerSaveRecord">
    <vt:lpwstr>eyJoZGlkIjoiYTQyYzczYTI0ODc5ZDM5ZDI3OTVlYzZmYTg5Y2ZlYjQiLCJ1c2VySWQiOiI2MjEzMjg0ODIifQ==</vt:lpwstr>
  </property>
</Properties>
</file>