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560" w:lineRule="exact"/>
        <w:jc w:val="center"/>
        <w:rPr>
          <w:rFonts w:ascii="方正小标宋_GBK" w:eastAsia="方正小标宋_GBK"/>
          <w:kern w:val="0"/>
          <w:sz w:val="44"/>
          <w:szCs w:val="44"/>
        </w:rPr>
      </w:pPr>
      <w:r>
        <w:rPr>
          <w:rFonts w:hint="eastAsia" w:ascii="方正小标宋_GBK" w:eastAsia="方正小标宋_GBK"/>
          <w:kern w:val="0"/>
          <w:sz w:val="44"/>
          <w:szCs w:val="44"/>
        </w:rPr>
        <w:t>丰都县生态环境局审查入河排污口设置信息公示表</w:t>
      </w:r>
    </w:p>
    <w:p>
      <w:pPr>
        <w:widowControl/>
        <w:spacing w:line="560" w:lineRule="exact"/>
        <w:jc w:val="center"/>
        <w:rPr>
          <w:rFonts w:eastAsia="方正仿宋简体"/>
          <w:kern w:val="0"/>
          <w:szCs w:val="32"/>
        </w:rPr>
      </w:pPr>
    </w:p>
    <w:p>
      <w:pPr>
        <w:pStyle w:val="19"/>
        <w:widowControl w:val="0"/>
        <w:snapToGrid w:val="0"/>
        <w:spacing w:before="0" w:beforeAutospacing="0" w:after="0" w:afterAutospacing="0" w:line="500" w:lineRule="exact"/>
        <w:ind w:firstLine="640" w:firstLineChars="200"/>
        <w:jc w:val="both"/>
        <w:rPr>
          <w:rFonts w:ascii="仿宋" w:hAnsi="仿宋" w:eastAsia="仿宋"/>
          <w:kern w:val="2"/>
          <w:sz w:val="32"/>
          <w:szCs w:val="32"/>
        </w:rPr>
      </w:pPr>
      <w:bookmarkStart w:id="0" w:name="_GoBack"/>
      <w:r>
        <w:rPr>
          <w:rFonts w:hint="eastAsia" w:ascii="仿宋" w:hAnsi="仿宋" w:eastAsia="仿宋"/>
          <w:sz w:val="32"/>
          <w:szCs w:val="32"/>
        </w:rPr>
        <w:t>丰都县生态环境局审查以下入河排污口设置文件，现公告有关设置信息，接受社会监督，公示期为2025年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日至2025年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日（5个工作日）。</w:t>
      </w:r>
    </w:p>
    <w:p>
      <w:pPr>
        <w:ind w:firstLine="640" w:firstLineChars="200"/>
        <w:rPr>
          <w:rFonts w:ascii="仿宋" w:hAnsi="仿宋" w:eastAsia="仿宋"/>
          <w:szCs w:val="32"/>
        </w:rPr>
      </w:pPr>
      <w:r>
        <w:rPr>
          <w:rFonts w:hint="eastAsia" w:ascii="仿宋" w:hAnsi="仿宋" w:eastAsia="仿宋"/>
          <w:szCs w:val="32"/>
        </w:rPr>
        <w:t>反馈意见受理方式为电子邮箱：fdhbjjgk@163.com，传真：023-70702532；联系电话：023-70708728；通讯地址：丰都县三合街道商业二路321号，邮编：408200。</w:t>
      </w:r>
    </w:p>
    <w:tbl>
      <w:tblPr>
        <w:tblStyle w:val="13"/>
        <w:tblW w:w="1431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50"/>
        <w:gridCol w:w="851"/>
        <w:gridCol w:w="722"/>
        <w:gridCol w:w="979"/>
        <w:gridCol w:w="2067"/>
        <w:gridCol w:w="5804"/>
        <w:gridCol w:w="103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b/>
                <w:kern w:val="0"/>
                <w:sz w:val="24"/>
              </w:rPr>
            </w:pPr>
            <w:r>
              <w:rPr>
                <w:rFonts w:eastAsia="宋体"/>
                <w:b/>
                <w:kern w:val="0"/>
                <w:sz w:val="24"/>
              </w:rPr>
              <w:t>序号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before="225" w:after="225" w:line="320" w:lineRule="exact"/>
              <w:jc w:val="center"/>
              <w:rPr>
                <w:rFonts w:eastAsia="宋体"/>
                <w:b/>
                <w:kern w:val="0"/>
                <w:sz w:val="24"/>
              </w:rPr>
            </w:pPr>
            <w:r>
              <w:rPr>
                <w:rFonts w:hint="eastAsia" w:eastAsia="宋体"/>
                <w:b/>
                <w:kern w:val="0"/>
                <w:sz w:val="24"/>
              </w:rPr>
              <w:t>项目名称</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before="225" w:after="225" w:line="320" w:lineRule="exact"/>
              <w:jc w:val="center"/>
              <w:rPr>
                <w:rFonts w:eastAsia="宋体"/>
                <w:b/>
                <w:kern w:val="0"/>
                <w:sz w:val="24"/>
              </w:rPr>
            </w:pPr>
            <w:r>
              <w:rPr>
                <w:rFonts w:hint="eastAsia" w:eastAsia="宋体"/>
                <w:b/>
                <w:kern w:val="0"/>
                <w:sz w:val="24"/>
              </w:rPr>
              <w:t>建设地点</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before="225" w:after="225" w:line="320" w:lineRule="exact"/>
              <w:jc w:val="center"/>
              <w:rPr>
                <w:rFonts w:eastAsia="宋体"/>
                <w:b/>
                <w:kern w:val="0"/>
                <w:sz w:val="24"/>
              </w:rPr>
            </w:pPr>
            <w:r>
              <w:rPr>
                <w:rFonts w:hint="eastAsia" w:eastAsia="宋体"/>
                <w:b/>
                <w:kern w:val="0"/>
                <w:sz w:val="24"/>
              </w:rPr>
              <w:t>建设单位</w:t>
            </w:r>
          </w:p>
        </w:tc>
        <w:tc>
          <w:tcPr>
            <w:tcW w:w="979" w:type="dxa"/>
            <w:tcBorders>
              <w:top w:val="single" w:color="auto" w:sz="4" w:space="0"/>
              <w:left w:val="single" w:color="auto" w:sz="4" w:space="0"/>
              <w:bottom w:val="single" w:color="auto" w:sz="4" w:space="0"/>
              <w:right w:val="single" w:color="auto" w:sz="4" w:space="0"/>
            </w:tcBorders>
            <w:vAlign w:val="center"/>
          </w:tcPr>
          <w:p>
            <w:pPr>
              <w:widowControl/>
              <w:spacing w:before="225" w:after="225" w:line="320" w:lineRule="exact"/>
              <w:jc w:val="center"/>
              <w:rPr>
                <w:rFonts w:eastAsia="宋体"/>
                <w:b/>
                <w:kern w:val="0"/>
                <w:sz w:val="24"/>
              </w:rPr>
            </w:pPr>
            <w:r>
              <w:rPr>
                <w:rFonts w:hint="eastAsia" w:eastAsia="宋体"/>
                <w:b/>
                <w:kern w:val="0"/>
                <w:sz w:val="24"/>
              </w:rPr>
              <w:t>论证报告编制机构</w:t>
            </w:r>
          </w:p>
        </w:tc>
        <w:tc>
          <w:tcPr>
            <w:tcW w:w="20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b/>
                <w:kern w:val="0"/>
                <w:sz w:val="24"/>
              </w:rPr>
            </w:pPr>
            <w:r>
              <w:rPr>
                <w:rFonts w:hint="eastAsia" w:eastAsia="宋体"/>
                <w:b/>
                <w:kern w:val="0"/>
                <w:sz w:val="24"/>
              </w:rPr>
              <w:t>基本情况</w:t>
            </w:r>
          </w:p>
        </w:tc>
        <w:tc>
          <w:tcPr>
            <w:tcW w:w="5804" w:type="dxa"/>
            <w:tcBorders>
              <w:top w:val="single" w:color="auto" w:sz="4" w:space="0"/>
              <w:left w:val="single" w:color="auto" w:sz="4" w:space="0"/>
              <w:bottom w:val="single" w:color="auto" w:sz="4" w:space="0"/>
              <w:right w:val="single" w:color="auto" w:sz="4" w:space="0"/>
            </w:tcBorders>
            <w:vAlign w:val="center"/>
          </w:tcPr>
          <w:p>
            <w:pPr>
              <w:widowControl/>
              <w:spacing w:before="225" w:after="225" w:line="320" w:lineRule="exact"/>
              <w:jc w:val="center"/>
              <w:rPr>
                <w:rFonts w:eastAsia="宋体"/>
                <w:b/>
                <w:kern w:val="0"/>
                <w:sz w:val="24"/>
              </w:rPr>
            </w:pPr>
            <w:r>
              <w:rPr>
                <w:rFonts w:hint="eastAsia" w:eastAsia="宋体"/>
                <w:b/>
                <w:kern w:val="0"/>
                <w:sz w:val="24"/>
              </w:rPr>
              <w:t>申请设置理由</w:t>
            </w:r>
          </w:p>
        </w:tc>
        <w:tc>
          <w:tcPr>
            <w:tcW w:w="10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宋体"/>
                <w:b/>
                <w:kern w:val="0"/>
                <w:sz w:val="24"/>
              </w:rPr>
            </w:pPr>
            <w:r>
              <w:rPr>
                <w:rFonts w:eastAsia="宋体"/>
                <w:b/>
                <w:kern w:val="0"/>
                <w:sz w:val="24"/>
              </w:rPr>
              <w:t>相关部门意见</w:t>
            </w:r>
          </w:p>
        </w:tc>
        <w:tc>
          <w:tcPr>
            <w:tcW w:w="14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宋体"/>
                <w:b/>
                <w:kern w:val="0"/>
                <w:sz w:val="24"/>
              </w:rPr>
            </w:pPr>
            <w:r>
              <w:rPr>
                <w:rFonts w:hint="eastAsia" w:eastAsia="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56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Ansi="宋体"/>
                <w:sz w:val="24"/>
              </w:rPr>
            </w:pPr>
            <w:r>
              <w:rPr>
                <w:rFonts w:hint="eastAsia" w:hAnsi="宋体"/>
                <w:sz w:val="24"/>
              </w:rPr>
              <w:t>1</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Ansi="宋体"/>
                <w:sz w:val="24"/>
                <w:szCs w:val="24"/>
              </w:rPr>
            </w:pPr>
            <w:r>
              <w:rPr>
                <w:rFonts w:hint="eastAsia" w:ascii="Times New Roman" w:hAnsi="Times New Roman" w:cs="Times New Roman"/>
                <w:color w:val="auto"/>
                <w:sz w:val="24"/>
                <w:szCs w:val="24"/>
                <w:lang w:val="en-US" w:eastAsia="zh-CN"/>
              </w:rPr>
              <w:t>丰都工业园区镇江组团工业废水集中处理厂入河排污口</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hAnsi="宋体" w:eastAsia="仿宋_GB2312"/>
                <w:sz w:val="24"/>
                <w:szCs w:val="24"/>
                <w:lang w:eastAsia="zh-CN"/>
              </w:rPr>
            </w:pPr>
            <w:r>
              <w:rPr>
                <w:rFonts w:hint="eastAsia"/>
                <w:color w:val="auto"/>
                <w:sz w:val="24"/>
                <w:szCs w:val="24"/>
                <w:lang w:val="en-US" w:eastAsia="zh-CN"/>
              </w:rPr>
              <w:t>重庆市丰都县</w:t>
            </w:r>
            <w:r>
              <w:rPr>
                <w:rFonts w:hint="eastAsia"/>
                <w:color w:val="auto"/>
                <w:sz w:val="24"/>
                <w:szCs w:val="24"/>
              </w:rPr>
              <w:t>丰都工业园区镇江组团镇江村</w:t>
            </w:r>
            <w:r>
              <w:rPr>
                <w:rFonts w:hint="eastAsia"/>
                <w:color w:val="auto"/>
                <w:sz w:val="24"/>
                <w:szCs w:val="24"/>
                <w:lang w:eastAsia="zh-CN"/>
              </w:rPr>
              <w:t>（</w:t>
            </w:r>
            <w:r>
              <w:rPr>
                <w:rFonts w:hint="eastAsia"/>
                <w:color w:val="auto"/>
                <w:sz w:val="24"/>
                <w:szCs w:val="24"/>
                <w:lang w:val="en-US" w:eastAsia="zh-CN"/>
              </w:rPr>
              <w:t>朗溪河右岸</w:t>
            </w:r>
            <w:r>
              <w:rPr>
                <w:rFonts w:hint="eastAsia"/>
                <w:color w:val="auto"/>
                <w:sz w:val="24"/>
                <w:szCs w:val="24"/>
                <w:lang w:eastAsia="zh-CN"/>
              </w:rPr>
              <w:t>）</w:t>
            </w:r>
          </w:p>
        </w:tc>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Ansi="宋体"/>
                <w:sz w:val="24"/>
                <w:szCs w:val="24"/>
              </w:rPr>
            </w:pPr>
            <w:r>
              <w:rPr>
                <w:rFonts w:hint="eastAsia" w:ascii="仿宋_GB2312" w:hAnsi="微软雅黑" w:eastAsia="仿宋_GB2312" w:cs="仿宋_GB2312"/>
                <w:i w:val="0"/>
                <w:iCs w:val="0"/>
                <w:caps w:val="0"/>
                <w:color w:val="auto"/>
                <w:spacing w:val="0"/>
                <w:sz w:val="24"/>
                <w:szCs w:val="24"/>
                <w:shd w:val="clear" w:fill="FFFFFF"/>
              </w:rPr>
              <w:t>重庆江之源环保工程有限公司</w:t>
            </w:r>
          </w:p>
        </w:tc>
        <w:tc>
          <w:tcPr>
            <w:tcW w:w="9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Ansi="宋体"/>
                <w:sz w:val="24"/>
                <w:szCs w:val="24"/>
              </w:rPr>
            </w:pPr>
            <w:r>
              <w:rPr>
                <w:rFonts w:hint="eastAsia" w:hAnsi="宋体"/>
                <w:sz w:val="24"/>
                <w:szCs w:val="24"/>
              </w:rPr>
              <w:t>重庆后科环保有限责任公司</w:t>
            </w:r>
          </w:p>
        </w:tc>
        <w:tc>
          <w:tcPr>
            <w:tcW w:w="2067" w:type="dxa"/>
            <w:tcBorders>
              <w:top w:val="single" w:color="auto" w:sz="4" w:space="0"/>
              <w:left w:val="single" w:color="auto" w:sz="4" w:space="0"/>
              <w:bottom w:val="single" w:color="auto" w:sz="4" w:space="0"/>
              <w:right w:val="single" w:color="auto" w:sz="4" w:space="0"/>
            </w:tcBorders>
            <w:vAlign w:val="center"/>
          </w:tcPr>
          <w:p>
            <w:pPr>
              <w:spacing w:line="240" w:lineRule="atLeast"/>
              <w:jc w:val="both"/>
              <w:rPr>
                <w:rFonts w:hint="eastAsia" w:hAnsi="宋体" w:eastAsia="仿宋_GB2312"/>
                <w:color w:val="auto"/>
                <w:sz w:val="24"/>
                <w:szCs w:val="24"/>
                <w:lang w:eastAsia="zh-CN"/>
              </w:rPr>
            </w:pPr>
            <w:r>
              <w:rPr>
                <w:rFonts w:hint="default" w:ascii="Times New Roman" w:hAnsi="Times New Roman" w:eastAsia="仿宋_GB2312" w:cs="Times New Roman"/>
                <w:i w:val="0"/>
                <w:iCs w:val="0"/>
                <w:caps w:val="0"/>
                <w:color w:val="auto"/>
                <w:spacing w:val="0"/>
                <w:kern w:val="0"/>
                <w:sz w:val="24"/>
                <w:szCs w:val="24"/>
                <w:shd w:val="clear" w:fill="FFFFFF"/>
                <w:lang w:val="en-US" w:eastAsia="zh-CN" w:bidi="ar"/>
              </w:rPr>
              <w:t>丰都工业园区镇江组团工业污水集中处理厂位于丰都工业园区镇江组团镇江村，主要收集处理丰都工业园区镇江组团内的工业污水和居民的生活废水；总设计处理规模10000m</w:t>
            </w:r>
            <w:r>
              <w:rPr>
                <w:rFonts w:hint="default" w:ascii="Times New Roman" w:hAnsi="Times New Roman" w:eastAsia="仿宋_GB2312" w:cs="Times New Roman"/>
                <w:i w:val="0"/>
                <w:iCs w:val="0"/>
                <w:caps w:val="0"/>
                <w:color w:val="auto"/>
                <w:spacing w:val="0"/>
                <w:kern w:val="0"/>
                <w:sz w:val="24"/>
                <w:szCs w:val="24"/>
                <w:shd w:val="clear" w:fill="FFFFFF"/>
                <w:vertAlign w:val="superscript"/>
                <w:lang w:val="en-US" w:eastAsia="zh-CN" w:bidi="ar"/>
              </w:rPr>
              <w:t>3</w:t>
            </w:r>
            <w:r>
              <w:rPr>
                <w:rFonts w:hint="default" w:ascii="Times New Roman" w:hAnsi="Times New Roman" w:eastAsia="仿宋_GB2312" w:cs="Times New Roman"/>
                <w:i w:val="0"/>
                <w:iCs w:val="0"/>
                <w:caps w:val="0"/>
                <w:color w:val="auto"/>
                <w:spacing w:val="0"/>
                <w:kern w:val="0"/>
                <w:sz w:val="24"/>
                <w:szCs w:val="24"/>
                <w:shd w:val="clear" w:fill="FFFFFF"/>
                <w:lang w:val="en-US" w:eastAsia="zh-CN" w:bidi="ar"/>
              </w:rPr>
              <w:t>/d，采取分期建设，采用“粗格栅+细格栅+综合调节池+混凝沉淀+气浮+水解酸化+AO池+二沉池+深度絮凝沉淀+次氯酸钠消毒”污水处理工艺处理后的出水水质达《城镇污水处理厂污染物排放标准》（GB18918-2002）一级A标准后排入朗溪河最终汇入长江。</w:t>
            </w:r>
          </w:p>
        </w:tc>
        <w:tc>
          <w:tcPr>
            <w:tcW w:w="5804"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44" w:afterAutospacing="0" w:line="192" w:lineRule="atLeast"/>
              <w:ind w:left="0" w:right="0" w:firstLine="384"/>
              <w:jc w:val="both"/>
              <w:rPr>
                <w:rFonts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24"/>
                <w:szCs w:val="24"/>
                <w:shd w:val="clear" w:fill="FFFFFF"/>
              </w:rPr>
              <w:t>重庆江之源环保工程有限公司</w:t>
            </w:r>
            <w:r>
              <w:rPr>
                <w:rFonts w:ascii="仿宋_GB2312" w:hAnsi="微软雅黑" w:eastAsia="仿宋_GB2312" w:cs="仿宋_GB2312"/>
                <w:i w:val="0"/>
                <w:iCs w:val="0"/>
                <w:caps w:val="0"/>
                <w:color w:val="auto"/>
                <w:spacing w:val="0"/>
                <w:sz w:val="24"/>
                <w:szCs w:val="24"/>
                <w:shd w:val="clear" w:fill="FFFFFF"/>
              </w:rPr>
              <w:t>入河排污口位于厂区</w:t>
            </w:r>
            <w:r>
              <w:rPr>
                <w:rFonts w:hint="eastAsia" w:ascii="仿宋_GB2312" w:hAnsi="微软雅黑" w:eastAsia="仿宋_GB2312" w:cs="仿宋_GB2312"/>
                <w:i w:val="0"/>
                <w:iCs w:val="0"/>
                <w:caps w:val="0"/>
                <w:color w:val="auto"/>
                <w:spacing w:val="0"/>
                <w:sz w:val="24"/>
                <w:szCs w:val="24"/>
                <w:shd w:val="clear" w:fill="FFFFFF"/>
                <w:lang w:val="en-US" w:eastAsia="zh-CN"/>
              </w:rPr>
              <w:t>东</w:t>
            </w:r>
            <w:r>
              <w:rPr>
                <w:rFonts w:ascii="仿宋_GB2312" w:hAnsi="微软雅黑" w:eastAsia="仿宋_GB2312" w:cs="仿宋_GB2312"/>
                <w:i w:val="0"/>
                <w:iCs w:val="0"/>
                <w:caps w:val="0"/>
                <w:color w:val="auto"/>
                <w:spacing w:val="0"/>
                <w:sz w:val="24"/>
                <w:szCs w:val="24"/>
                <w:shd w:val="clear" w:fill="FFFFFF"/>
              </w:rPr>
              <w:t>侧</w:t>
            </w:r>
            <w:r>
              <w:rPr>
                <w:rFonts w:hint="eastAsia" w:ascii="仿宋_GB2312" w:hAnsi="微软雅黑" w:eastAsia="仿宋_GB2312" w:cs="仿宋_GB2312"/>
                <w:i w:val="0"/>
                <w:iCs w:val="0"/>
                <w:caps w:val="0"/>
                <w:color w:val="auto"/>
                <w:spacing w:val="0"/>
                <w:sz w:val="24"/>
                <w:szCs w:val="24"/>
                <w:shd w:val="clear" w:fill="FFFFFF"/>
                <w:lang w:val="en-US" w:eastAsia="zh-CN"/>
              </w:rPr>
              <w:t>朗溪</w:t>
            </w:r>
            <w:r>
              <w:rPr>
                <w:rFonts w:ascii="仿宋_GB2312" w:hAnsi="微软雅黑" w:eastAsia="仿宋_GB2312" w:cs="仿宋_GB2312"/>
                <w:i w:val="0"/>
                <w:iCs w:val="0"/>
                <w:caps w:val="0"/>
                <w:color w:val="auto"/>
                <w:spacing w:val="0"/>
                <w:sz w:val="24"/>
                <w:szCs w:val="24"/>
                <w:shd w:val="clear" w:fill="FFFFFF"/>
              </w:rPr>
              <w:t>河</w:t>
            </w:r>
            <w:r>
              <w:rPr>
                <w:rFonts w:hint="eastAsia" w:ascii="仿宋_GB2312" w:hAnsi="微软雅黑" w:eastAsia="仿宋_GB2312" w:cs="仿宋_GB2312"/>
                <w:i w:val="0"/>
                <w:iCs w:val="0"/>
                <w:caps w:val="0"/>
                <w:color w:val="auto"/>
                <w:spacing w:val="0"/>
                <w:sz w:val="24"/>
                <w:szCs w:val="24"/>
                <w:shd w:val="clear" w:fill="FFFFFF"/>
                <w:lang w:val="en-US" w:eastAsia="zh-CN"/>
              </w:rPr>
              <w:t>右</w:t>
            </w:r>
            <w:r>
              <w:rPr>
                <w:rFonts w:ascii="仿宋_GB2312" w:hAnsi="微软雅黑" w:eastAsia="仿宋_GB2312" w:cs="仿宋_GB2312"/>
                <w:i w:val="0"/>
                <w:iCs w:val="0"/>
                <w:caps w:val="0"/>
                <w:color w:val="auto"/>
                <w:spacing w:val="0"/>
                <w:sz w:val="24"/>
                <w:szCs w:val="24"/>
                <w:shd w:val="clear" w:fill="FFFFFF"/>
              </w:rPr>
              <w:t>岸，该入河排污口属</w:t>
            </w:r>
            <w:r>
              <w:rPr>
                <w:rFonts w:hint="default" w:ascii="仿宋_GB2312" w:hAnsi="微软雅黑" w:eastAsia="仿宋_GB2312" w:cs="仿宋_GB2312"/>
                <w:i w:val="0"/>
                <w:iCs w:val="0"/>
                <w:caps w:val="0"/>
                <w:color w:val="auto"/>
                <w:spacing w:val="0"/>
                <w:sz w:val="24"/>
                <w:szCs w:val="24"/>
                <w:shd w:val="clear" w:fill="FFFFFF"/>
              </w:rPr>
              <w:t>于岸边排放，排污口分类属于工业排污口，排放方式为连续排放，入河方式为管道，入河排污口地理坐标为东经</w:t>
            </w:r>
            <w:r>
              <w:rPr>
                <w:rFonts w:hint="eastAsia"/>
                <w:color w:val="auto"/>
                <w:kern w:val="0"/>
                <w:sz w:val="24"/>
                <w:szCs w:val="24"/>
              </w:rPr>
              <w:t>107°45′27.</w:t>
            </w:r>
            <w:r>
              <w:rPr>
                <w:rFonts w:hint="eastAsia"/>
                <w:color w:val="auto"/>
                <w:kern w:val="0"/>
                <w:sz w:val="24"/>
                <w:szCs w:val="24"/>
                <w:lang w:val="en-US" w:eastAsia="zh-CN"/>
              </w:rPr>
              <w:t>78</w:t>
            </w:r>
            <w:r>
              <w:rPr>
                <w:rFonts w:hint="eastAsia"/>
                <w:color w:val="auto"/>
                <w:kern w:val="0"/>
                <w:sz w:val="24"/>
                <w:szCs w:val="24"/>
              </w:rPr>
              <w:t>″</w:t>
            </w:r>
            <w:r>
              <w:rPr>
                <w:rFonts w:hint="default" w:ascii="仿宋_GB2312" w:hAnsi="微软雅黑" w:eastAsia="仿宋_GB2312" w:cs="仿宋_GB2312"/>
                <w:i w:val="0"/>
                <w:iCs w:val="0"/>
                <w:caps w:val="0"/>
                <w:color w:val="auto"/>
                <w:spacing w:val="0"/>
                <w:sz w:val="24"/>
                <w:szCs w:val="24"/>
                <w:shd w:val="clear" w:fill="FFFFFF"/>
              </w:rPr>
              <w:t>，北纬</w:t>
            </w:r>
            <w:r>
              <w:rPr>
                <w:rFonts w:hint="eastAsia"/>
                <w:color w:val="auto"/>
                <w:kern w:val="0"/>
                <w:sz w:val="24"/>
                <w:szCs w:val="24"/>
              </w:rPr>
              <w:t>29°56′</w:t>
            </w:r>
            <w:r>
              <w:rPr>
                <w:rFonts w:hint="eastAsia"/>
                <w:color w:val="auto"/>
                <w:kern w:val="0"/>
                <w:sz w:val="24"/>
                <w:szCs w:val="24"/>
                <w:lang w:val="en-US" w:eastAsia="zh-CN"/>
              </w:rPr>
              <w:t>2.13</w:t>
            </w:r>
            <w:r>
              <w:rPr>
                <w:rFonts w:hint="eastAsia"/>
                <w:color w:val="auto"/>
                <w:kern w:val="0"/>
                <w:sz w:val="24"/>
                <w:szCs w:val="24"/>
              </w:rPr>
              <w:t>″</w:t>
            </w:r>
            <w:r>
              <w:rPr>
                <w:rFonts w:hint="default" w:ascii="仿宋_GB2312" w:hAnsi="微软雅黑" w:eastAsia="仿宋_GB2312" w:cs="仿宋_GB2312"/>
                <w:i w:val="0"/>
                <w:iCs w:val="0"/>
                <w:caps w:val="0"/>
                <w:color w:val="auto"/>
                <w:spacing w:val="0"/>
                <w:sz w:val="24"/>
                <w:szCs w:val="24"/>
                <w:shd w:val="clear" w:fill="FFFFFF"/>
              </w:rPr>
              <w:t>，入河排污口不在水源保护区范围内，项目论证预测范围内下游涉及</w:t>
            </w:r>
            <w:r>
              <w:rPr>
                <w:rFonts w:hint="eastAsia" w:ascii="仿宋_GB2312" w:hAnsi="微软雅黑" w:eastAsia="仿宋_GB2312" w:cs="仿宋_GB2312"/>
                <w:i w:val="0"/>
                <w:iCs w:val="0"/>
                <w:caps w:val="0"/>
                <w:color w:val="auto"/>
                <w:spacing w:val="0"/>
                <w:sz w:val="24"/>
                <w:szCs w:val="24"/>
                <w:shd w:val="clear" w:fill="FFFFFF"/>
                <w:lang w:val="en-US" w:eastAsia="zh-CN"/>
              </w:rPr>
              <w:t>鱼类索饵场、卵苗漂流通道</w:t>
            </w:r>
            <w:r>
              <w:rPr>
                <w:rFonts w:hint="default" w:ascii="仿宋_GB2312" w:hAnsi="微软雅黑" w:eastAsia="仿宋_GB2312" w:cs="仿宋_GB2312"/>
                <w:i w:val="0"/>
                <w:iCs w:val="0"/>
                <w:caps w:val="0"/>
                <w:color w:val="auto"/>
                <w:spacing w:val="0"/>
                <w:sz w:val="24"/>
                <w:szCs w:val="24"/>
                <w:shd w:val="clear" w:fill="FFFFFF"/>
              </w:rPr>
              <w:t>和洄游通道。项目主要污染物排放量为COD</w:t>
            </w:r>
            <w:r>
              <w:rPr>
                <w:rFonts w:hint="eastAsia" w:ascii="仿宋_GB2312" w:hAnsi="微软雅黑" w:eastAsia="仿宋_GB2312" w:cs="仿宋_GB2312"/>
                <w:i w:val="0"/>
                <w:iCs w:val="0"/>
                <w:caps w:val="0"/>
                <w:color w:val="auto"/>
                <w:spacing w:val="0"/>
                <w:sz w:val="24"/>
                <w:szCs w:val="24"/>
                <w:shd w:val="clear" w:fill="FFFFFF"/>
                <w:lang w:val="en-US" w:eastAsia="zh-CN"/>
              </w:rPr>
              <w:t>182.5</w:t>
            </w:r>
            <w:r>
              <w:rPr>
                <w:rFonts w:hint="default" w:ascii="仿宋_GB2312" w:hAnsi="微软雅黑" w:eastAsia="仿宋_GB2312" w:cs="仿宋_GB2312"/>
                <w:i w:val="0"/>
                <w:iCs w:val="0"/>
                <w:caps w:val="0"/>
                <w:color w:val="auto"/>
                <w:spacing w:val="0"/>
                <w:sz w:val="24"/>
                <w:szCs w:val="24"/>
                <w:shd w:val="clear" w:fill="FFFFFF"/>
              </w:rPr>
              <w:t>t/a、NH</w:t>
            </w:r>
            <w:r>
              <w:rPr>
                <w:rFonts w:hint="default" w:ascii="仿宋_GB2312" w:hAnsi="微软雅黑" w:eastAsia="仿宋_GB2312" w:cs="仿宋_GB2312"/>
                <w:i w:val="0"/>
                <w:iCs w:val="0"/>
                <w:caps w:val="0"/>
                <w:color w:val="auto"/>
                <w:spacing w:val="0"/>
                <w:sz w:val="24"/>
                <w:szCs w:val="24"/>
                <w:shd w:val="clear" w:fill="FFFFFF"/>
                <w:vertAlign w:val="subscript"/>
              </w:rPr>
              <w:t>3</w:t>
            </w:r>
            <w:r>
              <w:rPr>
                <w:rFonts w:hint="default" w:ascii="仿宋_GB2312" w:hAnsi="微软雅黑" w:eastAsia="仿宋_GB2312" w:cs="仿宋_GB2312"/>
                <w:i w:val="0"/>
                <w:iCs w:val="0"/>
                <w:caps w:val="0"/>
                <w:color w:val="auto"/>
                <w:spacing w:val="0"/>
                <w:sz w:val="24"/>
                <w:szCs w:val="24"/>
                <w:shd w:val="clear" w:fill="FFFFFF"/>
              </w:rPr>
              <w:t>-N</w:t>
            </w:r>
            <w:r>
              <w:rPr>
                <w:rFonts w:hint="eastAsia" w:ascii="仿宋_GB2312" w:hAnsi="微软雅黑" w:eastAsia="仿宋_GB2312" w:cs="仿宋_GB2312"/>
                <w:i w:val="0"/>
                <w:iCs w:val="0"/>
                <w:caps w:val="0"/>
                <w:color w:val="auto"/>
                <w:spacing w:val="0"/>
                <w:sz w:val="24"/>
                <w:szCs w:val="24"/>
                <w:shd w:val="clear" w:fill="FFFFFF"/>
                <w:lang w:val="en-US" w:eastAsia="zh-CN"/>
              </w:rPr>
              <w:t>18.25</w:t>
            </w:r>
            <w:r>
              <w:rPr>
                <w:rFonts w:hint="default" w:ascii="仿宋_GB2312" w:hAnsi="微软雅黑" w:eastAsia="仿宋_GB2312" w:cs="仿宋_GB2312"/>
                <w:i w:val="0"/>
                <w:iCs w:val="0"/>
                <w:caps w:val="0"/>
                <w:color w:val="auto"/>
                <w:spacing w:val="0"/>
                <w:sz w:val="24"/>
                <w:szCs w:val="24"/>
                <w:shd w:val="clear" w:fill="FFFFFF"/>
              </w:rPr>
              <w:t>t/a、BOD</w:t>
            </w:r>
            <w:r>
              <w:rPr>
                <w:rFonts w:hint="default" w:ascii="仿宋_GB2312" w:hAnsi="微软雅黑" w:eastAsia="仿宋_GB2312" w:cs="仿宋_GB2312"/>
                <w:i w:val="0"/>
                <w:iCs w:val="0"/>
                <w:caps w:val="0"/>
                <w:color w:val="auto"/>
                <w:spacing w:val="0"/>
                <w:sz w:val="24"/>
                <w:szCs w:val="24"/>
                <w:shd w:val="clear" w:fill="FFFFFF"/>
                <w:vertAlign w:val="subscript"/>
              </w:rPr>
              <w:t>5</w:t>
            </w:r>
            <w:r>
              <w:rPr>
                <w:rFonts w:hint="eastAsia" w:ascii="仿宋_GB2312" w:hAnsi="微软雅黑" w:eastAsia="仿宋_GB2312" w:cs="仿宋_GB2312"/>
                <w:i w:val="0"/>
                <w:iCs w:val="0"/>
                <w:caps w:val="0"/>
                <w:color w:val="auto"/>
                <w:spacing w:val="0"/>
                <w:sz w:val="24"/>
                <w:szCs w:val="24"/>
                <w:shd w:val="clear" w:fill="FFFFFF"/>
                <w:lang w:val="en-US" w:eastAsia="zh-CN"/>
              </w:rPr>
              <w:t>36.5</w:t>
            </w:r>
            <w:r>
              <w:rPr>
                <w:rFonts w:hint="default" w:ascii="仿宋_GB2312" w:hAnsi="微软雅黑" w:eastAsia="仿宋_GB2312" w:cs="仿宋_GB2312"/>
                <w:i w:val="0"/>
                <w:iCs w:val="0"/>
                <w:caps w:val="0"/>
                <w:color w:val="auto"/>
                <w:spacing w:val="0"/>
                <w:sz w:val="24"/>
                <w:szCs w:val="24"/>
                <w:shd w:val="clear" w:fill="FFFFFF"/>
              </w:rPr>
              <w:t>t/a、SS</w:t>
            </w:r>
            <w:r>
              <w:rPr>
                <w:rFonts w:hint="eastAsia" w:ascii="仿宋_GB2312" w:hAnsi="微软雅黑" w:eastAsia="仿宋_GB2312" w:cs="仿宋_GB2312"/>
                <w:i w:val="0"/>
                <w:iCs w:val="0"/>
                <w:caps w:val="0"/>
                <w:color w:val="auto"/>
                <w:spacing w:val="0"/>
                <w:sz w:val="24"/>
                <w:szCs w:val="24"/>
                <w:shd w:val="clear" w:fill="FFFFFF"/>
                <w:lang w:val="en-US" w:eastAsia="zh-CN"/>
              </w:rPr>
              <w:t>36.5</w:t>
            </w:r>
            <w:r>
              <w:rPr>
                <w:rFonts w:hint="default" w:ascii="仿宋_GB2312" w:hAnsi="微软雅黑" w:eastAsia="仿宋_GB2312" w:cs="仿宋_GB2312"/>
                <w:i w:val="0"/>
                <w:iCs w:val="0"/>
                <w:caps w:val="0"/>
                <w:color w:val="auto"/>
                <w:spacing w:val="0"/>
                <w:sz w:val="24"/>
                <w:szCs w:val="24"/>
                <w:shd w:val="clear" w:fill="FFFFFF"/>
              </w:rPr>
              <w:t>t/a。</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44" w:afterAutospacing="0" w:line="192" w:lineRule="atLeast"/>
              <w:ind w:left="0" w:right="0" w:firstLine="384"/>
              <w:jc w:val="both"/>
              <w:rPr>
                <w:rFonts w:hint="eastAsia" w:ascii="微软雅黑" w:hAnsi="微软雅黑" w:eastAsia="微软雅黑" w:cs="微软雅黑"/>
                <w:i w:val="0"/>
                <w:iCs w:val="0"/>
                <w:caps w:val="0"/>
                <w:color w:val="auto"/>
                <w:spacing w:val="0"/>
                <w:sz w:val="24"/>
                <w:szCs w:val="24"/>
              </w:rPr>
            </w:pPr>
            <w:r>
              <w:rPr>
                <w:rFonts w:hint="default" w:ascii="仿宋_GB2312" w:hAnsi="微软雅黑" w:eastAsia="仿宋_GB2312" w:cs="仿宋_GB2312"/>
                <w:i w:val="0"/>
                <w:iCs w:val="0"/>
                <w:caps w:val="0"/>
                <w:color w:val="auto"/>
                <w:spacing w:val="0"/>
                <w:sz w:val="24"/>
                <w:szCs w:val="24"/>
                <w:shd w:val="clear" w:fill="FFFFFF"/>
              </w:rPr>
              <w:t>根据项目建成后的地表水监测报告及论证预测结果显示，由于项目废水排放量</w:t>
            </w:r>
            <w:r>
              <w:rPr>
                <w:rFonts w:hint="eastAsia" w:ascii="仿宋_GB2312" w:hAnsi="微软雅黑" w:eastAsia="仿宋_GB2312" w:cs="仿宋_GB2312"/>
                <w:i w:val="0"/>
                <w:iCs w:val="0"/>
                <w:caps w:val="0"/>
                <w:color w:val="auto"/>
                <w:spacing w:val="0"/>
                <w:sz w:val="24"/>
                <w:szCs w:val="24"/>
                <w:shd w:val="clear" w:fill="FFFFFF"/>
                <w:lang w:val="en-US" w:eastAsia="zh-CN"/>
              </w:rPr>
              <w:t>较大</w:t>
            </w:r>
            <w:r>
              <w:rPr>
                <w:rFonts w:hint="default" w:ascii="仿宋_GB2312" w:hAnsi="微软雅黑" w:eastAsia="仿宋_GB2312" w:cs="仿宋_GB2312"/>
                <w:i w:val="0"/>
                <w:iCs w:val="0"/>
                <w:caps w:val="0"/>
                <w:color w:val="auto"/>
                <w:spacing w:val="0"/>
                <w:sz w:val="24"/>
                <w:szCs w:val="24"/>
                <w:shd w:val="clear" w:fill="FFFFFF"/>
              </w:rPr>
              <w:t>，废水排放至</w:t>
            </w:r>
            <w:r>
              <w:rPr>
                <w:rFonts w:hint="eastAsia" w:ascii="仿宋_GB2312" w:hAnsi="微软雅黑" w:eastAsia="仿宋_GB2312" w:cs="仿宋_GB2312"/>
                <w:i w:val="0"/>
                <w:iCs w:val="0"/>
                <w:caps w:val="0"/>
                <w:color w:val="auto"/>
                <w:spacing w:val="0"/>
                <w:sz w:val="24"/>
                <w:szCs w:val="24"/>
                <w:shd w:val="clear" w:fill="FFFFFF"/>
                <w:lang w:val="en-US" w:eastAsia="zh-CN"/>
              </w:rPr>
              <w:t>朗溪河氨氮不满足</w:t>
            </w:r>
            <w:r>
              <w:rPr>
                <w:rFonts w:hint="default" w:ascii="仿宋_GB2312" w:hAnsi="微软雅黑" w:eastAsia="仿宋_GB2312" w:cs="仿宋_GB2312"/>
                <w:i w:val="0"/>
                <w:iCs w:val="0"/>
                <w:caps w:val="0"/>
                <w:color w:val="auto"/>
                <w:spacing w:val="0"/>
                <w:sz w:val="24"/>
                <w:szCs w:val="24"/>
                <w:shd w:val="clear" w:fill="FFFFFF"/>
              </w:rPr>
              <w:t>水功能区的水质管理目标</w:t>
            </w:r>
            <w:r>
              <w:rPr>
                <w:rFonts w:hint="eastAsia" w:ascii="仿宋_GB2312" w:hAnsi="微软雅黑" w:cs="仿宋_GB2312"/>
                <w:i w:val="0"/>
                <w:iCs w:val="0"/>
                <w:caps w:val="0"/>
                <w:color w:val="auto"/>
                <w:spacing w:val="0"/>
                <w:sz w:val="24"/>
                <w:szCs w:val="24"/>
                <w:shd w:val="clear" w:fill="FFFFFF"/>
                <w:lang w:eastAsia="zh-CN"/>
              </w:rPr>
              <w:t>，</w:t>
            </w:r>
            <w:r>
              <w:rPr>
                <w:rFonts w:hint="eastAsia" w:ascii="仿宋_GB2312" w:hAnsi="微软雅黑" w:cs="仿宋_GB2312"/>
                <w:i w:val="0"/>
                <w:iCs w:val="0"/>
                <w:caps w:val="0"/>
                <w:color w:val="auto"/>
                <w:spacing w:val="0"/>
                <w:sz w:val="24"/>
                <w:szCs w:val="24"/>
                <w:shd w:val="clear" w:fill="FFFFFF"/>
                <w:lang w:val="en-US" w:eastAsia="zh-CN"/>
              </w:rPr>
              <w:t>其余指标满足；</w:t>
            </w:r>
            <w:r>
              <w:rPr>
                <w:rFonts w:hint="default" w:ascii="仿宋_GB2312" w:hAnsi="微软雅黑" w:eastAsia="仿宋_GB2312" w:cs="仿宋_GB2312"/>
                <w:i w:val="0"/>
                <w:iCs w:val="0"/>
                <w:caps w:val="0"/>
                <w:color w:val="auto"/>
                <w:spacing w:val="0"/>
                <w:sz w:val="24"/>
                <w:szCs w:val="24"/>
                <w:shd w:val="clear" w:fill="FFFFFF"/>
              </w:rPr>
              <w:t>长江</w:t>
            </w:r>
            <w:r>
              <w:rPr>
                <w:rFonts w:hint="eastAsia" w:ascii="仿宋_GB2312" w:hAnsi="微软雅黑" w:eastAsia="仿宋_GB2312" w:cs="仿宋_GB2312"/>
                <w:i w:val="0"/>
                <w:iCs w:val="0"/>
                <w:caps w:val="0"/>
                <w:color w:val="auto"/>
                <w:spacing w:val="0"/>
                <w:sz w:val="24"/>
                <w:szCs w:val="24"/>
                <w:shd w:val="clear" w:fill="FFFFFF"/>
                <w:lang w:val="en-US" w:eastAsia="zh-CN"/>
              </w:rPr>
              <w:t>段</w:t>
            </w:r>
            <w:r>
              <w:rPr>
                <w:rFonts w:hint="default" w:ascii="仿宋_GB2312" w:hAnsi="微软雅黑" w:eastAsia="仿宋_GB2312" w:cs="仿宋_GB2312"/>
                <w:i w:val="0"/>
                <w:iCs w:val="0"/>
                <w:caps w:val="0"/>
                <w:color w:val="auto"/>
                <w:spacing w:val="0"/>
                <w:sz w:val="24"/>
                <w:szCs w:val="24"/>
                <w:shd w:val="clear" w:fill="FFFFFF"/>
              </w:rPr>
              <w:t>可满足水功能区的水质管理目标，</w:t>
            </w:r>
            <w:r>
              <w:rPr>
                <w:rFonts w:hint="eastAsia" w:ascii="Times New Roman" w:cs="Times New Roman"/>
                <w:color w:val="auto"/>
                <w:sz w:val="24"/>
                <w:szCs w:val="24"/>
                <w:highlight w:val="none"/>
                <w:lang w:val="en-US" w:eastAsia="zh-CN"/>
              </w:rPr>
              <w:t>但考虑下游1.35km即汇入长江</w:t>
            </w:r>
            <w:r>
              <w:rPr>
                <w:rFonts w:hint="eastAsia" w:ascii="仿宋_GB2312" w:hAnsi="微软雅黑" w:eastAsia="仿宋_GB2312" w:cs="仿宋_GB2312"/>
                <w:i w:val="0"/>
                <w:iCs w:val="0"/>
                <w:caps w:val="0"/>
                <w:color w:val="auto"/>
                <w:spacing w:val="0"/>
                <w:sz w:val="24"/>
                <w:szCs w:val="24"/>
                <w:shd w:val="clear" w:fill="FFFFFF"/>
                <w:lang w:eastAsia="zh-CN"/>
              </w:rPr>
              <w:t>，</w:t>
            </w:r>
            <w:r>
              <w:rPr>
                <w:rFonts w:hint="default" w:ascii="仿宋_GB2312" w:hAnsi="微软雅黑" w:eastAsia="仿宋_GB2312" w:cs="仿宋_GB2312"/>
                <w:i w:val="0"/>
                <w:iCs w:val="0"/>
                <w:caps w:val="0"/>
                <w:color w:val="auto"/>
                <w:spacing w:val="0"/>
                <w:sz w:val="24"/>
                <w:szCs w:val="24"/>
                <w:shd w:val="clear" w:fill="FFFFFF"/>
              </w:rPr>
              <w:t>因此本项目的废水排放不会对鱼类造成不利影响。总体上说，项目由于排水对</w:t>
            </w:r>
            <w:r>
              <w:rPr>
                <w:rFonts w:hint="eastAsia" w:ascii="仿宋_GB2312" w:hAnsi="微软雅黑" w:eastAsia="仿宋_GB2312" w:cs="仿宋_GB2312"/>
                <w:i w:val="0"/>
                <w:iCs w:val="0"/>
                <w:caps w:val="0"/>
                <w:color w:val="auto"/>
                <w:spacing w:val="0"/>
                <w:sz w:val="24"/>
                <w:szCs w:val="24"/>
                <w:shd w:val="clear" w:fill="FFFFFF"/>
                <w:lang w:val="en-US" w:eastAsia="zh-CN"/>
              </w:rPr>
              <w:t>朗溪河以及</w:t>
            </w:r>
            <w:r>
              <w:rPr>
                <w:rFonts w:hint="default" w:ascii="仿宋_GB2312" w:hAnsi="微软雅黑" w:eastAsia="仿宋_GB2312" w:cs="仿宋_GB2312"/>
                <w:i w:val="0"/>
                <w:iCs w:val="0"/>
                <w:caps w:val="0"/>
                <w:color w:val="auto"/>
                <w:spacing w:val="0"/>
                <w:sz w:val="24"/>
                <w:szCs w:val="24"/>
                <w:shd w:val="clear" w:fill="FFFFFF"/>
              </w:rPr>
              <w:t>长江水环境影响有限，但企业在日常中应严格运行管理，严控出水水质，最大限度减少本项目污染物入河量。</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44" w:afterAutospacing="0" w:line="192" w:lineRule="atLeast"/>
              <w:ind w:left="0" w:right="0" w:firstLine="384"/>
              <w:jc w:val="both"/>
              <w:rPr>
                <w:rFonts w:hint="eastAsia" w:ascii="微软雅黑" w:hAnsi="微软雅黑" w:eastAsia="微软雅黑" w:cs="微软雅黑"/>
                <w:i w:val="0"/>
                <w:iCs w:val="0"/>
                <w:caps w:val="0"/>
                <w:color w:val="auto"/>
                <w:spacing w:val="0"/>
                <w:sz w:val="24"/>
                <w:szCs w:val="24"/>
              </w:rPr>
            </w:pPr>
            <w:r>
              <w:rPr>
                <w:rFonts w:hint="default" w:ascii="仿宋_GB2312" w:hAnsi="微软雅黑" w:eastAsia="仿宋_GB2312" w:cs="仿宋_GB2312"/>
                <w:i w:val="0"/>
                <w:iCs w:val="0"/>
                <w:caps w:val="0"/>
                <w:color w:val="auto"/>
                <w:spacing w:val="0"/>
                <w:sz w:val="24"/>
                <w:szCs w:val="24"/>
                <w:shd w:val="clear" w:fill="FFFFFF"/>
              </w:rPr>
              <w:t>根据《中华人民共和国水法》《中华人民共和国水污染防治法》、《水功能区管理办法》和《入河排污口监督管理办法》等法律法规要求，</w:t>
            </w:r>
            <w:r>
              <w:rPr>
                <w:rFonts w:hint="eastAsia" w:ascii="仿宋_GB2312" w:hAnsi="微软雅黑" w:eastAsia="仿宋_GB2312" w:cs="仿宋_GB2312"/>
                <w:i w:val="0"/>
                <w:iCs w:val="0"/>
                <w:caps w:val="0"/>
                <w:color w:val="auto"/>
                <w:spacing w:val="0"/>
                <w:sz w:val="24"/>
                <w:szCs w:val="24"/>
                <w:shd w:val="clear" w:fill="FFFFFF"/>
              </w:rPr>
              <w:t>重庆江之源环保工程有限公司</w:t>
            </w:r>
            <w:r>
              <w:rPr>
                <w:rFonts w:hint="default" w:ascii="仿宋_GB2312" w:hAnsi="微软雅黑" w:eastAsia="仿宋_GB2312" w:cs="仿宋_GB2312"/>
                <w:i w:val="0"/>
                <w:iCs w:val="0"/>
                <w:caps w:val="0"/>
                <w:color w:val="auto"/>
                <w:spacing w:val="0"/>
                <w:sz w:val="24"/>
                <w:szCs w:val="24"/>
                <w:shd w:val="clear" w:fill="FFFFFF"/>
              </w:rPr>
              <w:t>在入河排污口设置前编制了入河排污口设置论证报告，向丰都县生态环境局申请入河排污口设置批复。</w:t>
            </w:r>
          </w:p>
          <w:p>
            <w:pPr>
              <w:spacing w:line="240" w:lineRule="atLeast"/>
              <w:jc w:val="left"/>
              <w:rPr>
                <w:rFonts w:hAnsi="宋体"/>
                <w:color w:val="auto"/>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宋体"/>
                <w:kern w:val="0"/>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宋体"/>
                <w:kern w:val="0"/>
                <w:sz w:val="24"/>
              </w:rPr>
            </w:pPr>
          </w:p>
        </w:tc>
      </w:tr>
    </w:tbl>
    <w:p>
      <w:pPr>
        <w:ind w:firstLine="640" w:firstLineChars="200"/>
        <w:rPr>
          <w:rFonts w:ascii="仿宋" w:hAnsi="仿宋" w:eastAsia="仿宋"/>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NmVhMDVmOGQ3ZTI4MGJiZTVjYzVmMjhjY2Y2NWUifQ=="/>
  </w:docVars>
  <w:rsids>
    <w:rsidRoot w:val="00172A27"/>
    <w:rsid w:val="00025CD6"/>
    <w:rsid w:val="00096155"/>
    <w:rsid w:val="000B5C60"/>
    <w:rsid w:val="000C6C14"/>
    <w:rsid w:val="00172A27"/>
    <w:rsid w:val="003A0A0C"/>
    <w:rsid w:val="00545C6C"/>
    <w:rsid w:val="005E4B83"/>
    <w:rsid w:val="0069082C"/>
    <w:rsid w:val="006A6457"/>
    <w:rsid w:val="006E69D0"/>
    <w:rsid w:val="007027B5"/>
    <w:rsid w:val="007C2515"/>
    <w:rsid w:val="008B27C2"/>
    <w:rsid w:val="00A35AC0"/>
    <w:rsid w:val="00B12728"/>
    <w:rsid w:val="00B24A4C"/>
    <w:rsid w:val="00F369DD"/>
    <w:rsid w:val="00F52BEB"/>
    <w:rsid w:val="00FA52A8"/>
    <w:rsid w:val="01B370ED"/>
    <w:rsid w:val="02103FD7"/>
    <w:rsid w:val="02204F9E"/>
    <w:rsid w:val="036F4A4D"/>
    <w:rsid w:val="05227204"/>
    <w:rsid w:val="052A58E8"/>
    <w:rsid w:val="055C7BAD"/>
    <w:rsid w:val="060710BA"/>
    <w:rsid w:val="065F49F1"/>
    <w:rsid w:val="06E82565"/>
    <w:rsid w:val="07925189"/>
    <w:rsid w:val="0806098F"/>
    <w:rsid w:val="080C1E06"/>
    <w:rsid w:val="09062B40"/>
    <w:rsid w:val="091B3F5B"/>
    <w:rsid w:val="095D06EA"/>
    <w:rsid w:val="095D0865"/>
    <w:rsid w:val="0AF472EB"/>
    <w:rsid w:val="0C122CA9"/>
    <w:rsid w:val="0C2625A5"/>
    <w:rsid w:val="0C627B43"/>
    <w:rsid w:val="0C9C0468"/>
    <w:rsid w:val="0CFA31A3"/>
    <w:rsid w:val="0DD46EA4"/>
    <w:rsid w:val="0E25093E"/>
    <w:rsid w:val="0E3C0E7B"/>
    <w:rsid w:val="107575AB"/>
    <w:rsid w:val="114D2B24"/>
    <w:rsid w:val="126C13D5"/>
    <w:rsid w:val="151F7494"/>
    <w:rsid w:val="154228B4"/>
    <w:rsid w:val="154A21E3"/>
    <w:rsid w:val="15750F86"/>
    <w:rsid w:val="15D86C1C"/>
    <w:rsid w:val="17CE1F19"/>
    <w:rsid w:val="18073C78"/>
    <w:rsid w:val="1899772D"/>
    <w:rsid w:val="18B36FCB"/>
    <w:rsid w:val="18B42969"/>
    <w:rsid w:val="18D04997"/>
    <w:rsid w:val="19F92998"/>
    <w:rsid w:val="1B847E63"/>
    <w:rsid w:val="1BC14733"/>
    <w:rsid w:val="1BC33881"/>
    <w:rsid w:val="1BF826F3"/>
    <w:rsid w:val="1BFE267C"/>
    <w:rsid w:val="1D405232"/>
    <w:rsid w:val="1E195832"/>
    <w:rsid w:val="1E6B7379"/>
    <w:rsid w:val="1EFB489C"/>
    <w:rsid w:val="1FBC6145"/>
    <w:rsid w:val="1FC870A5"/>
    <w:rsid w:val="20EC7077"/>
    <w:rsid w:val="2249643C"/>
    <w:rsid w:val="22CF087D"/>
    <w:rsid w:val="23600EDB"/>
    <w:rsid w:val="23603D52"/>
    <w:rsid w:val="23D126E7"/>
    <w:rsid w:val="25555228"/>
    <w:rsid w:val="25B122D6"/>
    <w:rsid w:val="25F86BCD"/>
    <w:rsid w:val="26163A5E"/>
    <w:rsid w:val="267D1AB2"/>
    <w:rsid w:val="268B762F"/>
    <w:rsid w:val="26D345D1"/>
    <w:rsid w:val="273B3B25"/>
    <w:rsid w:val="27715CE2"/>
    <w:rsid w:val="29692A1A"/>
    <w:rsid w:val="297B6228"/>
    <w:rsid w:val="2A541BC7"/>
    <w:rsid w:val="2AC76886"/>
    <w:rsid w:val="2B0901FB"/>
    <w:rsid w:val="2BCA4992"/>
    <w:rsid w:val="2C1361EC"/>
    <w:rsid w:val="2C393619"/>
    <w:rsid w:val="2CB963C6"/>
    <w:rsid w:val="2DEA75FA"/>
    <w:rsid w:val="2E561D73"/>
    <w:rsid w:val="2F080C11"/>
    <w:rsid w:val="2FC51B07"/>
    <w:rsid w:val="30CE35D1"/>
    <w:rsid w:val="33D35CF2"/>
    <w:rsid w:val="34987453"/>
    <w:rsid w:val="35FB223E"/>
    <w:rsid w:val="3AA229ED"/>
    <w:rsid w:val="3B117EFC"/>
    <w:rsid w:val="3B2813FC"/>
    <w:rsid w:val="3B3B6F55"/>
    <w:rsid w:val="3B521888"/>
    <w:rsid w:val="3C9B0507"/>
    <w:rsid w:val="406D28A9"/>
    <w:rsid w:val="40F82E2F"/>
    <w:rsid w:val="41B00B7A"/>
    <w:rsid w:val="438A71A5"/>
    <w:rsid w:val="44010BA2"/>
    <w:rsid w:val="44544E4E"/>
    <w:rsid w:val="45B83008"/>
    <w:rsid w:val="460B15CD"/>
    <w:rsid w:val="46E53FEE"/>
    <w:rsid w:val="47F025D9"/>
    <w:rsid w:val="48092C09"/>
    <w:rsid w:val="491E7311"/>
    <w:rsid w:val="494B3CE8"/>
    <w:rsid w:val="49AD34D2"/>
    <w:rsid w:val="4A000E4F"/>
    <w:rsid w:val="4BC47DA4"/>
    <w:rsid w:val="4D324B04"/>
    <w:rsid w:val="4D4634B1"/>
    <w:rsid w:val="4D73080F"/>
    <w:rsid w:val="4DDE51C1"/>
    <w:rsid w:val="4E6B07DA"/>
    <w:rsid w:val="4E6C3F6F"/>
    <w:rsid w:val="513B1277"/>
    <w:rsid w:val="515E2DAD"/>
    <w:rsid w:val="51B77AD5"/>
    <w:rsid w:val="51E97071"/>
    <w:rsid w:val="53F44D5B"/>
    <w:rsid w:val="54DD56AC"/>
    <w:rsid w:val="561617BC"/>
    <w:rsid w:val="57B803A8"/>
    <w:rsid w:val="59317CFE"/>
    <w:rsid w:val="59595FA5"/>
    <w:rsid w:val="599077D6"/>
    <w:rsid w:val="59B30D3A"/>
    <w:rsid w:val="5A644233"/>
    <w:rsid w:val="5BBE4EC7"/>
    <w:rsid w:val="5BE01E9C"/>
    <w:rsid w:val="5E541D10"/>
    <w:rsid w:val="5E806E7F"/>
    <w:rsid w:val="5F15477B"/>
    <w:rsid w:val="607D125C"/>
    <w:rsid w:val="60E45152"/>
    <w:rsid w:val="61377321"/>
    <w:rsid w:val="622178B2"/>
    <w:rsid w:val="62B306DB"/>
    <w:rsid w:val="63A57AA3"/>
    <w:rsid w:val="63AC4286"/>
    <w:rsid w:val="645B5116"/>
    <w:rsid w:val="64BF279B"/>
    <w:rsid w:val="655F0674"/>
    <w:rsid w:val="659C2241"/>
    <w:rsid w:val="671E00D4"/>
    <w:rsid w:val="69357603"/>
    <w:rsid w:val="69B1644C"/>
    <w:rsid w:val="69E0409B"/>
    <w:rsid w:val="69F9577F"/>
    <w:rsid w:val="6A7923F2"/>
    <w:rsid w:val="6B1E798E"/>
    <w:rsid w:val="6BAD01A2"/>
    <w:rsid w:val="6BD86030"/>
    <w:rsid w:val="6BDB62B2"/>
    <w:rsid w:val="6C6B4D2B"/>
    <w:rsid w:val="6CBD6A4A"/>
    <w:rsid w:val="6CE60082"/>
    <w:rsid w:val="6DE22F6A"/>
    <w:rsid w:val="6EA0469A"/>
    <w:rsid w:val="6FF310C4"/>
    <w:rsid w:val="719F2DA2"/>
    <w:rsid w:val="72A91B35"/>
    <w:rsid w:val="72FB7C89"/>
    <w:rsid w:val="74D76776"/>
    <w:rsid w:val="750C07E7"/>
    <w:rsid w:val="751F1460"/>
    <w:rsid w:val="76E77A46"/>
    <w:rsid w:val="77EA4FCF"/>
    <w:rsid w:val="789744D1"/>
    <w:rsid w:val="79747CA1"/>
    <w:rsid w:val="798E7EA0"/>
    <w:rsid w:val="79BB097A"/>
    <w:rsid w:val="79C421FD"/>
    <w:rsid w:val="7A280155"/>
    <w:rsid w:val="7B945188"/>
    <w:rsid w:val="7BF6443F"/>
    <w:rsid w:val="7D707D6C"/>
    <w:rsid w:val="7DA12BB9"/>
    <w:rsid w:val="7DF2788C"/>
    <w:rsid w:val="7E9C4D26"/>
    <w:rsid w:val="7F16581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unhideWhenUsed/>
    <w:qFormat/>
    <w:uiPriority w:val="9"/>
    <w:pPr>
      <w:keepNext/>
      <w:keepLines/>
      <w:outlineLvl w:val="2"/>
    </w:pPr>
    <w:rPr>
      <w:bCs/>
      <w:szCs w:val="32"/>
    </w:rPr>
  </w:style>
  <w:style w:type="paragraph" w:styleId="4">
    <w:name w:val="heading 4"/>
    <w:basedOn w:val="1"/>
    <w:next w:val="1"/>
    <w:qFormat/>
    <w:uiPriority w:val="0"/>
    <w:pPr>
      <w:keepNext/>
      <w:keepLines/>
      <w:spacing w:line="374" w:lineRule="auto"/>
      <w:outlineLvl w:val="3"/>
    </w:pPr>
    <w:rPr>
      <w:rFonts w:ascii="Arial" w:hAnsi="Arial" w:eastAsia="黑体"/>
      <w:b/>
      <w:bCs/>
      <w:sz w:val="28"/>
      <w:szCs w:val="28"/>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Body Text First Indent"/>
    <w:basedOn w:val="2"/>
    <w:unhideWhenUsed/>
    <w:qFormat/>
    <w:uiPriority w:val="0"/>
    <w:pPr>
      <w:spacing w:after="0" w:line="480" w:lineRule="exact"/>
      <w:ind w:firstLine="200" w:firstLineChars="200"/>
    </w:p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rPr>
  </w:style>
  <w:style w:type="paragraph" w:styleId="9">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样式 正文缩进正文缩进2正文缩进 Char Char正文缩进 Char Char Char Char正文缩进 Char ..."/>
    <w:basedOn w:val="6"/>
    <w:qFormat/>
    <w:uiPriority w:val="0"/>
    <w:pPr>
      <w:spacing w:line="360" w:lineRule="auto"/>
      <w:ind w:firstLine="200"/>
    </w:pPr>
    <w:rPr>
      <w:rFonts w:cs="宋体"/>
      <w:sz w:val="24"/>
    </w:rPr>
  </w:style>
  <w:style w:type="character" w:customStyle="1" w:styleId="17">
    <w:name w:val="页眉 Char"/>
    <w:basedOn w:val="12"/>
    <w:link w:val="10"/>
    <w:qFormat/>
    <w:uiPriority w:val="99"/>
    <w:rPr>
      <w:sz w:val="18"/>
      <w:szCs w:val="18"/>
    </w:rPr>
  </w:style>
  <w:style w:type="character" w:customStyle="1" w:styleId="18">
    <w:name w:val="页脚 Char"/>
    <w:basedOn w:val="12"/>
    <w:link w:val="9"/>
    <w:qFormat/>
    <w:uiPriority w:val="99"/>
    <w:rPr>
      <w:sz w:val="18"/>
      <w:szCs w:val="18"/>
    </w:rPr>
  </w:style>
  <w:style w:type="paragraph" w:customStyle="1" w:styleId="19">
    <w:name w:val="xl31"/>
    <w:basedOn w:val="1"/>
    <w:qFormat/>
    <w:uiPriority w:val="0"/>
    <w:pPr>
      <w:widowControl/>
      <w:spacing w:before="100" w:beforeAutospacing="1" w:after="100" w:afterAutospacing="1"/>
      <w:jc w:val="center"/>
    </w:pPr>
    <w:rPr>
      <w:rFonts w:eastAsia="宋体"/>
      <w:kern w:val="0"/>
      <w:sz w:val="24"/>
      <w:szCs w:val="20"/>
    </w:rPr>
  </w:style>
  <w:style w:type="paragraph" w:customStyle="1" w:styleId="20">
    <w:name w:val="样式2"/>
    <w:basedOn w:val="1"/>
    <w:qFormat/>
    <w:uiPriority w:val="0"/>
    <w:pPr>
      <w:autoSpaceDE w:val="0"/>
      <w:autoSpaceDN w:val="0"/>
      <w:adjustRightInd w:val="0"/>
      <w:spacing w:line="500" w:lineRule="exact"/>
      <w:jc w:val="left"/>
    </w:pPr>
    <w:rPr>
      <w:rFonts w:ascii="宋体" w:eastAsia="宋体"/>
      <w:kern w:val="0"/>
      <w:sz w:val="26"/>
      <w:szCs w:val="20"/>
    </w:rPr>
  </w:style>
  <w:style w:type="paragraph" w:customStyle="1" w:styleId="21">
    <w:name w:val="正文   1"/>
    <w:basedOn w:val="1"/>
    <w:qFormat/>
    <w:uiPriority w:val="0"/>
    <w:pPr>
      <w:snapToGrid w:val="0"/>
      <w:spacing w:line="460" w:lineRule="atLeast"/>
      <w:ind w:firstLine="520" w:firstLineChars="200"/>
    </w:pPr>
    <w:rPr>
      <w:bCs/>
      <w:sz w:val="26"/>
    </w:rPr>
  </w:style>
  <w:style w:type="paragraph" w:customStyle="1" w:styleId="22">
    <w:name w:val="中文报告书样式"/>
    <w:basedOn w:val="1"/>
    <w:qFormat/>
    <w:uiPriority w:val="0"/>
    <w:pPr>
      <w:adjustRightInd w:val="0"/>
      <w:spacing w:line="480" w:lineRule="atLeast"/>
      <w:ind w:firstLine="482"/>
      <w:textAlignment w:val="baseline"/>
    </w:pPr>
    <w:rPr>
      <w:kern w:val="24"/>
      <w:sz w:val="24"/>
    </w:rPr>
  </w:style>
  <w:style w:type="paragraph" w:customStyle="1" w:styleId="23">
    <w:name w:val="Char Char10 Char Char Char Char Char Char Char Char Char Char Char Char"/>
    <w:basedOn w:val="1"/>
    <w:qFormat/>
    <w:uiPriority w:val="0"/>
    <w:rPr>
      <w:sz w:val="24"/>
    </w:rPr>
  </w:style>
  <w:style w:type="paragraph" w:customStyle="1" w:styleId="24">
    <w:name w:val="报告正文"/>
    <w:basedOn w:val="1"/>
    <w:qFormat/>
    <w:uiPriority w:val="0"/>
    <w:pPr>
      <w:spacing w:line="360" w:lineRule="auto"/>
      <w:ind w:firstLine="200" w:firstLineChars="200"/>
      <w:textAlignment w:val="baseline"/>
    </w:pPr>
    <w:rPr>
      <w:sz w:val="24"/>
      <w:szCs w:val="20"/>
    </w:rPr>
  </w:style>
  <w:style w:type="paragraph" w:customStyle="1" w:styleId="25">
    <w:name w:val="zh正文"/>
    <w:basedOn w:val="1"/>
    <w:qFormat/>
    <w:uiPriority w:val="0"/>
    <w:pPr>
      <w:spacing w:line="460" w:lineRule="exact"/>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911</Words>
  <Characters>1041</Characters>
  <Lines>7</Lines>
  <Paragraphs>2</Paragraphs>
  <ScaleCrop>false</ScaleCrop>
  <LinksUpToDate>false</LinksUpToDate>
  <CharactersWithSpaces>1041</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2019-04-17T03:12:00Z</dcterms:created>
  <dc:creator>微软用户</dc:creator>
  <cp:lastModifiedBy>xjzx</cp:lastModifiedBy>
  <cp:lastPrinted>2024-01-15T02:29:00Z</cp:lastPrinted>
  <dcterms:modified xsi:type="dcterms:W3CDTF">2025-09-18T08:00:55Z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AB24B58CC58D4DB8912C350EED16B7AD_13</vt:lpwstr>
  </property>
  <property fmtid="{D5CDD505-2E9C-101B-9397-08002B2CF9AE}" pid="4" name="KSOTemplateDocerSaveRecord">
    <vt:lpwstr>eyJoZGlkIjoiYTQyYzczYTI0ODc5ZDM5ZDI3OTVlYzZmYTg5Y2ZlYjQiLCJ1c2VySWQiOiI2MjEzMjg0ODIifQ==</vt:lpwstr>
  </property>
</Properties>
</file>