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丰都县建磊石材有限公司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丰都县建磊石材有限公司石板坡砂岩矿开采项目</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22</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2025年8月26日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2408-500230-04-01-158269</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2025年8月27日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A9247E"/>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2F4349F"/>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9512A9"/>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2025-08-27T07:02:26Z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