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rPr>
      </w:pPr>
      <w:bookmarkStart w:id="3" w:name="_GoBack"/>
      <w:bookmarkEnd w:id="3"/>
      <w:r>
        <w:rPr>
          <w:rFonts w:hint="eastAsia"/>
          <w:b/>
          <w:sz w:val="32"/>
          <w:szCs w:val="32"/>
        </w:rPr>
        <w:t>丰都县生态环境局受理和拟审批建设项目环评信息公示表</w:t>
      </w:r>
    </w:p>
    <w:p>
      <w:pPr/>
    </w:p>
    <w:p>
      <w:pPr>
        <w:ind w:firstLine="420" w:firstLineChars="200"/>
        <w:rPr>
          <w:color w:val="000000" w:themeColor="text1"/>
          <w14:textFill>
            <w14:solidFill>
              <w14:schemeClr w14:val="tx1"/>
            </w14:solidFill>
          </w14:textFill>
        </w:rPr>
      </w:pPr>
      <w:r>
        <w:rPr>
          <w:rFonts w:hint="eastAsia"/>
        </w:rPr>
        <w:t>按照《重庆市生态环境局办公室关于深化工程建设项目环境影响评价文件审批实施告知承诺制改革有关事项的补充通知》（</w:t>
      </w:r>
      <w:bookmarkStart w:id="0" w:name="gwz"/>
      <w:r>
        <w:rPr>
          <w:rFonts w:hint="eastAsia"/>
        </w:rPr>
        <w:t>渝环办</w:t>
      </w:r>
      <w:bookmarkEnd w:id="0"/>
      <w:r>
        <w:rPr>
          <w:rFonts w:hint="eastAsia"/>
        </w:rPr>
        <w:t>〔</w:t>
      </w:r>
      <w:bookmarkStart w:id="1" w:name="gwnh"/>
      <w:r>
        <w:rPr>
          <w:rFonts w:hint="eastAsia"/>
        </w:rPr>
        <w:t>2022</w:t>
      </w:r>
      <w:bookmarkEnd w:id="1"/>
      <w:r>
        <w:rPr>
          <w:rFonts w:hint="eastAsia"/>
        </w:rPr>
        <w:t>〕</w:t>
      </w:r>
      <w:bookmarkStart w:id="2" w:name="gwqh"/>
      <w:r>
        <w:rPr>
          <w:rFonts w:hint="eastAsia"/>
        </w:rPr>
        <w:t>140</w:t>
      </w:r>
      <w:bookmarkEnd w:id="2"/>
      <w:r>
        <w:rPr>
          <w:rFonts w:hint="eastAsia"/>
        </w:rPr>
        <w:t>号），</w:t>
      </w:r>
      <w:r>
        <w:rPr>
          <w:rFonts w:hint="eastAsia"/>
          <w:color w:val="000000" w:themeColor="text1"/>
          <w14:textFill>
            <w14:solidFill>
              <w14:schemeClr w14:val="tx1"/>
            </w14:solidFill>
          </w14:textFill>
        </w:rPr>
        <w:t>丰都县生态环境局于2024年5 月</w:t>
      </w: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日受理和拟审批以下建设项目环评文件，现公告有关环评信息，接受社会监督，受理公示期为2024年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日至2024年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29</w:t>
      </w:r>
      <w:r>
        <w:rPr>
          <w:rFonts w:hint="eastAsia"/>
          <w:color w:val="000000" w:themeColor="text1"/>
          <w14:textFill>
            <w14:solidFill>
              <w14:schemeClr w14:val="tx1"/>
            </w14:solidFill>
          </w14:textFill>
        </w:rPr>
        <w:t>日（5个工作日），拟审批公示期为2024年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日至2024年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日（5个工作日）。环评文件查询方式: </w:t>
      </w:r>
      <w:r>
        <w:rPr>
          <w:color w:val="000000" w:themeColor="text1"/>
          <w14:textFill>
            <w14:solidFill>
              <w14:schemeClr w14:val="tx1"/>
            </w14:solidFill>
          </w14:textFill>
        </w:rPr>
        <w:t>http://www.cqfd.gov.cn/bm/sthjj/</w:t>
      </w:r>
      <w:r>
        <w:rPr>
          <w:rFonts w:hint="eastAsia"/>
          <w:color w:val="000000" w:themeColor="text1"/>
          <w14:textFill>
            <w14:solidFill>
              <w14:schemeClr w14:val="tx1"/>
            </w14:solidFill>
          </w14:textFill>
        </w:rPr>
        <w:t xml:space="preserve"> 。</w:t>
      </w:r>
    </w:p>
    <w:p>
      <w:pPr/>
      <w:r>
        <w:rPr>
          <w:rFonts w:hint="eastAsia"/>
        </w:rPr>
        <w:t>反馈意见受理方式为电子邮箱：6239779@qq.com，传真：</w:t>
      </w:r>
      <w:r>
        <w:rPr>
          <w:rFonts w:hint="eastAsia"/>
          <w:lang w:val="en-US" w:eastAsia="zh-CN"/>
        </w:rPr>
        <w:t>023-</w:t>
      </w:r>
      <w:r>
        <w:rPr>
          <w:rFonts w:hint="eastAsia"/>
        </w:rPr>
        <w:t>70702532 ，电话：</w:t>
      </w:r>
      <w:r>
        <w:rPr>
          <w:rFonts w:hint="eastAsia"/>
          <w:lang w:val="en-US" w:eastAsia="zh-CN"/>
        </w:rPr>
        <w:t>023-</w:t>
      </w:r>
      <w:r>
        <w:rPr>
          <w:rFonts w:hint="eastAsia"/>
        </w:rPr>
        <w:t>70708728，通信地址：重庆市丰都县三合街道商业路321号生态环境局，邮编：408200。申请人和利害关系人可自拟审批公示起5个工作日内以书面形式向我局提出听证申请。</w:t>
      </w:r>
    </w:p>
    <w:p>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28"/>
        <w:gridCol w:w="655"/>
        <w:gridCol w:w="709"/>
        <w:gridCol w:w="709"/>
        <w:gridCol w:w="709"/>
        <w:gridCol w:w="2693"/>
        <w:gridCol w:w="4394"/>
        <w:gridCol w:w="879"/>
        <w:gridCol w:w="138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b/>
                <w:color w:val="auto"/>
              </w:rPr>
            </w:pPr>
            <w:r>
              <w:rPr>
                <w:rFonts w:hint="eastAsia"/>
                <w:b/>
                <w:color w:val="auto"/>
              </w:rPr>
              <w:t>序号</w:t>
            </w:r>
          </w:p>
          <w:p>
            <w:pPr>
              <w:jc w:val="center"/>
              <w:rPr>
                <w:b/>
                <w:color w:val="auto"/>
              </w:rPr>
            </w:pPr>
          </w:p>
        </w:tc>
        <w:tc>
          <w:tcPr>
            <w:tcW w:w="728" w:type="dxa"/>
            <w:vAlign w:val="center"/>
          </w:tcPr>
          <w:p>
            <w:pPr>
              <w:jc w:val="center"/>
              <w:rPr>
                <w:b/>
                <w:color w:val="auto"/>
              </w:rPr>
            </w:pPr>
            <w:r>
              <w:rPr>
                <w:rFonts w:hint="eastAsia"/>
                <w:b/>
                <w:color w:val="auto"/>
              </w:rPr>
              <w:t>项目名称</w:t>
            </w:r>
          </w:p>
          <w:p>
            <w:pPr>
              <w:jc w:val="center"/>
              <w:rPr>
                <w:b/>
                <w:color w:val="auto"/>
              </w:rPr>
            </w:pPr>
          </w:p>
        </w:tc>
        <w:tc>
          <w:tcPr>
            <w:tcW w:w="655" w:type="dxa"/>
            <w:vAlign w:val="center"/>
          </w:tcPr>
          <w:p>
            <w:pPr>
              <w:jc w:val="center"/>
              <w:rPr>
                <w:b/>
                <w:color w:val="auto"/>
              </w:rPr>
            </w:pPr>
            <w:r>
              <w:rPr>
                <w:rFonts w:hint="eastAsia"/>
                <w:b/>
                <w:color w:val="auto"/>
              </w:rPr>
              <w:t>建设地点</w:t>
            </w:r>
          </w:p>
          <w:p>
            <w:pPr>
              <w:jc w:val="center"/>
              <w:rPr>
                <w:b/>
                <w:color w:val="auto"/>
              </w:rPr>
            </w:pPr>
          </w:p>
        </w:tc>
        <w:tc>
          <w:tcPr>
            <w:tcW w:w="709" w:type="dxa"/>
            <w:vAlign w:val="center"/>
          </w:tcPr>
          <w:p>
            <w:pPr>
              <w:jc w:val="center"/>
              <w:rPr>
                <w:b/>
                <w:color w:val="auto"/>
              </w:rPr>
            </w:pPr>
            <w:r>
              <w:rPr>
                <w:rFonts w:hint="eastAsia"/>
                <w:b/>
                <w:color w:val="auto"/>
              </w:rPr>
              <w:t>建设单位</w:t>
            </w:r>
          </w:p>
          <w:p>
            <w:pPr>
              <w:jc w:val="center"/>
              <w:rPr>
                <w:b/>
                <w:color w:val="auto"/>
              </w:rPr>
            </w:pPr>
          </w:p>
        </w:tc>
        <w:tc>
          <w:tcPr>
            <w:tcW w:w="709" w:type="dxa"/>
            <w:vAlign w:val="center"/>
          </w:tcPr>
          <w:p>
            <w:pPr>
              <w:jc w:val="center"/>
              <w:rPr>
                <w:b/>
                <w:color w:val="auto"/>
              </w:rPr>
            </w:pPr>
            <w:r>
              <w:rPr>
                <w:rFonts w:hint="eastAsia"/>
                <w:b/>
                <w:color w:val="auto"/>
              </w:rPr>
              <w:t>环评机构</w:t>
            </w:r>
          </w:p>
          <w:p>
            <w:pPr>
              <w:jc w:val="center"/>
              <w:rPr>
                <w:b/>
                <w:color w:val="auto"/>
              </w:rPr>
            </w:pPr>
          </w:p>
        </w:tc>
        <w:tc>
          <w:tcPr>
            <w:tcW w:w="709" w:type="dxa"/>
            <w:vAlign w:val="center"/>
          </w:tcPr>
          <w:p>
            <w:pPr>
              <w:jc w:val="center"/>
              <w:rPr>
                <w:b/>
                <w:color w:val="auto"/>
              </w:rPr>
            </w:pPr>
            <w:r>
              <w:rPr>
                <w:rFonts w:hint="eastAsia"/>
                <w:b/>
                <w:color w:val="auto"/>
              </w:rPr>
              <w:t>环评类别</w:t>
            </w:r>
          </w:p>
          <w:p>
            <w:pPr>
              <w:jc w:val="center"/>
              <w:rPr>
                <w:b/>
                <w:color w:val="auto"/>
              </w:rPr>
            </w:pPr>
          </w:p>
        </w:tc>
        <w:tc>
          <w:tcPr>
            <w:tcW w:w="2693" w:type="dxa"/>
            <w:vAlign w:val="center"/>
          </w:tcPr>
          <w:p>
            <w:pPr>
              <w:jc w:val="center"/>
              <w:rPr>
                <w:b/>
                <w:color w:val="auto"/>
              </w:rPr>
            </w:pPr>
            <w:r>
              <w:rPr>
                <w:rFonts w:hint="eastAsia"/>
                <w:b/>
                <w:color w:val="auto"/>
              </w:rPr>
              <w:t>项目概况</w:t>
            </w:r>
          </w:p>
          <w:p>
            <w:pPr>
              <w:jc w:val="center"/>
              <w:rPr>
                <w:b/>
                <w:color w:val="auto"/>
              </w:rPr>
            </w:pPr>
          </w:p>
        </w:tc>
        <w:tc>
          <w:tcPr>
            <w:tcW w:w="4394" w:type="dxa"/>
            <w:vAlign w:val="center"/>
          </w:tcPr>
          <w:p>
            <w:pPr>
              <w:jc w:val="center"/>
              <w:rPr>
                <w:b/>
                <w:color w:val="auto"/>
              </w:rPr>
            </w:pPr>
            <w:r>
              <w:rPr>
                <w:rFonts w:hint="eastAsia"/>
                <w:b/>
                <w:color w:val="auto"/>
              </w:rPr>
              <w:t>主要环境影响和环境保护对策与措施</w:t>
            </w:r>
          </w:p>
          <w:p>
            <w:pPr>
              <w:jc w:val="center"/>
              <w:rPr>
                <w:b/>
                <w:color w:val="auto"/>
              </w:rPr>
            </w:pPr>
          </w:p>
        </w:tc>
        <w:tc>
          <w:tcPr>
            <w:tcW w:w="879" w:type="dxa"/>
            <w:vAlign w:val="center"/>
          </w:tcPr>
          <w:p>
            <w:pPr>
              <w:jc w:val="center"/>
              <w:rPr>
                <w:b/>
                <w:color w:val="auto"/>
              </w:rPr>
            </w:pPr>
            <w:r>
              <w:rPr>
                <w:rFonts w:hint="eastAsia"/>
                <w:b/>
                <w:color w:val="auto"/>
              </w:rPr>
              <w:t>相关部门意见</w:t>
            </w:r>
          </w:p>
          <w:p>
            <w:pPr>
              <w:jc w:val="center"/>
              <w:rPr>
                <w:b/>
                <w:color w:val="auto"/>
              </w:rPr>
            </w:pPr>
          </w:p>
        </w:tc>
        <w:tc>
          <w:tcPr>
            <w:tcW w:w="1389" w:type="dxa"/>
            <w:vAlign w:val="center"/>
          </w:tcPr>
          <w:p>
            <w:pPr>
              <w:jc w:val="center"/>
              <w:rPr>
                <w:b/>
                <w:color w:val="auto"/>
              </w:rPr>
            </w:pPr>
            <w:r>
              <w:rPr>
                <w:rFonts w:hint="eastAsia"/>
                <w:b/>
                <w:color w:val="auto"/>
              </w:rPr>
              <w:t>建设单位开展的公众参与情况</w:t>
            </w:r>
          </w:p>
        </w:tc>
        <w:tc>
          <w:tcPr>
            <w:tcW w:w="883" w:type="dxa"/>
            <w:vAlign w:val="center"/>
          </w:tcPr>
          <w:p>
            <w:pPr>
              <w:jc w:val="center"/>
              <w:rPr>
                <w:b/>
                <w:color w:val="auto"/>
              </w:rPr>
            </w:pPr>
            <w:r>
              <w:rPr>
                <w:rFonts w:hint="eastAsia"/>
                <w:b/>
                <w:color w:val="auto"/>
              </w:rPr>
              <w:t>备注</w:t>
            </w:r>
          </w:p>
          <w:p>
            <w:pPr>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240" w:lineRule="exact"/>
              <w:rPr>
                <w:color w:val="auto"/>
                <w:sz w:val="18"/>
                <w:szCs w:val="18"/>
              </w:rPr>
            </w:pPr>
            <w:r>
              <w:rPr>
                <w:rFonts w:hint="eastAsia"/>
                <w:color w:val="auto"/>
                <w:sz w:val="18"/>
                <w:szCs w:val="18"/>
              </w:rPr>
              <w:t>1</w:t>
            </w:r>
          </w:p>
        </w:tc>
        <w:tc>
          <w:tcPr>
            <w:tcW w:w="728" w:type="dxa"/>
          </w:tcPr>
          <w:p>
            <w:pPr>
              <w:spacing w:line="240" w:lineRule="exact"/>
              <w:rPr>
                <w:color w:val="auto"/>
                <w:sz w:val="18"/>
                <w:szCs w:val="18"/>
              </w:rPr>
            </w:pPr>
            <w:r>
              <w:rPr>
                <w:rFonts w:hint="eastAsia"/>
                <w:color w:val="auto"/>
                <w:sz w:val="18"/>
                <w:szCs w:val="18"/>
              </w:rPr>
              <w:t>兴页L23HF井试采配套地面工程</w:t>
            </w:r>
          </w:p>
        </w:tc>
        <w:tc>
          <w:tcPr>
            <w:tcW w:w="655" w:type="dxa"/>
          </w:tcPr>
          <w:p>
            <w:pPr>
              <w:spacing w:line="240" w:lineRule="exact"/>
              <w:rPr>
                <w:color w:val="auto"/>
                <w:sz w:val="18"/>
                <w:szCs w:val="18"/>
              </w:rPr>
            </w:pPr>
            <w:r>
              <w:rPr>
                <w:rFonts w:hint="eastAsia"/>
                <w:color w:val="auto"/>
                <w:sz w:val="18"/>
                <w:szCs w:val="18"/>
              </w:rPr>
              <w:t>丰都县仁沙镇七星寨村四组、隆家沟村二组</w:t>
            </w:r>
          </w:p>
        </w:tc>
        <w:tc>
          <w:tcPr>
            <w:tcW w:w="709" w:type="dxa"/>
          </w:tcPr>
          <w:p>
            <w:pPr>
              <w:spacing w:line="240" w:lineRule="exact"/>
              <w:rPr>
                <w:color w:val="auto"/>
                <w:sz w:val="18"/>
                <w:szCs w:val="18"/>
              </w:rPr>
            </w:pPr>
            <w:r>
              <w:rPr>
                <w:rFonts w:hint="eastAsia"/>
                <w:color w:val="auto"/>
                <w:sz w:val="18"/>
                <w:szCs w:val="18"/>
              </w:rPr>
              <w:t>中石化重庆涪陵页岩气勘探开发有限公司</w:t>
            </w:r>
          </w:p>
        </w:tc>
        <w:tc>
          <w:tcPr>
            <w:tcW w:w="709" w:type="dxa"/>
          </w:tcPr>
          <w:p>
            <w:pPr>
              <w:spacing w:line="240" w:lineRule="exact"/>
              <w:rPr>
                <w:color w:val="auto"/>
                <w:sz w:val="18"/>
                <w:szCs w:val="18"/>
              </w:rPr>
            </w:pPr>
            <w:r>
              <w:rPr>
                <w:rFonts w:hint="eastAsia"/>
                <w:color w:val="auto"/>
                <w:sz w:val="18"/>
                <w:szCs w:val="18"/>
              </w:rPr>
              <w:t>河南油田工程科技股份有限公司</w:t>
            </w:r>
          </w:p>
        </w:tc>
        <w:tc>
          <w:tcPr>
            <w:tcW w:w="709" w:type="dxa"/>
          </w:tcPr>
          <w:p>
            <w:pPr>
              <w:spacing w:line="240" w:lineRule="exact"/>
              <w:rPr>
                <w:color w:val="auto"/>
                <w:sz w:val="18"/>
                <w:szCs w:val="18"/>
              </w:rPr>
            </w:pPr>
            <w:r>
              <w:rPr>
                <w:rFonts w:hint="eastAsia"/>
                <w:color w:val="auto"/>
                <w:sz w:val="18"/>
                <w:szCs w:val="18"/>
              </w:rPr>
              <w:t>环境影响报告表</w:t>
            </w:r>
          </w:p>
        </w:tc>
        <w:tc>
          <w:tcPr>
            <w:tcW w:w="2693" w:type="dxa"/>
          </w:tcPr>
          <w:p>
            <w:pPr>
              <w:spacing w:line="240" w:lineRule="exact"/>
              <w:rPr>
                <w:color w:val="auto"/>
                <w:sz w:val="18"/>
                <w:szCs w:val="18"/>
              </w:rPr>
            </w:pPr>
            <w:r>
              <w:rPr>
                <w:rFonts w:hint="eastAsia"/>
                <w:color w:val="auto"/>
                <w:sz w:val="18"/>
                <w:szCs w:val="18"/>
              </w:rPr>
              <w:t>在兴页L23HF井井场内新建试采站1座，对兴页L23HF井进行试采，主要设备包括：水套加热炉1台、生产分离器橇1台、三相原油闪蒸分离器橇1套、重烃聚结过滤器1套、天然气脱水撬1台、天然气脱烃撬1台，天然气处理规模5×10</w:t>
            </w:r>
            <w:r>
              <w:rPr>
                <w:rFonts w:hint="eastAsia"/>
                <w:color w:val="auto"/>
                <w:sz w:val="18"/>
                <w:szCs w:val="18"/>
                <w:vertAlign w:val="superscript"/>
              </w:rPr>
              <w:t>4</w:t>
            </w:r>
            <w:r>
              <w:rPr>
                <w:rFonts w:hint="eastAsia"/>
                <w:color w:val="auto"/>
                <w:sz w:val="18"/>
                <w:szCs w:val="18"/>
              </w:rPr>
              <w:t>m³/d，井口产油量50m³/d。项目总投资1576万元，环保投资54.5万元，占总投资的3.46%。</w:t>
            </w:r>
          </w:p>
        </w:tc>
        <w:tc>
          <w:tcPr>
            <w:tcW w:w="4394" w:type="dxa"/>
          </w:tcPr>
          <w:p>
            <w:pPr>
              <w:spacing w:line="240" w:lineRule="exact"/>
              <w:rPr>
                <w:color w:val="auto"/>
                <w:sz w:val="18"/>
                <w:szCs w:val="18"/>
              </w:rPr>
            </w:pPr>
            <w:r>
              <w:rPr>
                <w:rFonts w:hint="eastAsia"/>
                <w:color w:val="auto"/>
                <w:sz w:val="18"/>
                <w:szCs w:val="18"/>
              </w:rPr>
              <w:t>（1）生态环境影响及措施</w:t>
            </w:r>
          </w:p>
          <w:p>
            <w:pPr>
              <w:spacing w:line="240" w:lineRule="exact"/>
              <w:rPr>
                <w:rFonts w:hint="eastAsia" w:eastAsiaTheme="minorEastAsia"/>
                <w:color w:val="auto"/>
                <w:sz w:val="18"/>
                <w:szCs w:val="18"/>
                <w:lang w:eastAsia="zh-CN"/>
              </w:rPr>
            </w:pPr>
            <w:r>
              <w:rPr>
                <w:rFonts w:hint="eastAsia"/>
                <w:color w:val="auto"/>
                <w:sz w:val="18"/>
                <w:szCs w:val="18"/>
              </w:rPr>
              <w:t>本项目试采期对生态环境的影响主要为项目占地对土地利用格局影响、试采期人类活动和试采设备运行对周边动物的影响</w:t>
            </w:r>
            <w:r>
              <w:rPr>
                <w:rFonts w:hint="eastAsia"/>
                <w:color w:val="auto"/>
                <w:sz w:val="18"/>
                <w:szCs w:val="18"/>
                <w:lang w:eastAsia="zh-CN"/>
              </w:rPr>
              <w:t>。</w:t>
            </w:r>
          </w:p>
          <w:p>
            <w:pPr>
              <w:spacing w:line="240" w:lineRule="exact"/>
              <w:rPr>
                <w:color w:val="auto"/>
                <w:sz w:val="18"/>
                <w:szCs w:val="18"/>
              </w:rPr>
            </w:pPr>
            <w:r>
              <w:rPr>
                <w:rFonts w:hint="eastAsia"/>
                <w:color w:val="auto"/>
                <w:sz w:val="18"/>
                <w:szCs w:val="18"/>
              </w:rPr>
              <w:t>本项目占地占区域同类型总土地利用量的比例较小，不会导致区域土地利用格局的变化，对区域土地利用结构影响甚微。项目所在区域现有的野生动物多为一些常见的蛇类、啮齿类、鸟类及昆虫等，无珍稀保护动物，试采期可能导致附近的陆生动物迁移到较远的地方，但不会引起该区域野生动物大面积迁移或消亡。</w:t>
            </w:r>
          </w:p>
          <w:p>
            <w:pPr>
              <w:spacing w:line="240" w:lineRule="exact"/>
              <w:rPr>
                <w:color w:val="auto"/>
                <w:sz w:val="18"/>
                <w:szCs w:val="18"/>
              </w:rPr>
            </w:pPr>
            <w:r>
              <w:rPr>
                <w:rFonts w:hint="eastAsia"/>
                <w:color w:val="auto"/>
                <w:sz w:val="18"/>
                <w:szCs w:val="18"/>
              </w:rPr>
              <w:t>根据调查分析，区域内景观单元异质性程度高，工程的开展可使区域景观异质化程度进一步提高，引起局部生态景观的变化。本项目占地面积较小，本项目的实施除新增人工建筑景观外，不会导致其它景观的多样性指数、优势度产生太大变化。</w:t>
            </w:r>
          </w:p>
          <w:p>
            <w:pPr>
              <w:spacing w:line="240" w:lineRule="exact"/>
              <w:rPr>
                <w:color w:val="auto"/>
                <w:sz w:val="18"/>
                <w:szCs w:val="18"/>
              </w:rPr>
            </w:pPr>
            <w:r>
              <w:rPr>
                <w:rFonts w:hint="eastAsia"/>
                <w:color w:val="auto"/>
                <w:sz w:val="18"/>
                <w:szCs w:val="18"/>
              </w:rPr>
              <w:t>（2）大气环境影响及措施</w:t>
            </w:r>
          </w:p>
          <w:p>
            <w:pPr>
              <w:spacing w:line="240" w:lineRule="exact"/>
              <w:rPr>
                <w:color w:val="auto"/>
                <w:sz w:val="18"/>
                <w:szCs w:val="18"/>
              </w:rPr>
            </w:pPr>
            <w:r>
              <w:rPr>
                <w:rFonts w:hint="eastAsia"/>
                <w:color w:val="auto"/>
                <w:sz w:val="18"/>
                <w:szCs w:val="18"/>
              </w:rPr>
              <w:t>加热炉兴页L23HF井自产气为燃料，燃烧废气经8m高排气筒排放，燃烧废气满足《锅炉大气污染物排放标准》（DB50/658-2016）及修改单中新建燃气锅炉排放标准，污染物排放量小，污染物排放对环境空气的影响较小。</w:t>
            </w:r>
          </w:p>
          <w:p>
            <w:pPr>
              <w:spacing w:line="240" w:lineRule="exact"/>
              <w:rPr>
                <w:color w:val="auto"/>
                <w:sz w:val="18"/>
                <w:szCs w:val="18"/>
              </w:rPr>
            </w:pPr>
            <w:r>
              <w:rPr>
                <w:rFonts w:hint="eastAsia"/>
                <w:color w:val="auto"/>
                <w:sz w:val="18"/>
                <w:szCs w:val="18"/>
              </w:rPr>
              <w:t>项目油气集输、处理过程均采用密闭集输工艺，可有效减少烃类物质挥发，无组织产生的挥发性有机物产生量较小，对周边环境空气质量影响小。</w:t>
            </w:r>
          </w:p>
          <w:p>
            <w:pPr>
              <w:spacing w:line="240" w:lineRule="exact"/>
              <w:rPr>
                <w:color w:val="auto"/>
                <w:sz w:val="18"/>
                <w:szCs w:val="18"/>
              </w:rPr>
            </w:pPr>
            <w:r>
              <w:rPr>
                <w:rFonts w:hint="eastAsia"/>
                <w:color w:val="auto"/>
                <w:sz w:val="18"/>
                <w:szCs w:val="18"/>
              </w:rPr>
              <w:t>站内工艺设备和管线检修频率不高，一般为2~3次/年，事故和检修时，设备和管线内少量天然气经中压放空立管放空，井口高压气在放喷池点火后放空，检修可采用分段检修法，同时井口设有截断阀、各设备也设有阀门，可用阀门截断天然气，单次放空量较小，持续时间短。</w:t>
            </w:r>
          </w:p>
          <w:p>
            <w:pPr>
              <w:spacing w:line="240" w:lineRule="exact"/>
              <w:rPr>
                <w:color w:val="auto"/>
                <w:sz w:val="18"/>
                <w:szCs w:val="18"/>
              </w:rPr>
            </w:pPr>
            <w:r>
              <w:rPr>
                <w:rFonts w:hint="eastAsia"/>
                <w:color w:val="auto"/>
                <w:sz w:val="18"/>
                <w:szCs w:val="18"/>
              </w:rPr>
              <w:t>根据兴页L23HF井气质组分，产气不含硫化氢，试采站站场地势开阔，扩散条件好，站内工艺设备和管线放空气体通过15m放空立管放空，井口高压气在放喷池点火后放空对大气环境影响较小。</w:t>
            </w:r>
          </w:p>
          <w:p>
            <w:pPr>
              <w:spacing w:line="240" w:lineRule="exact"/>
              <w:rPr>
                <w:color w:val="auto"/>
                <w:sz w:val="18"/>
                <w:szCs w:val="18"/>
              </w:rPr>
            </w:pPr>
            <w:r>
              <w:rPr>
                <w:rFonts w:hint="eastAsia"/>
                <w:color w:val="auto"/>
                <w:sz w:val="18"/>
                <w:szCs w:val="18"/>
              </w:rPr>
              <w:t>（3）地表水环境影响及措施</w:t>
            </w:r>
          </w:p>
          <w:p>
            <w:pPr>
              <w:spacing w:line="240" w:lineRule="exact"/>
              <w:rPr>
                <w:color w:val="auto"/>
                <w:sz w:val="18"/>
                <w:szCs w:val="18"/>
              </w:rPr>
            </w:pPr>
            <w:r>
              <w:rPr>
                <w:rFonts w:hint="eastAsia"/>
                <w:color w:val="auto"/>
                <w:sz w:val="18"/>
                <w:szCs w:val="18"/>
              </w:rPr>
              <w:t>试采期废水生产废水主要为储油罐内沉降的水及三相闪蒸分离器的分离污水，生活污水为值守人员日常产生的生活污水。</w:t>
            </w:r>
          </w:p>
          <w:p>
            <w:pPr>
              <w:spacing w:line="240" w:lineRule="exact"/>
              <w:rPr>
                <w:color w:val="auto"/>
                <w:sz w:val="18"/>
                <w:szCs w:val="18"/>
              </w:rPr>
            </w:pPr>
            <w:r>
              <w:rPr>
                <w:rFonts w:hint="eastAsia"/>
                <w:color w:val="auto"/>
                <w:sz w:val="18"/>
                <w:szCs w:val="18"/>
              </w:rPr>
              <w:t>根据项目设计资料，本项目液量处理规模为20~30m</w:t>
            </w:r>
            <w:r>
              <w:rPr>
                <w:rFonts w:hint="eastAsia"/>
                <w:color w:val="auto"/>
                <w:sz w:val="18"/>
                <w:szCs w:val="18"/>
                <w:vertAlign w:val="superscript"/>
              </w:rPr>
              <w:t>3</w:t>
            </w:r>
            <w:r>
              <w:rPr>
                <w:rFonts w:hint="eastAsia"/>
                <w:color w:val="auto"/>
                <w:sz w:val="18"/>
                <w:szCs w:val="18"/>
              </w:rPr>
              <w:t>/d，则本项目含油采出水的最大产生量为30m</w:t>
            </w:r>
            <w:r>
              <w:rPr>
                <w:rFonts w:hint="eastAsia"/>
                <w:color w:val="auto"/>
                <w:sz w:val="18"/>
                <w:szCs w:val="18"/>
                <w:vertAlign w:val="superscript"/>
              </w:rPr>
              <w:t>3</w:t>
            </w:r>
            <w:r>
              <w:rPr>
                <w:rFonts w:hint="eastAsia"/>
                <w:color w:val="auto"/>
                <w:sz w:val="18"/>
                <w:szCs w:val="18"/>
              </w:rPr>
              <w:t>/d。试采期采出水产生量约为9900m</w:t>
            </w:r>
            <w:r>
              <w:rPr>
                <w:rFonts w:hint="eastAsia"/>
                <w:color w:val="auto"/>
                <w:sz w:val="18"/>
                <w:szCs w:val="18"/>
                <w:vertAlign w:val="superscript"/>
              </w:rPr>
              <w:t>3</w:t>
            </w:r>
            <w:r>
              <w:rPr>
                <w:rFonts w:hint="eastAsia"/>
                <w:color w:val="auto"/>
                <w:sz w:val="18"/>
                <w:szCs w:val="18"/>
              </w:rPr>
              <w:t>/a，经收集后进入采出水罐再通过污水泵泵入污水池内暂存，优先采用罐车拉运至周边其他平台回用于压裂工序，不外排。项目井场污水池容积共1000m</w:t>
            </w:r>
            <w:r>
              <w:rPr>
                <w:rFonts w:hint="eastAsia"/>
                <w:color w:val="auto"/>
                <w:sz w:val="18"/>
                <w:szCs w:val="18"/>
                <w:vertAlign w:val="superscript"/>
              </w:rPr>
              <w:t>3</w:t>
            </w:r>
            <w:r>
              <w:rPr>
                <w:rFonts w:hint="eastAsia"/>
                <w:color w:val="auto"/>
                <w:sz w:val="18"/>
                <w:szCs w:val="18"/>
              </w:rPr>
              <w:t>，污水池可储存采出水约20天，根据建设单位计划，罐车约5~10天对平台污水池含油采出水进行一次运输。当采出水不能利用时由罐车拉运至涪陵页岩气田采出水处理站处理，尾水满足《污水综合排放标准》（GB8978-1996）一级标准后排入乌江。</w:t>
            </w:r>
          </w:p>
          <w:p>
            <w:pPr>
              <w:spacing w:line="240" w:lineRule="exact"/>
              <w:rPr>
                <w:color w:val="auto"/>
                <w:sz w:val="18"/>
                <w:szCs w:val="18"/>
              </w:rPr>
            </w:pPr>
            <w:r>
              <w:rPr>
                <w:rFonts w:hint="eastAsia"/>
                <w:color w:val="auto"/>
                <w:sz w:val="18"/>
                <w:szCs w:val="18"/>
              </w:rPr>
              <w:t>试采期生活污水经一体化厕所收集后农用，不外排。</w:t>
            </w:r>
          </w:p>
          <w:p>
            <w:pPr>
              <w:spacing w:line="240" w:lineRule="exact"/>
              <w:rPr>
                <w:color w:val="auto"/>
                <w:sz w:val="18"/>
                <w:szCs w:val="18"/>
              </w:rPr>
            </w:pPr>
            <w:r>
              <w:rPr>
                <w:rFonts w:hint="eastAsia"/>
                <w:color w:val="auto"/>
                <w:sz w:val="18"/>
                <w:szCs w:val="18"/>
              </w:rPr>
              <w:t>（4）噪声影响及措施</w:t>
            </w:r>
          </w:p>
          <w:p>
            <w:pPr>
              <w:spacing w:line="240" w:lineRule="exact"/>
              <w:rPr>
                <w:color w:val="auto"/>
                <w:sz w:val="18"/>
                <w:szCs w:val="18"/>
              </w:rPr>
            </w:pPr>
            <w:r>
              <w:rPr>
                <w:rFonts w:hint="eastAsia"/>
                <w:color w:val="auto"/>
                <w:sz w:val="18"/>
                <w:szCs w:val="18"/>
              </w:rPr>
              <w:t>试采期尽量选取低噪声设备，热水循环泵、污水泵等设备采用基础减振，同时加强设备的维护和保养，保持其良好的工况，保证设备正常运行，减小对周围声环境的影响。</w:t>
            </w:r>
          </w:p>
          <w:p>
            <w:pPr>
              <w:spacing w:line="240" w:lineRule="exact"/>
              <w:rPr>
                <w:color w:val="auto"/>
                <w:sz w:val="18"/>
                <w:szCs w:val="18"/>
              </w:rPr>
            </w:pPr>
            <w:r>
              <w:rPr>
                <w:rFonts w:hint="eastAsia"/>
                <w:color w:val="auto"/>
                <w:sz w:val="18"/>
                <w:szCs w:val="18"/>
              </w:rPr>
              <w:t>（5）固体废物影响及措施</w:t>
            </w:r>
          </w:p>
          <w:p>
            <w:pPr>
              <w:spacing w:line="240" w:lineRule="exact"/>
              <w:rPr>
                <w:color w:val="auto"/>
                <w:sz w:val="18"/>
                <w:szCs w:val="18"/>
              </w:rPr>
            </w:pPr>
            <w:r>
              <w:rPr>
                <w:rFonts w:hint="eastAsia"/>
                <w:color w:val="auto"/>
                <w:sz w:val="18"/>
                <w:szCs w:val="18"/>
              </w:rPr>
              <w:t>试采期固体废物主要</w:t>
            </w:r>
            <w:r>
              <w:rPr>
                <w:rFonts w:hint="eastAsia"/>
                <w:color w:val="auto"/>
                <w:sz w:val="18"/>
                <w:szCs w:val="18"/>
                <w:lang w:val="en-US" w:eastAsia="zh-CN"/>
              </w:rPr>
              <w:t>是</w:t>
            </w:r>
            <w:r>
              <w:rPr>
                <w:rFonts w:hint="eastAsia"/>
                <w:color w:val="auto"/>
                <w:sz w:val="18"/>
                <w:szCs w:val="18"/>
              </w:rPr>
              <w:t>站场职工产生的生活垃圾，生活垃圾交由当地环卫部门统一处置。设备维护废油、清罐油泥产生后不在场区内暂存交由重庆利特聚欣资源循环科技有限责任公司处置。</w:t>
            </w:r>
          </w:p>
          <w:p>
            <w:pPr>
              <w:spacing w:line="240" w:lineRule="exact"/>
              <w:rPr>
                <w:color w:val="auto"/>
                <w:sz w:val="18"/>
                <w:szCs w:val="18"/>
              </w:rPr>
            </w:pPr>
            <w:r>
              <w:rPr>
                <w:rFonts w:hint="eastAsia"/>
                <w:color w:val="auto"/>
                <w:sz w:val="18"/>
                <w:szCs w:val="18"/>
              </w:rPr>
              <w:t>（6）土壤及地下水影响及措施</w:t>
            </w:r>
          </w:p>
          <w:p>
            <w:pPr>
              <w:spacing w:line="240" w:lineRule="exact"/>
              <w:rPr>
                <w:color w:val="auto"/>
                <w:sz w:val="18"/>
                <w:szCs w:val="18"/>
              </w:rPr>
            </w:pPr>
            <w:r>
              <w:rPr>
                <w:rFonts w:hint="eastAsia"/>
                <w:color w:val="auto"/>
                <w:sz w:val="18"/>
                <w:szCs w:val="18"/>
              </w:rPr>
              <w:t>本项目对土壤环境的污染途径主要为垂直入渗、地面漫流。本项目油罐架空设置，并设置围堰；采出水在废水池暂存，废水池为钢筋混凝土结构；生活污水经化粪池处理后农用，化粪池为玻璃钢结构，在完善相关防腐、防渗措施，加强巡检，防止废水池外溢等措施后，正常情况下不会发生物料或废水泄漏对地下水土壤环境产生影响。</w:t>
            </w:r>
          </w:p>
          <w:p>
            <w:pPr>
              <w:spacing w:line="240" w:lineRule="exact"/>
              <w:rPr>
                <w:color w:val="auto"/>
                <w:sz w:val="18"/>
                <w:szCs w:val="18"/>
              </w:rPr>
            </w:pPr>
            <w:r>
              <w:rPr>
                <w:rFonts w:hint="eastAsia"/>
                <w:color w:val="auto"/>
                <w:sz w:val="18"/>
                <w:szCs w:val="18"/>
              </w:rPr>
              <w:t>（7）环境风险</w:t>
            </w:r>
          </w:p>
          <w:p>
            <w:pPr>
              <w:spacing w:line="240" w:lineRule="exact"/>
              <w:rPr>
                <w:color w:val="auto"/>
                <w:sz w:val="18"/>
                <w:szCs w:val="18"/>
              </w:rPr>
            </w:pPr>
            <w:r>
              <w:rPr>
                <w:rFonts w:hint="eastAsia"/>
                <w:color w:val="auto"/>
                <w:sz w:val="18"/>
                <w:szCs w:val="18"/>
              </w:rPr>
              <w:t>本项目应落实并强化环境风险防控措施，确保环境安全。对管材选用、管道防腐、焊接工艺、焊后质量检验以及站场安装方面应严格执行相关技术标准及规范；应严格落实设置警示标志、配备可燃气体检测报警装置、截断装置、加强巡检等环境风险防范措施，控制和降低环境风险；强化和完善事故应急措施及预案。按照石油天然气行业相应管理规范和安全技术规程等要求，强化安全管理，细化程序，明确责任，若发生泄漏事故，应及时切断气源，防止安全事故次生环境污染。</w:t>
            </w:r>
          </w:p>
        </w:tc>
        <w:tc>
          <w:tcPr>
            <w:tcW w:w="879" w:type="dxa"/>
          </w:tcPr>
          <w:p>
            <w:pPr>
              <w:spacing w:line="240" w:lineRule="exact"/>
              <w:rPr>
                <w:color w:val="auto"/>
                <w:sz w:val="18"/>
                <w:szCs w:val="18"/>
              </w:rPr>
            </w:pPr>
          </w:p>
        </w:tc>
        <w:tc>
          <w:tcPr>
            <w:tcW w:w="1389" w:type="dxa"/>
          </w:tcPr>
          <w:p>
            <w:pPr>
              <w:spacing w:line="240" w:lineRule="exact"/>
              <w:rPr>
                <w:color w:val="auto"/>
                <w:sz w:val="18"/>
                <w:szCs w:val="18"/>
              </w:rPr>
            </w:pPr>
          </w:p>
        </w:tc>
        <w:tc>
          <w:tcPr>
            <w:tcW w:w="883" w:type="dxa"/>
          </w:tcPr>
          <w:p>
            <w:pPr>
              <w:spacing w:line="240" w:lineRule="exact"/>
              <w:rPr>
                <w:color w:val="auto"/>
                <w:sz w:val="18"/>
                <w:szCs w:val="18"/>
              </w:rPr>
            </w:pPr>
            <w:r>
              <w:rPr>
                <w:rFonts w:hint="eastAsia"/>
                <w:color w:val="auto"/>
                <w:sz w:val="18"/>
                <w:szCs w:val="18"/>
              </w:rPr>
              <w:t>告知承诺制</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czYTI0ODc5ZDM5ZDI3OTVlYzZmYTg5Y2ZlYjQifQ=="/>
  </w:docVars>
  <w:rsids>
    <w:rsidRoot w:val="00236C52"/>
    <w:rsid w:val="001640A4"/>
    <w:rsid w:val="001E6358"/>
    <w:rsid w:val="00236C52"/>
    <w:rsid w:val="002D7D5C"/>
    <w:rsid w:val="004059BF"/>
    <w:rsid w:val="004A3EEF"/>
    <w:rsid w:val="004B19F0"/>
    <w:rsid w:val="00540C29"/>
    <w:rsid w:val="005A0182"/>
    <w:rsid w:val="005A2910"/>
    <w:rsid w:val="00617BBE"/>
    <w:rsid w:val="00645676"/>
    <w:rsid w:val="006B7EEC"/>
    <w:rsid w:val="007775E6"/>
    <w:rsid w:val="007948C4"/>
    <w:rsid w:val="007B17DE"/>
    <w:rsid w:val="008D6514"/>
    <w:rsid w:val="009A4F22"/>
    <w:rsid w:val="00A30503"/>
    <w:rsid w:val="00A34022"/>
    <w:rsid w:val="00A36169"/>
    <w:rsid w:val="00A370E0"/>
    <w:rsid w:val="00A8735A"/>
    <w:rsid w:val="00AB5293"/>
    <w:rsid w:val="00AD70F5"/>
    <w:rsid w:val="00AF4439"/>
    <w:rsid w:val="00B22844"/>
    <w:rsid w:val="00B323F6"/>
    <w:rsid w:val="00B802A1"/>
    <w:rsid w:val="00D02054"/>
    <w:rsid w:val="00D516FA"/>
    <w:rsid w:val="00DF029F"/>
    <w:rsid w:val="00E64A4D"/>
    <w:rsid w:val="00E93DD6"/>
    <w:rsid w:val="00F33892"/>
    <w:rsid w:val="00F846D5"/>
    <w:rsid w:val="1AD84695"/>
    <w:rsid w:val="1B6B27C6"/>
    <w:rsid w:val="254F3148"/>
    <w:rsid w:val="39C037CE"/>
    <w:rsid w:val="41594397"/>
    <w:rsid w:val="44FF0DB1"/>
    <w:rsid w:val="4F3F159A"/>
    <w:rsid w:val="50BB3779"/>
    <w:rsid w:val="589F169F"/>
    <w:rsid w:val="5AC425E4"/>
    <w:rsid w:val="63D01F3B"/>
    <w:rsid w:val="773D297D"/>
    <w:rsid w:val="79A669E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2116</Words>
  <Characters>2310</Characters>
  <Lines>17</Lines>
  <Paragraphs>4</Paragraphs>
  <TotalTime>0</TotalTime>
  <ScaleCrop>false</ScaleCrop>
  <LinksUpToDate>false</LinksUpToDate>
  <CharactersWithSpaces>2314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2023-03-24T07:25:00Z</dcterms:created>
  <dc:creator>PC</dc:creator>
  <cp:lastModifiedBy>xjzx</cp:lastModifiedBy>
  <dcterms:modified xsi:type="dcterms:W3CDTF">2024-10-19T08:58:03Z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011B3DAE57F44743AEA4679D41E39C4B_13</vt:lpwstr>
  </property>
</Properties>
</file>