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丰都县生态环境局</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w:t>
      </w:r>
      <w:r>
        <w:rPr>
          <w:rFonts w:hint="eastAsia" w:ascii="方正小标宋_GBK" w:hAnsi="方正小标宋_GBK" w:eastAsia="方正小标宋_GBK" w:cs="方正小标宋_GBK"/>
          <w:sz w:val="36"/>
          <w:szCs w:val="36"/>
          <w:shd w:val="clear" w:color="auto" w:fill="FFFFFF"/>
          <w:lang w:val="en-US" w:eastAsia="zh-CN"/>
        </w:rPr>
        <w:t>公开</w:t>
      </w:r>
      <w:r>
        <w:rPr>
          <w:rFonts w:hint="eastAsia" w:ascii="方正小标宋_GBK" w:hAnsi="方正小标宋_GBK" w:eastAsia="方正小标宋_GBK" w:cs="方正小标宋_GBK"/>
          <w:sz w:val="36"/>
          <w:szCs w:val="36"/>
          <w:shd w:val="clear" w:color="auto" w:fill="FFFFFF"/>
        </w:rPr>
        <w:t>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7"/>
          <w:rFonts w:ascii="黑体" w:hAnsi="黑体" w:eastAsia="黑体" w:cs="黑体"/>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一、部门基本情况</w:t>
      </w:r>
      <w:bookmarkStart w:id="0" w:name="_GoBack"/>
      <w:bookmarkEnd w:id="0"/>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（一）职能职责</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shd w:val="clear" w:color="auto" w:fill="FFFFFF"/>
        </w:rPr>
        <w:t>丰都县生态环境局是主管环境保护工作的县政府组成部门，主要职责是：贯彻执行国家和地方环境保护方针、政策、法律、法规、规章和环境标准。拟定并组织实施环境保护规划;组织拟定并监督实施重点区域、重点流域污染防治规划和环境保护专项规划;组织拟定丰都县主体功能区划。承担从源头上预防、控制环境污染和环境破坏的责任;组织对本县重大经济发展规划、技术政策及重大经济开发计划等进行环境影响评价;监督对环境有影响的建设项目及资源开发项目执行环境影响评价制度和“三同时”制度。负责监督实施排污申报 制度、排污许可证制度、排污收费制度和限期治理制度，组织推行污染物集中控制;对废水、废气、固体废物、噪声、振动、机动车等污染防治和生态环境保护实施统一监督管理;组织拟定污染物排放总量控制实施办法，监督和控制区域内污染物排放总量;依法开展强制性清洁生产审核工作。监督对生态环境有影响的自然资源开发利用、重要生态环境建设和生态破坏恢复工作;监督检查各类自然保护区、风景名胜区、森林公园的环境保护工作;监督检查生物多样性保护、野生动植物保护、湿地环境保护工作;向县政府提出新建的县级以上自然保护区审查意见;监督管理县级自然保护区;负责农村环境保护;指导生态示范区和生态农业建设;管理生物技术环境安全。负责辐射环境、放射性废物监督管理工作;组织实施化学品环境管理;对电磁辐射、伴有放射性矿产资源开发利用中的污染防治工作实行统一监督管理。组织实施环境保护目标责任制;归口管理城市环境综合整治及其定量考核工作;组织开展环境保护模范县创建工作。牵头协调重大环境污染事故和生态破坏事件调查处理;建立健全突发环境事件的应急预警机制，组织开展环境保护执法检查。负责全县环境监测网络、环境统计和环境信息系统的建设和管理;组织开展环境调查和环境监测工作;组织编制本县环境质量报告书;统一发布环境状况公报、环境综合性报告和重大环境信息。拟定环境保护科技发展规划，组织开展环境保护科学研究，指导和推动环境保护产业发展;参与指导推动发展循环经济和环保产业有关工作;参与应对气候变化工作。组织开展生态文明建设和环境友好型社会建设宣传教育工作;组织、指导和协调环境保护宣传教育工作;推动社会公众和非政府组织参与环境保护。组织协调环境保护国际条约在本县履约活动;指导环保系统规范化建设和管理;指导县级有关部门、乡镇(街道)及其他环保机构的环保业务工作。承办县政府环境保护委员会的具体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7"/>
          <w:rFonts w:ascii="楷体" w:hAnsi="楷体" w:eastAsia="楷体" w:cs="楷体"/>
          <w:sz w:val="32"/>
          <w:szCs w:val="32"/>
          <w:shd w:val="clear" w:color="auto" w:fill="FFFFFF"/>
        </w:rPr>
        <w:t>（二）机构设置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丰都县生态环境局</w:t>
      </w:r>
      <w:r>
        <w:rPr>
          <w:rFonts w:hint="eastAsia" w:ascii="方正仿宋_GBK" w:hAnsi="方正仿宋_GBK" w:eastAsia="方正仿宋_GBK" w:cs="方正仿宋_GBK"/>
          <w:color w:val="auto"/>
          <w:sz w:val="32"/>
          <w:szCs w:val="32"/>
          <w:highlight w:val="none"/>
          <w:shd w:val="clear" w:color="auto" w:fill="FFFFFF"/>
          <w:lang w:val="en-US" w:eastAsia="zh-CN"/>
        </w:rPr>
        <w:t>下</w:t>
      </w:r>
      <w:r>
        <w:rPr>
          <w:rFonts w:hint="eastAsia" w:ascii="方正仿宋_GBK" w:hAnsi="方正仿宋_GBK" w:eastAsia="方正仿宋_GBK" w:cs="方正仿宋_GBK"/>
          <w:color w:val="auto"/>
          <w:sz w:val="32"/>
          <w:szCs w:val="32"/>
          <w:highlight w:val="none"/>
          <w:shd w:val="clear" w:color="auto" w:fill="FFFFFF"/>
        </w:rPr>
        <w:t>内设6个职能科室、</w:t>
      </w:r>
      <w:r>
        <w:rPr>
          <w:rFonts w:hint="eastAsia" w:ascii="方正仿宋_GBK" w:hAnsi="方正仿宋_GBK" w:eastAsia="方正仿宋_GBK" w:cs="方正仿宋_GBK"/>
          <w:color w:val="auto"/>
          <w:sz w:val="32"/>
          <w:szCs w:val="32"/>
          <w:highlight w:val="none"/>
          <w:shd w:val="clear" w:color="auto" w:fill="FFFFFF"/>
          <w:lang w:val="en-US" w:eastAsia="zh-CN"/>
        </w:rPr>
        <w:t>4个下属单位，</w:t>
      </w:r>
      <w:r>
        <w:rPr>
          <w:rFonts w:hint="eastAsia" w:ascii="方正仿宋_GBK" w:hAnsi="方正仿宋_GBK" w:eastAsia="方正仿宋_GBK" w:cs="方正仿宋_GBK"/>
          <w:color w:val="auto"/>
          <w:sz w:val="32"/>
          <w:szCs w:val="32"/>
          <w:highlight w:val="none"/>
          <w:shd w:val="clear" w:color="auto" w:fill="FFFFFF"/>
        </w:rPr>
        <w:t>分别为</w:t>
      </w:r>
      <w:r>
        <w:rPr>
          <w:rFonts w:hint="eastAsia" w:ascii="方正仿宋_GBK" w:hAnsi="方正仿宋_GBK" w:eastAsia="方正仿宋_GBK" w:cs="方正仿宋_GBK"/>
          <w:color w:val="auto"/>
          <w:sz w:val="32"/>
          <w:szCs w:val="32"/>
          <w:highlight w:val="none"/>
          <w:shd w:val="clear" w:color="auto" w:fill="FFFFFF"/>
          <w:lang w:val="en-US" w:eastAsia="zh-CN"/>
        </w:rPr>
        <w:t>丰都县生态环境局（本级）、</w:t>
      </w:r>
      <w:r>
        <w:rPr>
          <w:rFonts w:hint="eastAsia" w:ascii="方正仿宋_GBK" w:hAnsi="方正仿宋_GBK" w:eastAsia="方正仿宋_GBK" w:cs="方正仿宋_GBK"/>
          <w:color w:val="auto"/>
          <w:sz w:val="32"/>
          <w:szCs w:val="32"/>
          <w:highlight w:val="none"/>
          <w:shd w:val="clear" w:color="auto" w:fill="FFFFFF"/>
        </w:rPr>
        <w:t>丰都县生态环境保护综合行政执法支队，丰都县生态环境监测站、丰都县生态环境宣传教育信息中心。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二、部门决算</w:t>
      </w:r>
      <w:r>
        <w:rPr>
          <w:rStyle w:val="7"/>
          <w:rFonts w:hint="eastAsia" w:ascii="黑体" w:hAnsi="黑体" w:eastAsia="黑体" w:cs="黑体"/>
          <w:sz w:val="32"/>
          <w:szCs w:val="32"/>
          <w:shd w:val="clear" w:color="auto" w:fill="FFFFFF"/>
          <w:lang w:eastAsia="zh-CN"/>
        </w:rPr>
        <w:t>收支</w:t>
      </w:r>
      <w:r>
        <w:rPr>
          <w:rStyle w:val="7"/>
          <w:rFonts w:ascii="黑体" w:hAnsi="黑体" w:eastAsia="黑体" w:cs="黑体"/>
          <w:sz w:val="32"/>
          <w:szCs w:val="32"/>
          <w:shd w:val="clear" w:color="auto" w:fill="FFFFFF"/>
        </w:rPr>
        <w:t>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5"/>
        <w:shd w:val="clear" w:color="auto" w:fill="FFFFFF"/>
        <w:ind w:firstLine="640" w:firstLineChars="200"/>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5597.88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收、支与2023年度相比，增加3008.22万元，增长116.2%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本年度部门水体类和大气类污染防治项目增加导致项目收支增加。</w:t>
      </w:r>
    </w:p>
    <w:p>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7"/>
          <w:rFonts w:hint="eastAsia" w:ascii="Times New Roman" w:hAnsi="Times New Roman" w:eastAsia="方正仿宋_GBK"/>
          <w:sz w:val="32"/>
          <w:szCs w:val="32"/>
          <w:shd w:val="clear" w:color="auto" w:fill="FFFFFF"/>
          <w:lang w:val="en-US" w:eastAsia="zh-CN"/>
        </w:rPr>
        <w:t>1</w:t>
      </w:r>
      <w:r>
        <w:rPr>
          <w:rStyle w:val="7"/>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5190.07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与2023年度相比，增加3008.21万元，增长137.9%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本年度部门水体类和大气类污染防治项目增加。</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5190.07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407.80</w:t>
      </w:r>
      <w:r>
        <w:rPr>
          <w:rFonts w:ascii="方正仿宋_GBK" w:hAnsi="方正仿宋_GBK" w:eastAsia="方正仿宋_GBK" w:cs="方正仿宋_GBK"/>
          <w:sz w:val="32"/>
          <w:szCs w:val="32"/>
          <w:shd w:val="clear" w:color="auto" w:fill="FFFFFF"/>
        </w:rPr>
        <w:t>万元。</w:t>
      </w:r>
    </w:p>
    <w:p>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7"/>
          <w:rFonts w:hint="eastAsia" w:ascii="Times New Roman" w:hAnsi="Times New Roman" w:eastAsia="方正仿宋_GBK"/>
          <w:sz w:val="32"/>
          <w:szCs w:val="32"/>
          <w:shd w:val="clear" w:color="auto" w:fill="FFFFFF"/>
          <w:lang w:val="en-US" w:eastAsia="zh-CN"/>
        </w:rPr>
        <w:t>2</w:t>
      </w:r>
      <w:r>
        <w:rPr>
          <w:rStyle w:val="7"/>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5190.07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与2023年度相比，增加3008.21万元，增长137.9%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本年度部门水体类和大气类污染防治项目增加。</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1710.82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33.0%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3479.25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67.0%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lang w:val="en-US" w:eastAsia="zh-CN"/>
        </w:rPr>
      </w:pPr>
      <w:r>
        <w:rPr>
          <w:rStyle w:val="7"/>
          <w:rFonts w:hint="eastAsia" w:ascii="Times New Roman" w:hAnsi="Times New Roman" w:eastAsia="方正仿宋_GBK"/>
          <w:sz w:val="32"/>
          <w:szCs w:val="32"/>
          <w:shd w:val="clear" w:color="auto" w:fill="FFFFFF"/>
          <w:lang w:val="en-US" w:eastAsia="zh-CN"/>
        </w:rPr>
        <w:t>3</w:t>
      </w:r>
      <w:r>
        <w:rPr>
          <w:rStyle w:val="7"/>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407.80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本年度实现收支平衡，无结转结余。</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5597.88</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财政拨款收、支总计各增加3008.22万元，增长116.2%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本年度部门水体类和大气类污染防治项目收支增加。</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7"/>
          <w:rFonts w:hint="default" w:ascii="Times New Roman" w:hAnsi="Times New Roman" w:eastAsia="方正仿宋_GBK"/>
          <w:sz w:val="32"/>
          <w:szCs w:val="32"/>
          <w:shd w:val="clear" w:color="auto" w:fill="FFFFFF"/>
        </w:rPr>
        <w:t>1</w:t>
      </w:r>
      <w:r>
        <w:rPr>
          <w:rStyle w:val="7"/>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5190.07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与2023年度相比，增加3008.21万元，增长137.9%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本年度部门水体类和大气类污染防治项目增加</w:t>
      </w:r>
      <w:r>
        <w:rPr>
          <w:rFonts w:ascii="方正仿宋_GBK" w:hAnsi="方正仿宋_GBK" w:eastAsia="方正仿宋_GBK" w:cs="方正仿宋_GBK"/>
          <w:color w:val="FF0000"/>
          <w:sz w:val="32"/>
          <w:szCs w:val="32"/>
          <w:shd w:val="clear" w:color="auto" w:fill="FFFFFF"/>
        </w:rPr>
        <w:t>。</w:t>
      </w:r>
      <w:r>
        <w:rPr>
          <w:rFonts w:hint="default" w:ascii="Times New Roman" w:hAnsi="Times New Roman" w:eastAsia="方正仿宋_GBK"/>
          <w:sz w:val="32"/>
          <w:szCs w:val="32"/>
          <w:shd w:val="clear" w:color="auto" w:fill="FFFFFF"/>
        </w:rPr>
        <w:t>较年初预算数增加348.23万元，增长7.2%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本年度部门水体类和大气类污染防治项目增加</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407.80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7"/>
          <w:rFonts w:hint="default" w:ascii="Times New Roman" w:hAnsi="Times New Roman" w:eastAsia="方正仿宋_GBK"/>
          <w:sz w:val="32"/>
          <w:szCs w:val="32"/>
          <w:shd w:val="clear" w:color="auto" w:fill="FFFFFF"/>
        </w:rPr>
        <w:t>2</w:t>
      </w:r>
      <w:r>
        <w:rPr>
          <w:rStyle w:val="7"/>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5190.07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与2023年度相比，增加3008.21万元，增长137.9%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本年度部门水体类和大气类污染防治项目支出增加</w:t>
      </w:r>
      <w:r>
        <w:rPr>
          <w:rFonts w:ascii="方正仿宋_GBK" w:hAnsi="方正仿宋_GBK" w:eastAsia="方正仿宋_GBK" w:cs="方正仿宋_GBK"/>
          <w:color w:val="0000FF"/>
          <w:sz w:val="32"/>
          <w:szCs w:val="32"/>
          <w:shd w:val="clear" w:color="auto" w:fill="FFFFFF"/>
        </w:rPr>
        <w:t>。</w:t>
      </w:r>
      <w:r>
        <w:rPr>
          <w:rFonts w:hint="default" w:ascii="Times New Roman" w:hAnsi="Times New Roman" w:eastAsia="方正仿宋_GBK"/>
          <w:sz w:val="32"/>
          <w:szCs w:val="32"/>
          <w:shd w:val="clear" w:color="auto" w:fill="FFFFFF"/>
        </w:rPr>
        <w:t>较年初预算数增加348.23万元，增长7.2%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本年度部门水体类和大气类污染防治项目支出增加</w:t>
      </w:r>
      <w:r>
        <w:rPr>
          <w:rFonts w:ascii="方正仿宋_GBK" w:hAnsi="方正仿宋_GBK" w:eastAsia="方正仿宋_GBK" w:cs="方正仿宋_GBK"/>
          <w:color w:val="0000FF"/>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265.76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较年初预算数增加53.44万元，增长25.2%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缴费基数增加导致预算调整增加支出。</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87.94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较年初预算数增加3.35万元，增长4.0%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缴费基数增加导致预算调整增加支出。</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4744.84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91.4%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较年初预算数增加307.97万元，增长6.9%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水体类和大气类污染防治项目支出增加。</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较年初预算数减少20.64万元，下降100.0%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涉农统筹资金项目减少</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91.53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较年初预算数增加4.10万元，增长4.7%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缴费基数增加导致预算调整增加支出。</w:t>
      </w:r>
    </w:p>
    <w:p>
      <w:pPr>
        <w:pStyle w:val="5"/>
        <w:snapToGrid w:val="0"/>
        <w:spacing w:before="0" w:beforeAutospacing="0" w:after="0" w:afterAutospacing="0" w:line="596" w:lineRule="exact"/>
        <w:ind w:firstLine="964" w:firstLineChars="300"/>
        <w:jc w:val="both"/>
        <w:rPr>
          <w:rFonts w:hint="default" w:ascii="方正仿宋_GBK" w:hAnsi="方正仿宋_GBK" w:eastAsia="方正仿宋_GBK" w:cs="方正仿宋_GBK"/>
          <w:sz w:val="32"/>
          <w:szCs w:val="32"/>
          <w:lang w:val="en-US" w:eastAsia="zh-CN"/>
        </w:rPr>
      </w:pPr>
      <w:r>
        <w:rPr>
          <w:rStyle w:val="7"/>
          <w:rFonts w:hint="default" w:ascii="Times New Roman" w:hAnsi="Times New Roman" w:eastAsia="方正仿宋_GBK"/>
          <w:sz w:val="32"/>
          <w:szCs w:val="32"/>
          <w:shd w:val="clear" w:color="auto" w:fill="FFFFFF"/>
        </w:rPr>
        <w:t>3</w:t>
      </w:r>
      <w:r>
        <w:rPr>
          <w:rStyle w:val="7"/>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407.80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本年度实现收支平衡，无结转结余。</w:t>
      </w:r>
    </w:p>
    <w:p>
      <w:pPr>
        <w:pStyle w:val="9"/>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1710.82</w:t>
      </w:r>
      <w:r>
        <w:rPr>
          <w:rFonts w:ascii="方正仿宋_GBK" w:hAnsi="方正仿宋_GBK" w:eastAsia="方正仿宋_GBK" w:cs="方正仿宋_GBK"/>
          <w:sz w:val="32"/>
          <w:szCs w:val="32"/>
          <w:shd w:val="clear" w:color="auto" w:fill="FFFFFF"/>
        </w:rPr>
        <w:t>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1489.42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与2023年度相比，增加97.68万元，增长7.0%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调资及社保缴费增加等导致数据增加。</w:t>
      </w:r>
      <w:r>
        <w:rPr>
          <w:rFonts w:ascii="方正仿宋_GBK" w:hAnsi="方正仿宋_GBK" w:eastAsia="方正仿宋_GBK" w:cs="方正仿宋_GBK"/>
          <w:color w:val="auto"/>
          <w:sz w:val="32"/>
          <w:szCs w:val="32"/>
          <w:shd w:val="clear" w:color="auto" w:fill="FFFFFF"/>
        </w:rPr>
        <w:t>人</w:t>
      </w:r>
      <w:r>
        <w:rPr>
          <w:rFonts w:ascii="方正仿宋_GBK" w:hAnsi="方正仿宋_GBK" w:eastAsia="方正仿宋_GBK" w:cs="方正仿宋_GBK"/>
          <w:sz w:val="32"/>
          <w:szCs w:val="32"/>
          <w:shd w:val="clear" w:color="auto" w:fill="FFFFFF"/>
        </w:rPr>
        <w:t>员经费用途主要包括</w:t>
      </w:r>
      <w:r>
        <w:rPr>
          <w:rFonts w:hint="eastAsia" w:ascii="方正仿宋_GBK" w:hAnsi="方正仿宋_GBK" w:eastAsia="方正仿宋_GBK" w:cs="方正仿宋_GBK"/>
          <w:sz w:val="32"/>
          <w:szCs w:val="32"/>
          <w:shd w:val="clear" w:color="auto" w:fill="FFFFFF"/>
        </w:rPr>
        <w:t>基本工资、津贴补贴、奖金、社会保障缴费等支出</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221.40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与2023年度相比，减少3.41万元，下降1.5%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严格执行中央八项规定，控制相关费用开支。</w:t>
      </w:r>
      <w:r>
        <w:rPr>
          <w:rFonts w:ascii="方正仿宋_GBK" w:hAnsi="方正仿宋_GBK" w:eastAsia="方正仿宋_GBK" w:cs="方正仿宋_GBK"/>
          <w:sz w:val="32"/>
          <w:szCs w:val="32"/>
          <w:shd w:val="clear" w:color="auto" w:fill="FFFFFF"/>
        </w:rPr>
        <w:t>公用经费用途主要包</w:t>
      </w:r>
      <w:r>
        <w:rPr>
          <w:rFonts w:ascii="方正仿宋_GBK" w:hAnsi="方正仿宋_GBK" w:eastAsia="方正仿宋_GBK" w:cs="方正仿宋_GBK"/>
          <w:sz w:val="32"/>
          <w:szCs w:val="32"/>
        </w:rPr>
        <w:t>括</w:t>
      </w:r>
      <w:r>
        <w:rPr>
          <w:rFonts w:hint="eastAsia" w:ascii="方正仿宋_GBK" w:hAnsi="方正仿宋_GBK" w:eastAsia="方正仿宋_GBK" w:cs="方正仿宋_GBK"/>
          <w:sz w:val="32"/>
          <w:szCs w:val="32"/>
        </w:rPr>
        <w:t>办公费、印刷费、咨询费、手续费、水电费、邮电费、差旅费和维修费等费用。</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shd w:val="clear" w:color="FFFFFF" w:fill="D9D9D9"/>
        </w:rPr>
      </w:pPr>
      <w:r>
        <w:rPr>
          <w:rStyle w:val="7"/>
          <w:rFonts w:ascii="方正仿宋_GBK" w:hAnsi="方正仿宋_GBK" w:eastAsia="方正仿宋_GBK" w:cs="方正仿宋_GBK"/>
          <w:color w:val="auto"/>
          <w:sz w:val="32"/>
          <w:szCs w:val="32"/>
          <w:shd w:val="clear" w:color="FFFFFF"/>
        </w:rPr>
        <w:t>本部门</w:t>
      </w:r>
      <w:r>
        <w:rPr>
          <w:rStyle w:val="7"/>
          <w:rFonts w:hint="default" w:ascii="Times New Roman" w:hAnsi="Times New Roman" w:eastAsia="方正仿宋_GBK"/>
          <w:color w:val="auto"/>
          <w:sz w:val="32"/>
          <w:szCs w:val="32"/>
          <w:shd w:val="clear" w:color="FFFFFF"/>
        </w:rPr>
        <w:t>2024</w:t>
      </w:r>
      <w:r>
        <w:rPr>
          <w:rStyle w:val="7"/>
          <w:rFonts w:ascii="方正仿宋_GBK" w:hAnsi="方正仿宋_GBK" w:eastAsia="方正仿宋_GBK" w:cs="方正仿宋_GBK"/>
          <w:color w:val="auto"/>
          <w:sz w:val="32"/>
          <w:szCs w:val="32"/>
          <w:shd w:val="clear" w:color="FFFFFF"/>
        </w:rPr>
        <w:t>年度无政府性基金预算财政拨款收支。</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5"/>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rPr>
        <w:t>本部门</w:t>
      </w:r>
      <w:r>
        <w:rPr>
          <w:rStyle w:val="7"/>
          <w:rFonts w:hint="default" w:ascii="Times New Roman" w:hAnsi="Times New Roman" w:eastAsia="方正仿宋_GBK"/>
          <w:sz w:val="32"/>
          <w:szCs w:val="32"/>
          <w:shd w:val="clear" w:color="auto"/>
        </w:rPr>
        <w:t>2024</w:t>
      </w:r>
      <w:r>
        <w:rPr>
          <w:rStyle w:val="7"/>
          <w:rFonts w:ascii="方正仿宋_GBK" w:hAnsi="方正仿宋_GBK" w:eastAsia="方正仿宋_GBK" w:cs="方正仿宋_GBK"/>
          <w:sz w:val="32"/>
          <w:szCs w:val="32"/>
          <w:shd w:val="clear" w:color="auto"/>
        </w:rPr>
        <w:t>年度无国有资本经营预算财政拨款支出。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三、</w:t>
      </w:r>
      <w:r>
        <w:rPr>
          <w:rStyle w:val="7"/>
          <w:rFonts w:hint="eastAsia" w:ascii="黑体" w:hAnsi="黑体" w:eastAsia="黑体" w:cs="黑体"/>
          <w:sz w:val="32"/>
          <w:szCs w:val="32"/>
          <w:shd w:val="clear" w:color="auto" w:fill="FFFFFF"/>
          <w:lang w:eastAsia="zh-CN"/>
        </w:rPr>
        <w:t>财政拨款</w:t>
      </w:r>
      <w:r>
        <w:rPr>
          <w:rStyle w:val="7"/>
          <w:rFonts w:ascii="黑体" w:hAnsi="黑体" w:eastAsia="黑体" w:cs="黑体"/>
          <w:sz w:val="32"/>
          <w:szCs w:val="32"/>
          <w:shd w:val="clear" w:color="auto" w:fill="FFFFFF"/>
        </w:rPr>
        <w:t>“三公”经费情况说明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16.11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较年初预算数减少5.89万元，下降26.8%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严格执行中央八项规定，控制相关费用开支。</w:t>
      </w:r>
      <w:r>
        <w:rPr>
          <w:rFonts w:hint="default" w:ascii="Times New Roman" w:hAnsi="Times New Roman" w:eastAsia="方正仿宋_GBK"/>
          <w:sz w:val="32"/>
          <w:szCs w:val="32"/>
          <w:shd w:val="clear" w:color="auto" w:fill="FFFFFF"/>
        </w:rPr>
        <w:t>较上年支出数减少3.51万元，下降17.9%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严格执行中央八项规定，控制相关费用开支。</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color w:val="auto"/>
          <w:sz w:val="32"/>
          <w:szCs w:val="32"/>
          <w:highlight w:val="none"/>
          <w:shd w:val="clear" w:color="auto" w:fill="FFFFFF"/>
          <w:lang w:val="en-US" w:eastAsia="zh-CN"/>
        </w:rPr>
        <w:t>部门</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万元，主要是</w:t>
      </w:r>
      <w:r>
        <w:rPr>
          <w:rFonts w:hint="eastAsia" w:ascii="方正仿宋_GBK" w:hAnsi="方正仿宋_GBK" w:eastAsia="方正仿宋_GBK" w:cs="方正仿宋_GBK"/>
          <w:sz w:val="32"/>
          <w:szCs w:val="32"/>
          <w:shd w:val="clear" w:color="auto" w:fill="FFFFFF"/>
          <w:lang w:val="en-US" w:eastAsia="zh-CN"/>
        </w:rPr>
        <w:t>本年度我部门</w:t>
      </w:r>
      <w:r>
        <w:rPr>
          <w:rFonts w:hint="eastAsia" w:ascii="方正仿宋_GBK" w:hAnsi="方正仿宋_GBK" w:eastAsia="方正仿宋_GBK" w:cs="方正仿宋_GBK"/>
          <w:sz w:val="32"/>
          <w:szCs w:val="32"/>
          <w:shd w:val="clear" w:color="auto" w:fill="FFFFFF"/>
        </w:rPr>
        <w:t>未发生该项支出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本年度我部门</w:t>
      </w:r>
      <w:r>
        <w:rPr>
          <w:rFonts w:hint="eastAsia" w:ascii="方正仿宋_GBK" w:hAnsi="方正仿宋_GBK" w:eastAsia="方正仿宋_GBK" w:cs="方正仿宋_GBK"/>
          <w:sz w:val="32"/>
          <w:szCs w:val="32"/>
          <w:shd w:val="clear" w:color="auto" w:fill="FFFFFF"/>
        </w:rPr>
        <w:t>未发生该项支出</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本年度我部门</w:t>
      </w:r>
      <w:r>
        <w:rPr>
          <w:rFonts w:hint="eastAsia" w:ascii="方正仿宋_GBK" w:hAnsi="方正仿宋_GBK" w:eastAsia="方正仿宋_GBK" w:cs="方正仿宋_GBK"/>
          <w:sz w:val="32"/>
          <w:szCs w:val="32"/>
          <w:shd w:val="clear" w:color="auto" w:fill="FFFFFF"/>
        </w:rPr>
        <w:t>未发生该项支出</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本年度无新车购置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本年度无新车购置</w:t>
      </w:r>
      <w:r>
        <w:rPr>
          <w:rFonts w:hint="eastAsia" w:ascii="方正仿宋_GBK" w:hAnsi="方正仿宋_GBK" w:eastAsia="方正仿宋_GBK" w:cs="方正仿宋_GBK"/>
          <w:color w:val="FF0000"/>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本年度无新车购置</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11.72</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生态环境管理等工作所需车辆的燃料费、维修费、过桥过路费、保险费等。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较年初预算数减少1.78万元，下降13.2%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r>
        <w:rPr>
          <w:rFonts w:hint="default" w:ascii="Times New Roman" w:hAnsi="Times New Roman" w:eastAsia="方正仿宋_GBK"/>
          <w:sz w:val="32"/>
          <w:szCs w:val="32"/>
          <w:shd w:val="clear" w:color="auto" w:fill="FFFFFF"/>
        </w:rPr>
        <w:t>较上年支出数减少3.28万元，下降21.9%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4.39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主要用于</w:t>
      </w:r>
      <w:r>
        <w:rPr>
          <w:rFonts w:ascii="方正仿宋_GBK" w:hAnsi="方正仿宋_GBK" w:eastAsia="方正仿宋_GBK" w:cs="方正仿宋_GBK"/>
          <w:sz w:val="32"/>
          <w:szCs w:val="32"/>
          <w:shd w:val="clear" w:color="auto" w:fill="FFFFFF"/>
        </w:rPr>
        <w:t>接待</w:t>
      </w:r>
      <w:r>
        <w:rPr>
          <w:rFonts w:hint="eastAsia" w:ascii="方正仿宋_GBK" w:hAnsi="方正仿宋_GBK" w:eastAsia="方正仿宋_GBK" w:cs="方正仿宋_GBK"/>
          <w:sz w:val="32"/>
          <w:szCs w:val="32"/>
          <w:shd w:val="clear" w:color="auto" w:fill="FFFFFF"/>
        </w:rPr>
        <w:t>市内其他县</w:t>
      </w:r>
      <w:r>
        <w:rPr>
          <w:rFonts w:hint="eastAsia" w:ascii="方正仿宋_GBK" w:hAnsi="方正仿宋_GBK" w:eastAsia="方正仿宋_GBK" w:cs="方正仿宋_GBK"/>
          <w:sz w:val="32"/>
          <w:szCs w:val="32"/>
          <w:shd w:val="clear" w:color="auto" w:fill="FFFFFF"/>
          <w:lang w:val="en-US" w:eastAsia="zh-CN"/>
        </w:rPr>
        <w:t>(区）</w:t>
      </w:r>
      <w:r>
        <w:rPr>
          <w:rFonts w:hint="eastAsia" w:ascii="方正仿宋_GBK" w:hAnsi="方正仿宋_GBK" w:eastAsia="方正仿宋_GBK" w:cs="方正仿宋_GBK"/>
          <w:sz w:val="32"/>
          <w:szCs w:val="32"/>
          <w:shd w:val="clear" w:color="auto" w:fill="FFFFFF"/>
        </w:rPr>
        <w:t>环境局到我单位学习调研生态环境管理工作，接受相关部门检查指导工作发生的接待支出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较年初预算数减少4.11万元，下降48.4%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r>
        <w:rPr>
          <w:rFonts w:hint="default" w:ascii="Times New Roman" w:hAnsi="Times New Roman" w:eastAsia="方正仿宋_GBK"/>
          <w:sz w:val="32"/>
          <w:szCs w:val="32"/>
          <w:shd w:val="clear" w:color="auto" w:fill="FFFFFF"/>
        </w:rPr>
        <w:t>较上年支出数减少0.23万元，下降5.0%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141</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577</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76.13</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2.34</w:t>
      </w:r>
      <w:r>
        <w:rPr>
          <w:rFonts w:ascii="方正仿宋_GBK" w:hAnsi="方正仿宋_GBK" w:eastAsia="方正仿宋_GBK" w:cs="方正仿宋_GBK"/>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四、其他需要说明的事项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1.48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与2023年度相比，增加0.93万元，增长169.1%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完成市对县目标考核任务布置会议增多。</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4.04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与2023年度相比，增加1.59万元，增长64.9%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生态环境管理业务培训增加导致费用增加。</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42.91</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与2023年度相比，增加22.43万元，增长109.5%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本年度组建工作专班督导乡镇环保工作致费用增加</w:t>
      </w:r>
      <w:r>
        <w:rPr>
          <w:rFonts w:hint="eastAsia" w:ascii="方正仿宋_GBK" w:hAnsi="方正仿宋_GBK" w:eastAsia="方正仿宋_GBK" w:cs="方正仿宋_GBK"/>
          <w:sz w:val="32"/>
          <w:szCs w:val="32"/>
          <w:shd w:val="clear" w:color="auto" w:fill="FFFFFF"/>
        </w:rPr>
        <w:t>。</w:t>
      </w:r>
    </w:p>
    <w:p>
      <w:pPr>
        <w:pStyle w:val="9"/>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132.24</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rPr>
        <w:t>办公费，水电费，邮电费和差旅费等维持部门正常运转经费支出。</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较上年支出数增加15.59万元，增长13.4%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本年度因完成市对县目标考核任务工作量增加导致运行费增加</w:t>
      </w:r>
      <w:r>
        <w:rPr>
          <w:rFonts w:ascii="方正仿宋_GBK" w:hAnsi="方正仿宋_GBK" w:eastAsia="方正仿宋_GBK" w:cs="方正仿宋_GBK"/>
          <w:sz w:val="32"/>
          <w:szCs w:val="32"/>
          <w:shd w:val="clear" w:color="auto" w:fill="FFFFFF"/>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color w:val="auto"/>
          <w:sz w:val="32"/>
          <w:szCs w:val="32"/>
          <w:highlight w:val="none"/>
          <w:shd w:val="clear" w:color="auto" w:fill="FFFFFF"/>
          <w:lang w:val="en-US" w:eastAsia="zh-CN"/>
        </w:rPr>
        <w:t>领导干部</w:t>
      </w:r>
      <w:r>
        <w:rPr>
          <w:rFonts w:ascii="方正仿宋_GBK" w:hAnsi="方正仿宋_GBK" w:eastAsia="方正仿宋_GBK" w:cs="方正仿宋_GBK"/>
          <w:sz w:val="32"/>
          <w:szCs w:val="32"/>
          <w:shd w:val="clear" w:color="auto" w:fill="FFFFFF"/>
        </w:rPr>
        <w:t>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w:t>
      </w:r>
      <w:r>
        <w:rPr>
          <w:rFonts w:hint="eastAsia" w:ascii="方正仿宋_GBK" w:hAnsi="方正仿宋_GBK" w:eastAsia="方正仿宋_GBK" w:cs="方正仿宋_GBK"/>
          <w:color w:val="auto"/>
          <w:sz w:val="32"/>
          <w:szCs w:val="32"/>
          <w:highlight w:val="none"/>
          <w:shd w:val="clear" w:color="auto" w:fill="FFFFFF"/>
          <w:lang w:val="en-US" w:eastAsia="zh-CN"/>
        </w:rPr>
        <w:t>设备（不含车辆）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396.18</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241.20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154.98</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154.98</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39.1%</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154.98</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39.1 %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val="en-US" w:eastAsia="zh-CN"/>
        </w:rPr>
        <w:t>咨询服务类支出。</w:t>
      </w:r>
    </w:p>
    <w:p>
      <w:pPr>
        <w:pStyle w:val="5"/>
        <w:numPr>
          <w:ilvl w:val="0"/>
          <w:numId w:val="1"/>
        </w:numPr>
        <w:shd w:val="clear" w:color="auto" w:fill="FFFFFF"/>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预算绩效管理情况说明</w:t>
      </w:r>
    </w:p>
    <w:p>
      <w:pPr>
        <w:pStyle w:val="9"/>
        <w:numPr>
          <w:ilvl w:val="0"/>
          <w:numId w:val="2"/>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部门自评情况</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根据预算绩效管理要求，我部门对部门整体和32个项目开展了绩效自评，涉及财政拨款项目支出资金3520.70万元。</w:t>
      </w:r>
    </w:p>
    <w:p>
      <w:pPr>
        <w:pStyle w:val="9"/>
        <w:numPr>
          <w:ilvl w:val="0"/>
          <w:numId w:val="0"/>
        </w:numPr>
        <w:autoSpaceDE w:val="0"/>
        <w:ind w:firstLine="960" w:firstLineChars="300"/>
        <w:rPr>
          <w:rFonts w:hint="eastAsia"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丰都县生态环境局</w:t>
      </w:r>
      <w:r>
        <w:rPr>
          <w:rFonts w:hint="eastAsia"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年度部门整体绩效自评表</w:t>
      </w:r>
    </w:p>
    <w:tbl>
      <w:tblPr>
        <w:tblStyle w:val="8"/>
        <w:tblpPr w:leftFromText="180" w:rightFromText="180" w:vertAnchor="text" w:horzAnchor="page" w:tblpX="1932" w:tblpY="378"/>
        <w:tblOverlap w:val="neve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8"/>
        <w:gridCol w:w="738"/>
        <w:gridCol w:w="739"/>
        <w:gridCol w:w="879"/>
        <w:gridCol w:w="633"/>
        <w:gridCol w:w="831"/>
        <w:gridCol w:w="711"/>
        <w:gridCol w:w="854"/>
        <w:gridCol w:w="533"/>
        <w:gridCol w:w="732"/>
        <w:gridCol w:w="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72" w:hRule="atLeast"/>
        </w:trPr>
        <w:tc>
          <w:tcPr>
            <w:tcW w:w="8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8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b/>
                <w:bCs/>
                <w:i w:val="0"/>
                <w:iCs w:val="0"/>
                <w:color w:val="DA3232"/>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1"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项目名称：</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丰都县生态环境局整体监控</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项目编码：</w:t>
            </w: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50023000024P000058</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自评总分：</w:t>
            </w:r>
          </w:p>
        </w:tc>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93.88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b/>
                <w:bCs/>
                <w:i w:val="0"/>
                <w:iCs w:val="0"/>
                <w:color w:val="000000"/>
                <w:sz w:val="16"/>
                <w:szCs w:val="16"/>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2"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项目主管部门：</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609-丰都县生态环境局</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财政归口处室：</w:t>
            </w: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006-经建科</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部门联系人：</w:t>
            </w:r>
          </w:p>
        </w:tc>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heme="minorEastAsia" w:hAnsiTheme="minorEastAsia" w:eastAsiaTheme="minorEastAsia" w:cstheme="minorEastAsia"/>
                <w:i w:val="0"/>
                <w:iCs w:val="0"/>
                <w:color w:val="000000"/>
                <w:sz w:val="16"/>
                <w:szCs w:val="16"/>
                <w:u w:val="none"/>
                <w:lang w:val="en-US"/>
              </w:rPr>
            </w:pPr>
            <w:r>
              <w:rPr>
                <w:rFonts w:hint="eastAsia" w:asciiTheme="minorEastAsia" w:hAnsiTheme="minorEastAsia" w:eastAsiaTheme="minorEastAsia" w:cstheme="minorEastAsia"/>
                <w:i w:val="0"/>
                <w:iCs w:val="0"/>
                <w:color w:val="000000"/>
                <w:kern w:val="0"/>
                <w:sz w:val="16"/>
                <w:szCs w:val="16"/>
                <w:u w:val="none"/>
                <w:lang w:val="en-US" w:eastAsia="zh-CN" w:bidi="ar"/>
              </w:rPr>
              <w:t>曾蓬</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联系电话：</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70702509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trPr>
        <w:tc>
          <w:tcPr>
            <w:tcW w:w="8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808080"/>
                <w:sz w:val="16"/>
                <w:szCs w:val="16"/>
                <w:u w:val="none"/>
              </w:rPr>
            </w:pPr>
            <w:r>
              <w:rPr>
                <w:rFonts w:hint="eastAsia" w:asciiTheme="minorEastAsia" w:hAnsiTheme="minorEastAsia" w:eastAsiaTheme="minorEastAsia" w:cstheme="minorEastAsia"/>
                <w:b/>
                <w:bCs/>
                <w:i w:val="0"/>
                <w:iCs w:val="0"/>
                <w:color w:val="808080"/>
                <w:kern w:val="0"/>
                <w:sz w:val="16"/>
                <w:szCs w:val="16"/>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2" w:hRule="atLeast"/>
        </w:trPr>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16"/>
                <w:szCs w:val="16"/>
                <w:u w:val="none"/>
              </w:rP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年初预算数</w:t>
            </w: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全年（调整）预算数</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全年执行数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执行率</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执行率权重</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2" w:hRule="atLeast"/>
        </w:trPr>
        <w:tc>
          <w:tcPr>
            <w:tcW w:w="157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年度总金额</w:t>
            </w:r>
          </w:p>
        </w:tc>
        <w:tc>
          <w:tcPr>
            <w:tcW w:w="738" w:type="dxa"/>
            <w:tcBorders>
              <w:top w:val="single" w:color="000000" w:sz="4" w:space="0"/>
              <w:left w:val="nil"/>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6"/>
                <w:szCs w:val="16"/>
                <w:u w:val="none"/>
              </w:rPr>
            </w:pPr>
          </w:p>
        </w:tc>
        <w:tc>
          <w:tcPr>
            <w:tcW w:w="739" w:type="dxa"/>
            <w:tcBorders>
              <w:top w:val="single" w:color="000000" w:sz="4" w:space="0"/>
              <w:left w:val="single" w:color="000000" w:sz="4" w:space="0"/>
              <w:bottom w:val="single" w:color="000000" w:sz="4" w:space="0"/>
              <w:right w:val="nil"/>
            </w:tcBorders>
            <w:shd w:val="clear" w:color="auto" w:fill="auto"/>
            <w:vAlign w:val="center"/>
          </w:tcPr>
          <w:p>
            <w:pPr>
              <w:rPr>
                <w:rFonts w:hint="eastAsia" w:asciiTheme="minorEastAsia" w:hAnsiTheme="minorEastAsia" w:eastAsiaTheme="minorEastAsia" w:cstheme="minorEastAsia"/>
                <w:i w:val="0"/>
                <w:iCs w:val="0"/>
                <w:color w:val="000000"/>
                <w:sz w:val="16"/>
                <w:szCs w:val="16"/>
                <w:u w:val="none"/>
              </w:rPr>
            </w:pPr>
          </w:p>
        </w:tc>
        <w:tc>
          <w:tcPr>
            <w:tcW w:w="8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48,418,393.33 </w:t>
            </w:r>
          </w:p>
        </w:tc>
        <w:tc>
          <w:tcPr>
            <w:tcW w:w="633" w:type="dxa"/>
            <w:tcBorders>
              <w:top w:val="single" w:color="000000" w:sz="4" w:space="0"/>
              <w:left w:val="single" w:color="000000" w:sz="4" w:space="0"/>
              <w:bottom w:val="single" w:color="000000" w:sz="4" w:space="0"/>
              <w:right w:val="nil"/>
            </w:tcBorders>
            <w:shd w:val="clear" w:color="auto" w:fill="auto"/>
            <w:vAlign w:val="center"/>
          </w:tcPr>
          <w:p>
            <w:pPr>
              <w:rPr>
                <w:rFonts w:hint="eastAsia" w:asciiTheme="minorEastAsia" w:hAnsiTheme="minorEastAsia" w:eastAsiaTheme="minorEastAsia" w:cstheme="minorEastAsia"/>
                <w:i w:val="0"/>
                <w:iCs w:val="0"/>
                <w:color w:val="000000"/>
                <w:sz w:val="16"/>
                <w:szCs w:val="16"/>
                <w:u w:val="none"/>
              </w:rPr>
            </w:pPr>
          </w:p>
        </w:tc>
        <w:tc>
          <w:tcPr>
            <w:tcW w:w="8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138,848,310.94 </w:t>
            </w:r>
          </w:p>
        </w:tc>
        <w:tc>
          <w:tcPr>
            <w:tcW w:w="71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Theme="minorEastAsia" w:hAnsiTheme="minorEastAsia" w:eastAsiaTheme="minorEastAsia" w:cstheme="minorEastAsia"/>
                <w:i w:val="0"/>
                <w:iCs w:val="0"/>
                <w:color w:val="000000"/>
                <w:sz w:val="16"/>
                <w:szCs w:val="16"/>
                <w:u w:val="none"/>
              </w:rPr>
            </w:pP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53,866,873.11 </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6"/>
                <w:szCs w:val="16"/>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7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其中：财政拨款</w:t>
            </w:r>
          </w:p>
        </w:tc>
        <w:tc>
          <w:tcPr>
            <w:tcW w:w="738" w:type="dxa"/>
            <w:tcBorders>
              <w:top w:val="single" w:color="000000" w:sz="4" w:space="0"/>
              <w:left w:val="nil"/>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6"/>
                <w:szCs w:val="16"/>
                <w:u w:val="none"/>
              </w:rPr>
            </w:pPr>
          </w:p>
        </w:tc>
        <w:tc>
          <w:tcPr>
            <w:tcW w:w="739" w:type="dxa"/>
            <w:tcBorders>
              <w:top w:val="single" w:color="000000" w:sz="4" w:space="0"/>
              <w:left w:val="single" w:color="000000" w:sz="4" w:space="0"/>
              <w:bottom w:val="single" w:color="000000" w:sz="4" w:space="0"/>
              <w:right w:val="nil"/>
            </w:tcBorders>
            <w:shd w:val="clear" w:color="auto" w:fill="auto"/>
            <w:vAlign w:val="center"/>
          </w:tcPr>
          <w:p>
            <w:pPr>
              <w:rPr>
                <w:rFonts w:hint="eastAsia" w:asciiTheme="minorEastAsia" w:hAnsiTheme="minorEastAsia" w:eastAsiaTheme="minorEastAsia" w:cstheme="minorEastAsia"/>
                <w:i w:val="0"/>
                <w:iCs w:val="0"/>
                <w:color w:val="000000"/>
                <w:sz w:val="16"/>
                <w:szCs w:val="16"/>
                <w:u w:val="none"/>
              </w:rPr>
            </w:pPr>
          </w:p>
        </w:tc>
        <w:tc>
          <w:tcPr>
            <w:tcW w:w="8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48,418,393.33 </w:t>
            </w:r>
          </w:p>
        </w:tc>
        <w:tc>
          <w:tcPr>
            <w:tcW w:w="633" w:type="dxa"/>
            <w:tcBorders>
              <w:top w:val="single" w:color="000000" w:sz="4" w:space="0"/>
              <w:left w:val="single" w:color="000000" w:sz="4" w:space="0"/>
              <w:bottom w:val="single" w:color="000000" w:sz="4" w:space="0"/>
              <w:right w:val="nil"/>
            </w:tcBorders>
            <w:shd w:val="clear" w:color="auto" w:fill="auto"/>
            <w:vAlign w:val="center"/>
          </w:tcPr>
          <w:p>
            <w:pPr>
              <w:rPr>
                <w:rFonts w:hint="eastAsia" w:asciiTheme="minorEastAsia" w:hAnsiTheme="minorEastAsia" w:eastAsiaTheme="minorEastAsia" w:cstheme="minorEastAsia"/>
                <w:i w:val="0"/>
                <w:iCs w:val="0"/>
                <w:color w:val="000000"/>
                <w:sz w:val="16"/>
                <w:szCs w:val="16"/>
                <w:u w:val="none"/>
              </w:rPr>
            </w:pPr>
          </w:p>
        </w:tc>
        <w:tc>
          <w:tcPr>
            <w:tcW w:w="8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138,848,310.94 </w:t>
            </w:r>
          </w:p>
        </w:tc>
        <w:tc>
          <w:tcPr>
            <w:tcW w:w="71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Theme="minorEastAsia" w:hAnsiTheme="minorEastAsia" w:eastAsiaTheme="minorEastAsia" w:cstheme="minorEastAsia"/>
                <w:i w:val="0"/>
                <w:iCs w:val="0"/>
                <w:color w:val="000000"/>
                <w:sz w:val="16"/>
                <w:szCs w:val="16"/>
                <w:u w:val="none"/>
              </w:rPr>
            </w:pP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53,866,873.11 </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38.8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3.88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2" w:hRule="atLeast"/>
        </w:trPr>
        <w:tc>
          <w:tcPr>
            <w:tcW w:w="157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一般公共预算</w:t>
            </w:r>
          </w:p>
        </w:tc>
        <w:tc>
          <w:tcPr>
            <w:tcW w:w="738" w:type="dxa"/>
            <w:tcBorders>
              <w:top w:val="single" w:color="000000" w:sz="4" w:space="0"/>
              <w:left w:val="nil"/>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6"/>
                <w:szCs w:val="16"/>
                <w:u w:val="none"/>
              </w:rPr>
            </w:pPr>
          </w:p>
        </w:tc>
        <w:tc>
          <w:tcPr>
            <w:tcW w:w="739" w:type="dxa"/>
            <w:tcBorders>
              <w:top w:val="single" w:color="000000" w:sz="4" w:space="0"/>
              <w:left w:val="single" w:color="000000" w:sz="4" w:space="0"/>
              <w:bottom w:val="single" w:color="000000" w:sz="4" w:space="0"/>
              <w:right w:val="nil"/>
            </w:tcBorders>
            <w:shd w:val="clear" w:color="auto" w:fill="auto"/>
            <w:vAlign w:val="center"/>
          </w:tcPr>
          <w:p>
            <w:pPr>
              <w:rPr>
                <w:rFonts w:hint="eastAsia" w:asciiTheme="minorEastAsia" w:hAnsiTheme="minorEastAsia" w:eastAsiaTheme="minorEastAsia" w:cstheme="minorEastAsia"/>
                <w:i w:val="0"/>
                <w:iCs w:val="0"/>
                <w:color w:val="000000"/>
                <w:sz w:val="16"/>
                <w:szCs w:val="16"/>
                <w:u w:val="none"/>
              </w:rPr>
            </w:pPr>
          </w:p>
        </w:tc>
        <w:tc>
          <w:tcPr>
            <w:tcW w:w="87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48,418,393.33 </w:t>
            </w:r>
          </w:p>
        </w:tc>
        <w:tc>
          <w:tcPr>
            <w:tcW w:w="633" w:type="dxa"/>
            <w:tcBorders>
              <w:top w:val="single" w:color="000000" w:sz="4" w:space="0"/>
              <w:left w:val="single" w:color="000000" w:sz="4" w:space="0"/>
              <w:bottom w:val="single" w:color="000000" w:sz="4" w:space="0"/>
              <w:right w:val="nil"/>
            </w:tcBorders>
            <w:shd w:val="clear" w:color="auto" w:fill="auto"/>
            <w:vAlign w:val="center"/>
          </w:tcPr>
          <w:p>
            <w:pPr>
              <w:rPr>
                <w:rFonts w:hint="eastAsia" w:asciiTheme="minorEastAsia" w:hAnsiTheme="minorEastAsia" w:eastAsiaTheme="minorEastAsia" w:cstheme="minorEastAsia"/>
                <w:i w:val="0"/>
                <w:iCs w:val="0"/>
                <w:color w:val="000000"/>
                <w:sz w:val="16"/>
                <w:szCs w:val="16"/>
                <w:u w:val="none"/>
              </w:rPr>
            </w:pPr>
          </w:p>
        </w:tc>
        <w:tc>
          <w:tcPr>
            <w:tcW w:w="8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138,848,310.94 </w:t>
            </w:r>
          </w:p>
        </w:tc>
        <w:tc>
          <w:tcPr>
            <w:tcW w:w="71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Theme="minorEastAsia" w:hAnsiTheme="minorEastAsia" w:eastAsiaTheme="minorEastAsia" w:cstheme="minorEastAsia"/>
                <w:i w:val="0"/>
                <w:iCs w:val="0"/>
                <w:color w:val="000000"/>
                <w:sz w:val="16"/>
                <w:szCs w:val="16"/>
                <w:u w:val="none"/>
              </w:rPr>
            </w:pPr>
          </w:p>
        </w:tc>
        <w:tc>
          <w:tcPr>
            <w:tcW w:w="85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53,866,873.11 </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38.8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16"/>
                <w:szCs w:val="16"/>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trPr>
        <w:tc>
          <w:tcPr>
            <w:tcW w:w="8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808080"/>
                <w:sz w:val="16"/>
                <w:szCs w:val="16"/>
                <w:u w:val="none"/>
              </w:rPr>
            </w:pPr>
            <w:r>
              <w:rPr>
                <w:rFonts w:hint="eastAsia" w:asciiTheme="minorEastAsia" w:hAnsiTheme="minorEastAsia" w:eastAsiaTheme="minorEastAsia" w:cstheme="minorEastAsia"/>
                <w:b/>
                <w:bCs/>
                <w:i w:val="0"/>
                <w:iCs w:val="0"/>
                <w:color w:val="808080"/>
                <w:kern w:val="0"/>
                <w:sz w:val="16"/>
                <w:szCs w:val="16"/>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3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年初绩效目标</w:t>
            </w:r>
          </w:p>
        </w:tc>
        <w:tc>
          <w:tcPr>
            <w:tcW w:w="30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全年（调整）绩效目标</w:t>
            </w: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11" w:hRule="atLeast"/>
        </w:trPr>
        <w:tc>
          <w:tcPr>
            <w:tcW w:w="393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一、推进完成污染防治攻坚战、生态优先、绿色发展行动计划重点任务；二、继续统筹推进碧溪河水质全年稳定达标，年空气质量优良天数稳定在349天以上，完成国家下达的年度主要污染物总量减排目标，土壤环境、声环境和辐射环境质量总体稳定；三、加强环境监测执法等能力建设，完成生态环境监测省级市事权年度目标任务；开展环保督察、环境执法专项行动，不发生重特大突发环境事件，提升群众对生态环境质量满意度。四、完成新一轮中央生态环保督察迎检工作；五、持续优化营商环境，助力经济社会发展。</w:t>
            </w:r>
          </w:p>
        </w:tc>
        <w:tc>
          <w:tcPr>
            <w:tcW w:w="30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ind w:firstLine="480" w:firstLineChars="300"/>
              <w:jc w:val="left"/>
              <w:rPr>
                <w:rFonts w:hint="default" w:asciiTheme="minorEastAsia" w:hAnsiTheme="minorEastAsia" w:eastAsiaTheme="minorEastAsia" w:cstheme="minorEastAsia"/>
                <w:i w:val="0"/>
                <w:iCs w:val="0"/>
                <w:color w:val="000000"/>
                <w:sz w:val="16"/>
                <w:szCs w:val="16"/>
                <w:u w:val="none"/>
                <w:lang w:val="en-US" w:eastAsia="zh-CN"/>
              </w:rPr>
            </w:pPr>
            <w:r>
              <w:rPr>
                <w:rFonts w:hint="eastAsia" w:asciiTheme="minorEastAsia" w:hAnsiTheme="minorEastAsia" w:eastAsiaTheme="minorEastAsia" w:cstheme="minorEastAsia"/>
                <w:i w:val="0"/>
                <w:iCs w:val="0"/>
                <w:color w:val="000000"/>
                <w:sz w:val="16"/>
                <w:szCs w:val="16"/>
                <w:u w:val="none"/>
                <w:lang w:val="en-US" w:eastAsia="zh-CN"/>
              </w:rPr>
              <w:t>全年未</w:t>
            </w:r>
            <w:r>
              <w:rPr>
                <w:rFonts w:hint="eastAsia" w:asciiTheme="minorEastAsia" w:hAnsiTheme="minorEastAsia" w:eastAsiaTheme="minorEastAsia" w:cstheme="minorEastAsia"/>
                <w:i w:val="0"/>
                <w:iCs w:val="0"/>
                <w:color w:val="000000"/>
                <w:kern w:val="0"/>
                <w:sz w:val="16"/>
                <w:szCs w:val="16"/>
                <w:u w:val="none"/>
                <w:lang w:val="en-US" w:eastAsia="zh-CN" w:bidi="ar"/>
              </w:rPr>
              <w:t>一、推进完成污染防治攻坚战、生态优先、绿色发展行动计划重点任务；二、继续统筹推进碧溪河水质全年稳定达标，年空气质量优良天数稳定在349天以上，完成国家下达的年度主要污染物总量减排目标，土壤环境、声环境和辐射环境质量总体稳定；三、加强环境监测执法等能力建设，完成生态环境监测省级市事权年度目标任务；开展环保督察、环境执法专项行动，不发生重特大突发环境事件，提升群众对生态环境质量满意度。四、完成新一轮中央生态环保督察迎检工作；五、持续优化营商环境，助力经济社会发展。</w:t>
            </w:r>
            <w:r>
              <w:rPr>
                <w:rFonts w:hint="eastAsia" w:asciiTheme="minorEastAsia" w:hAnsiTheme="minorEastAsia" w:eastAsiaTheme="minorEastAsia" w:cstheme="minorEastAsia"/>
                <w:i w:val="0"/>
                <w:iCs w:val="0"/>
                <w:color w:val="000000"/>
                <w:sz w:val="16"/>
                <w:szCs w:val="16"/>
                <w:u w:val="none"/>
                <w:lang w:val="en-US" w:eastAsia="zh-CN"/>
              </w:rPr>
              <w:t>调整绩效目标</w:t>
            </w: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一、推进完成污染防治攻坚战、生态优先、绿色行动计划重点任务；二、继续统筹推进碧溪河水质全年稳定达标，年空气质量优良天数稳定在349天以上，完成国家下达的年度主要污染物总量减排目标，土壤环境、声环境和辐射环境质量总体稳定；三、加强环境监测执法等能力建设，完成生态环境监测省级市事权年度目标任务；开展环保督察、环境执法专项行动，不发生重特大突发环境事件，提升群众对生态环境质量满意度。四、完成新一轮中央生态环保督察迎检工作；五、持续优化营商环境，助力经济社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trPr>
        <w:tc>
          <w:tcPr>
            <w:tcW w:w="8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808080"/>
                <w:sz w:val="16"/>
                <w:szCs w:val="16"/>
                <w:u w:val="none"/>
              </w:rPr>
            </w:pPr>
            <w:r>
              <w:rPr>
                <w:rFonts w:hint="eastAsia" w:asciiTheme="minorEastAsia" w:hAnsiTheme="minorEastAsia" w:eastAsiaTheme="minorEastAsia" w:cstheme="minorEastAsia"/>
                <w:b/>
                <w:bCs/>
                <w:i w:val="0"/>
                <w:iCs w:val="0"/>
                <w:color w:val="808080"/>
                <w:kern w:val="0"/>
                <w:sz w:val="16"/>
                <w:szCs w:val="16"/>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2"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指标名称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计量单位</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指标性质</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指标值</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全年完成值</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偏离度（%）</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得分系数（%）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指标权重</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指标得分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是否核心指标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6"/>
                <w:szCs w:val="16"/>
                <w:u w:val="none"/>
              </w:rPr>
            </w:pPr>
            <w:r>
              <w:rPr>
                <w:rFonts w:hint="eastAsia" w:asciiTheme="minorEastAsia" w:hAnsiTheme="minorEastAsia" w:eastAsiaTheme="minorEastAsia" w:cstheme="minorEastAsia"/>
                <w:b/>
                <w:bCs/>
                <w:i w:val="0"/>
                <w:iCs w:val="0"/>
                <w:color w:val="000000"/>
                <w:kern w:val="0"/>
                <w:sz w:val="16"/>
                <w:szCs w:val="16"/>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1"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监督检查辐射工作单位</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家</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否</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1"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开展社会媒体宣传</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次/年</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是</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1"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开展生态环保督察</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是</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2"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碧溪河流域水质</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6"/>
                <w:szCs w:val="16"/>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定性</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全年稳定达标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是</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1"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建设项目环评审批办结率</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否</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1"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生态环境改善情况</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6"/>
                <w:szCs w:val="16"/>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定性</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持续改善</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是</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1"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统筹推进年空气质量优良天数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天</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349</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349</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否</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1" w:hRule="atLeast"/>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突发环境事件处满意度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95</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是</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16"/>
                <w:szCs w:val="16"/>
                <w:u w:val="none"/>
              </w:rPr>
            </w:pPr>
          </w:p>
        </w:tc>
      </w:tr>
    </w:tbl>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p>
    <w:p>
      <w:pPr>
        <w:pStyle w:val="10"/>
        <w:autoSpaceDE w:val="0"/>
        <w:spacing w:before="0" w:before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丰都县生态环境局2024年度项目支出绩效自评情况表（见附件）</w:t>
      </w:r>
    </w:p>
    <w:p>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9"/>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我部门未组织开展绩效评价。</w:t>
      </w:r>
    </w:p>
    <w:p>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bidi="ar-SA"/>
        </w:rPr>
        <w:t>县财政局未委托第三方对我部门开展绩效评价。</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jc w:val="both"/>
        <w:textAlignment w:val="auto"/>
        <w:rPr>
          <w:rFonts w:hint="eastAsia" w:ascii="方正仿宋_GBK" w:hAnsi="方正仿宋_GBK" w:eastAsia="方正仿宋_GBK" w:cs="方正仿宋_GBK"/>
          <w:sz w:val="32"/>
          <w:szCs w:val="32"/>
          <w:shd w:val="clear" w:color="auto" w:fill="FFFFFF"/>
          <w:lang w:val="en-US" w:eastAsia="zh-CN"/>
        </w:rPr>
      </w:pPr>
    </w:p>
    <w:p>
      <w:pPr>
        <w:pStyle w:val="5"/>
        <w:shd w:val="clear" w:color="auto" w:fill="FFFFFF"/>
        <w:rPr>
          <w:rStyle w:val="7"/>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 xml:space="preserve"> </w:t>
      </w:r>
      <w:r>
        <w:rPr>
          <w:rStyle w:val="7"/>
          <w:rFonts w:ascii="黑体" w:hAnsi="黑体" w:eastAsia="黑体" w:cs="黑体"/>
          <w:sz w:val="32"/>
          <w:szCs w:val="32"/>
          <w:shd w:val="clear" w:color="auto" w:fill="FFFFFF"/>
        </w:rPr>
        <w:t>六、专业名词解释</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w:t>
      </w:r>
      <w:r>
        <w:rPr>
          <w:rFonts w:hint="eastAsia" w:ascii="方正仿宋_GBK" w:hAnsi="方正仿宋_GBK" w:eastAsia="方正仿宋_GBK" w:cs="方正仿宋_GBK"/>
          <w:sz w:val="32"/>
          <w:szCs w:val="32"/>
          <w:shd w:val="clear" w:color="auto" w:fill="FFFFFF"/>
          <w:lang w:eastAsia="zh-CN"/>
        </w:rPr>
        <w:t>交纳</w:t>
      </w:r>
      <w:r>
        <w:rPr>
          <w:rFonts w:ascii="方正仿宋_GBK" w:hAnsi="方正仿宋_GBK" w:eastAsia="方正仿宋_GBK" w:cs="方正仿宋_GBK"/>
          <w:sz w:val="32"/>
          <w:szCs w:val="32"/>
          <w:shd w:val="clear" w:color="auto" w:fill="FFFFFF"/>
        </w:rPr>
        <w:t>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w:t>
      </w:r>
      <w:r>
        <w:rPr>
          <w:rFonts w:hint="eastAsia" w:ascii="方正仿宋_GBK" w:hAnsi="方正仿宋_GBK" w:eastAsia="方正仿宋_GBK" w:cs="方正仿宋_GBK"/>
          <w:sz w:val="32"/>
          <w:szCs w:val="32"/>
          <w:shd w:val="clear" w:color="auto" w:fill="FFFFFF"/>
          <w:lang w:eastAsia="zh-CN"/>
        </w:rPr>
        <w:t>缴纳</w:t>
      </w:r>
      <w:r>
        <w:rPr>
          <w:rFonts w:ascii="方正仿宋_GBK" w:hAnsi="方正仿宋_GBK" w:eastAsia="方正仿宋_GBK" w:cs="方正仿宋_GBK"/>
          <w:sz w:val="32"/>
          <w:szCs w:val="32"/>
          <w:shd w:val="clear" w:color="auto" w:fill="FFFFFF"/>
        </w:rPr>
        <w:t>的各项社会保险费等。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7"/>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 xml:space="preserve">  </w:t>
      </w:r>
      <w:r>
        <w:rPr>
          <w:rStyle w:val="7"/>
          <w:rFonts w:ascii="黑体" w:hAnsi="黑体" w:eastAsia="黑体" w:cs="黑体"/>
          <w:sz w:val="32"/>
          <w:szCs w:val="32"/>
          <w:shd w:val="clear" w:color="auto" w:fill="FFFFFF"/>
        </w:rPr>
        <w:t>七、决算公开联系方式及信息反馈渠道</w:t>
      </w:r>
    </w:p>
    <w:p>
      <w:pPr>
        <w:pStyle w:val="5"/>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color w:val="auto"/>
          <w:sz w:val="32"/>
          <w:szCs w:val="32"/>
          <w:highlight w:val="none"/>
          <w:shd w:val="clear" w:color="auto" w:fill="FFFFFF"/>
          <w:lang w:val="en-US" w:eastAsia="zh-CN"/>
        </w:rPr>
        <w:t>部门</w:t>
      </w:r>
      <w:r>
        <w:rPr>
          <w:rFonts w:ascii="方正仿宋_GBK" w:hAnsi="方正仿宋_GBK" w:eastAsia="方正仿宋_GBK" w:cs="方正仿宋_GBK"/>
          <w:sz w:val="32"/>
          <w:szCs w:val="32"/>
          <w:shd w:val="clear" w:color="auto" w:fill="FFFFFF"/>
        </w:rPr>
        <w:t>决算公开信息反馈和联系方式：</w:t>
      </w:r>
    </w:p>
    <w:p>
      <w:pPr>
        <w:pStyle w:val="5"/>
        <w:snapToGrid w:val="0"/>
        <w:spacing w:before="0" w:beforeAutospacing="0" w:after="0" w:afterAutospacing="0" w:line="600" w:lineRule="exact"/>
        <w:ind w:firstLine="640" w:firstLineChars="200"/>
        <w:jc w:val="both"/>
        <w:rPr>
          <w:rStyle w:val="7"/>
          <w:rFonts w:hint="default" w:ascii="方正仿宋_GBK" w:hAnsi="方正仿宋_GBK" w:eastAsia="方正仿宋_GBK" w:cs="方正仿宋_GBK"/>
          <w:sz w:val="32"/>
          <w:szCs w:val="32"/>
          <w:shd w:val="clear" w:color="auto" w:fill="FFFF00"/>
          <w:lang w:val="en-US"/>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曾蓬          023-70702509</w:t>
      </w:r>
    </w:p>
    <w:tbl>
      <w:tblPr>
        <w:tblStyle w:val="8"/>
        <w:tblpPr w:leftFromText="180" w:rightFromText="180" w:vertAnchor="text" w:horzAnchor="page" w:tblpX="1058" w:tblpY="22"/>
        <w:tblOverlap w:val="never"/>
        <w:tblW w:w="21496" w:type="dxa"/>
        <w:tblInd w:w="0" w:type="dxa"/>
        <w:tblLayout w:type="fixed"/>
        <w:tblCellMar>
          <w:top w:w="0" w:type="dxa"/>
          <w:left w:w="0" w:type="dxa"/>
          <w:bottom w:w="0" w:type="dxa"/>
          <w:right w:w="0" w:type="dxa"/>
        </w:tblCellMar>
      </w:tblPr>
      <w:tblGrid>
        <w:gridCol w:w="6264"/>
        <w:gridCol w:w="5189"/>
        <w:gridCol w:w="5899"/>
        <w:gridCol w:w="4144"/>
      </w:tblGrid>
      <w:tr>
        <w:tblPrEx>
          <w:tblLayout w:type="fixed"/>
          <w:tblCellMar>
            <w:top w:w="0" w:type="dxa"/>
            <w:left w:w="0" w:type="dxa"/>
            <w:bottom w:w="0" w:type="dxa"/>
            <w:right w:w="0" w:type="dxa"/>
          </w:tblCellMar>
        </w:tblPrEx>
        <w:trPr>
          <w:trHeight w:val="232" w:hRule="atLeast"/>
        </w:trPr>
        <w:tc>
          <w:tcPr>
            <w:tcW w:w="21496"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626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5189"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589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414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11453"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丰都县生态环境局</w:t>
            </w:r>
          </w:p>
        </w:tc>
        <w:tc>
          <w:tcPr>
            <w:tcW w:w="589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414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114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1004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5,190.07</w:t>
            </w: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5189"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87.94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4,744.84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91.53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5,190.07</w:t>
            </w: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5,190.07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407.80</w:t>
            </w: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41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407.80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5,597.88</w:t>
            </w: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5,597.88</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22614" w:type="dxa"/>
        <w:tblInd w:w="0" w:type="dxa"/>
        <w:tblLayout w:type="fixed"/>
        <w:tblCellMar>
          <w:top w:w="0" w:type="dxa"/>
          <w:left w:w="0" w:type="dxa"/>
          <w:bottom w:w="0" w:type="dxa"/>
          <w:right w:w="0" w:type="dxa"/>
        </w:tblCellMar>
      </w:tblPr>
      <w:tblGrid>
        <w:gridCol w:w="1987"/>
        <w:gridCol w:w="4337"/>
        <w:gridCol w:w="2009"/>
        <w:gridCol w:w="2089"/>
        <w:gridCol w:w="2138"/>
        <w:gridCol w:w="1981"/>
        <w:gridCol w:w="2017"/>
        <w:gridCol w:w="1832"/>
        <w:gridCol w:w="1832"/>
        <w:gridCol w:w="2392"/>
      </w:tblGrid>
      <w:tr>
        <w:tblPrEx>
          <w:tblLayout w:type="fixed"/>
          <w:tblCellMar>
            <w:top w:w="0" w:type="dxa"/>
            <w:left w:w="0" w:type="dxa"/>
            <w:bottom w:w="0" w:type="dxa"/>
            <w:right w:w="0" w:type="dxa"/>
          </w:tblCellMar>
        </w:tblPrEx>
        <w:trPr>
          <w:trHeight w:val="641" w:hRule="atLeast"/>
        </w:trPr>
        <w:tc>
          <w:tcPr>
            <w:tcW w:w="22614"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ind w:firstLine="10280" w:firstLineChars="3200"/>
              <w:jc w:val="both"/>
              <w:textAlignment w:val="bottom"/>
              <w:rPr>
                <w:rFonts w:cs="宋体"/>
                <w:b/>
                <w:color w:val="000000"/>
                <w:sz w:val="32"/>
                <w:szCs w:val="32"/>
              </w:rPr>
            </w:pPr>
          </w:p>
          <w:p>
            <w:pPr>
              <w:ind w:firstLine="10280" w:firstLineChars="3200"/>
              <w:jc w:val="both"/>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8333"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丰都县生态环境局</w:t>
            </w:r>
          </w:p>
        </w:tc>
        <w:tc>
          <w:tcPr>
            <w:tcW w:w="208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1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01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3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833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08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1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01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3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632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20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2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3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2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98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337"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0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20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37"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37"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37"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63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5,190.07</w:t>
            </w:r>
            <w:r>
              <w:rPr>
                <w:rFonts w:ascii="Times New Roman" w:hAnsi="Times New Roman"/>
                <w:b/>
                <w:color w:val="000000"/>
                <w:sz w:val="20"/>
                <w:u w:color="auto"/>
              </w:rPr>
              <w:t xml:space="preserve"> </w:t>
            </w:r>
          </w:p>
        </w:tc>
        <w:tc>
          <w:tcPr>
            <w:tcW w:w="2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5,190.07</w:t>
            </w:r>
            <w:r>
              <w:rPr>
                <w:rFonts w:ascii="Times New Roman" w:hAnsi="Times New Roman"/>
                <w:b/>
                <w:color w:val="000000"/>
                <w:sz w:val="20"/>
                <w:u w:color="auto"/>
              </w:rPr>
              <w:t xml:space="preserve"> </w:t>
            </w:r>
          </w:p>
        </w:tc>
        <w:tc>
          <w:tcPr>
            <w:tcW w:w="21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265.76</w:t>
            </w:r>
            <w:r>
              <w:rPr>
                <w:rFonts w:ascii="Times New Roman" w:hAnsi="Times New Roman"/>
                <w:b/>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265.76</w:t>
            </w:r>
            <w:r>
              <w:rPr>
                <w:rFonts w:ascii="Times New Roman" w:hAnsi="Times New Roman"/>
                <w:b/>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265.76</w:t>
            </w:r>
            <w:r>
              <w:rPr>
                <w:rFonts w:ascii="Times New Roman" w:hAnsi="Times New Roman"/>
                <w:b/>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265.76</w:t>
            </w:r>
            <w:r>
              <w:rPr>
                <w:rFonts w:ascii="Times New Roman" w:hAnsi="Times New Roman"/>
                <w:b/>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34.56</w:t>
            </w:r>
            <w:r>
              <w:rPr>
                <w:rFonts w:ascii="Times New Roman" w:hAnsi="Times New Roman"/>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34.56</w:t>
            </w:r>
            <w:r>
              <w:rPr>
                <w:rFonts w:ascii="Times New Roman" w:hAnsi="Times New Roman"/>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18.11</w:t>
            </w:r>
            <w:r>
              <w:rPr>
                <w:rFonts w:ascii="Times New Roman" w:hAnsi="Times New Roman"/>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18.11</w:t>
            </w:r>
            <w:r>
              <w:rPr>
                <w:rFonts w:ascii="Times New Roman" w:hAnsi="Times New Roman"/>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135.08</w:t>
            </w:r>
            <w:r>
              <w:rPr>
                <w:rFonts w:ascii="Times New Roman" w:hAnsi="Times New Roman"/>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135.08</w:t>
            </w:r>
            <w:r>
              <w:rPr>
                <w:rFonts w:ascii="Times New Roman" w:hAnsi="Times New Roman"/>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73.91</w:t>
            </w:r>
            <w:r>
              <w:rPr>
                <w:rFonts w:ascii="Times New Roman" w:hAnsi="Times New Roman"/>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73.91</w:t>
            </w:r>
            <w:r>
              <w:rPr>
                <w:rFonts w:ascii="Times New Roman" w:hAnsi="Times New Roman"/>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w:t>
            </w:r>
            <w:r>
              <w:rPr>
                <w:rFonts w:ascii="Times New Roman" w:hAnsi="Times New Roman"/>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w:t>
            </w:r>
            <w:r>
              <w:rPr>
                <w:rFonts w:ascii="Times New Roman" w:hAnsi="Times New Roman"/>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87.94</w:t>
            </w:r>
            <w:r>
              <w:rPr>
                <w:rFonts w:ascii="Times New Roman" w:hAnsi="Times New Roman"/>
                <w:b/>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87.94</w:t>
            </w:r>
            <w:r>
              <w:rPr>
                <w:rFonts w:ascii="Times New Roman" w:hAnsi="Times New Roman"/>
                <w:b/>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87.94</w:t>
            </w:r>
            <w:r>
              <w:rPr>
                <w:rFonts w:ascii="Times New Roman" w:hAnsi="Times New Roman"/>
                <w:b/>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87.94</w:t>
            </w:r>
            <w:r>
              <w:rPr>
                <w:rFonts w:ascii="Times New Roman" w:hAnsi="Times New Roman"/>
                <w:b/>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34.48</w:t>
            </w:r>
            <w:r>
              <w:rPr>
                <w:rFonts w:ascii="Times New Roman" w:hAnsi="Times New Roman"/>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34.48</w:t>
            </w:r>
            <w:r>
              <w:rPr>
                <w:rFonts w:ascii="Times New Roman" w:hAnsi="Times New Roman"/>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24.79</w:t>
            </w:r>
            <w:r>
              <w:rPr>
                <w:rFonts w:ascii="Times New Roman" w:hAnsi="Times New Roman"/>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24.79</w:t>
            </w:r>
            <w:r>
              <w:rPr>
                <w:rFonts w:ascii="Times New Roman" w:hAnsi="Times New Roman"/>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28.68</w:t>
            </w:r>
            <w:r>
              <w:rPr>
                <w:rFonts w:ascii="Times New Roman" w:hAnsi="Times New Roman"/>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28.68</w:t>
            </w:r>
            <w:r>
              <w:rPr>
                <w:rFonts w:ascii="Times New Roman" w:hAnsi="Times New Roman"/>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4,744.84</w:t>
            </w:r>
            <w:r>
              <w:rPr>
                <w:rFonts w:ascii="Times New Roman" w:hAnsi="Times New Roman"/>
                <w:b/>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4,744.84</w:t>
            </w:r>
            <w:r>
              <w:rPr>
                <w:rFonts w:ascii="Times New Roman" w:hAnsi="Times New Roman"/>
                <w:b/>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702.16</w:t>
            </w:r>
            <w:r>
              <w:rPr>
                <w:rFonts w:ascii="Times New Roman" w:hAnsi="Times New Roman"/>
                <w:b/>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702.16</w:t>
            </w:r>
            <w:r>
              <w:rPr>
                <w:rFonts w:ascii="Times New Roman" w:hAnsi="Times New Roman"/>
                <w:b/>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604.53</w:t>
            </w:r>
            <w:r>
              <w:rPr>
                <w:rFonts w:ascii="Times New Roman" w:hAnsi="Times New Roman"/>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604.53</w:t>
            </w:r>
            <w:r>
              <w:rPr>
                <w:rFonts w:ascii="Times New Roman" w:hAnsi="Times New Roman"/>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97.64</w:t>
            </w:r>
            <w:r>
              <w:rPr>
                <w:rFonts w:ascii="Times New Roman" w:hAnsi="Times New Roman"/>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97.64</w:t>
            </w:r>
            <w:r>
              <w:rPr>
                <w:rFonts w:ascii="Times New Roman" w:hAnsi="Times New Roman"/>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21102</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环境监测与监察</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2110299</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其他环境监测与监察支出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3,314.73</w:t>
            </w:r>
            <w:r>
              <w:rPr>
                <w:rFonts w:ascii="Times New Roman" w:hAnsi="Times New Roman"/>
                <w:b/>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3,314.73</w:t>
            </w:r>
            <w:r>
              <w:rPr>
                <w:rFonts w:ascii="Times New Roman" w:hAnsi="Times New Roman"/>
                <w:b/>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192.53</w:t>
            </w:r>
            <w:r>
              <w:rPr>
                <w:rFonts w:ascii="Times New Roman" w:hAnsi="Times New Roman"/>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192.53</w:t>
            </w:r>
            <w:r>
              <w:rPr>
                <w:rFonts w:ascii="Times New Roman" w:hAnsi="Times New Roman"/>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2,657.86</w:t>
            </w:r>
            <w:r>
              <w:rPr>
                <w:rFonts w:ascii="Times New Roman" w:hAnsi="Times New Roman"/>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2,657.86</w:t>
            </w:r>
            <w:r>
              <w:rPr>
                <w:rFonts w:ascii="Times New Roman" w:hAnsi="Times New Roman"/>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464.34</w:t>
            </w:r>
            <w:r>
              <w:rPr>
                <w:rFonts w:ascii="Times New Roman" w:hAnsi="Times New Roman"/>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464.34</w:t>
            </w:r>
            <w:r>
              <w:rPr>
                <w:rFonts w:ascii="Times New Roman" w:hAnsi="Times New Roman"/>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101.20</w:t>
            </w:r>
            <w:r>
              <w:rPr>
                <w:rFonts w:ascii="Times New Roman" w:hAnsi="Times New Roman"/>
                <w:b/>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101.20</w:t>
            </w:r>
            <w:r>
              <w:rPr>
                <w:rFonts w:ascii="Times New Roman" w:hAnsi="Times New Roman"/>
                <w:b/>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73.87</w:t>
            </w:r>
            <w:r>
              <w:rPr>
                <w:rFonts w:ascii="Times New Roman" w:hAnsi="Times New Roman"/>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73.87</w:t>
            </w:r>
            <w:r>
              <w:rPr>
                <w:rFonts w:ascii="Times New Roman" w:hAnsi="Times New Roman"/>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2110499</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其他自然生态保护支出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15.63</w:t>
            </w:r>
            <w:r>
              <w:rPr>
                <w:rFonts w:ascii="Times New Roman" w:hAnsi="Times New Roman"/>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15.63</w:t>
            </w:r>
            <w:r>
              <w:rPr>
                <w:rFonts w:ascii="Times New Roman" w:hAnsi="Times New Roman"/>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21111</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污染减排</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611.75</w:t>
            </w:r>
            <w:r>
              <w:rPr>
                <w:rFonts w:ascii="Times New Roman" w:hAnsi="Times New Roman"/>
                <w:b/>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611.75</w:t>
            </w:r>
            <w:r>
              <w:rPr>
                <w:rFonts w:ascii="Times New Roman" w:hAnsi="Times New Roman"/>
                <w:b/>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2111101</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生态环境监测与信息</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585.50</w:t>
            </w:r>
            <w:r>
              <w:rPr>
                <w:rFonts w:ascii="Times New Roman" w:hAnsi="Times New Roman"/>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585.50</w:t>
            </w:r>
            <w:r>
              <w:rPr>
                <w:rFonts w:ascii="Times New Roman" w:hAnsi="Times New Roman"/>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2111102</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生态环境执法监察</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26.25</w:t>
            </w:r>
            <w:r>
              <w:rPr>
                <w:rFonts w:ascii="Times New Roman" w:hAnsi="Times New Roman"/>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26.25</w:t>
            </w:r>
            <w:r>
              <w:rPr>
                <w:rFonts w:ascii="Times New Roman" w:hAnsi="Times New Roman"/>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91.53</w:t>
            </w:r>
            <w:r>
              <w:rPr>
                <w:rFonts w:ascii="Times New Roman" w:hAnsi="Times New Roman"/>
                <w:b/>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91.53</w:t>
            </w:r>
            <w:r>
              <w:rPr>
                <w:rFonts w:ascii="Times New Roman" w:hAnsi="Times New Roman"/>
                <w:b/>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91.53</w:t>
            </w:r>
            <w:r>
              <w:rPr>
                <w:rFonts w:ascii="Times New Roman" w:hAnsi="Times New Roman"/>
                <w:b/>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91.53</w:t>
            </w:r>
            <w:r>
              <w:rPr>
                <w:rFonts w:ascii="Times New Roman" w:hAnsi="Times New Roman"/>
                <w:b/>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91.53</w:t>
            </w:r>
            <w:r>
              <w:rPr>
                <w:rFonts w:ascii="Times New Roman" w:hAnsi="Times New Roman"/>
                <w:color w:val="000000"/>
                <w:sz w:val="20"/>
                <w:u w:color="auto"/>
              </w:rPr>
              <w:t xml:space="preserve"> </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91.53</w:t>
            </w:r>
            <w:r>
              <w:rPr>
                <w:rFonts w:ascii="Times New Roman" w:hAnsi="Times New Roman"/>
                <w:color w:val="000000"/>
                <w:sz w:val="20"/>
                <w:u w:color="auto"/>
              </w:rPr>
              <w:t xml:space="preserve"> </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22349" w:type="dxa"/>
        <w:tblInd w:w="0" w:type="dxa"/>
        <w:tblLayout w:type="fixed"/>
        <w:tblCellMar>
          <w:top w:w="0" w:type="dxa"/>
          <w:left w:w="0" w:type="dxa"/>
          <w:bottom w:w="0" w:type="dxa"/>
          <w:right w:w="0" w:type="dxa"/>
        </w:tblCellMar>
      </w:tblPr>
      <w:tblGrid>
        <w:gridCol w:w="1804"/>
        <w:gridCol w:w="5712"/>
        <w:gridCol w:w="2626"/>
        <w:gridCol w:w="2538"/>
        <w:gridCol w:w="2293"/>
        <w:gridCol w:w="2200"/>
        <w:gridCol w:w="2437"/>
        <w:gridCol w:w="2739"/>
      </w:tblGrid>
      <w:tr>
        <w:tblPrEx>
          <w:tblLayout w:type="fixed"/>
          <w:tblCellMar>
            <w:top w:w="0" w:type="dxa"/>
            <w:left w:w="0" w:type="dxa"/>
            <w:bottom w:w="0" w:type="dxa"/>
            <w:right w:w="0" w:type="dxa"/>
          </w:tblCellMar>
        </w:tblPrEx>
        <w:trPr>
          <w:trHeight w:val="654" w:hRule="atLeast"/>
        </w:trPr>
        <w:tc>
          <w:tcPr>
            <w:tcW w:w="22349"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1014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丰都县生态环境局 </w:t>
            </w:r>
          </w:p>
        </w:tc>
        <w:tc>
          <w:tcPr>
            <w:tcW w:w="25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29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2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3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7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1014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5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29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2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3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7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7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26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2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2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27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571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6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1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1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1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7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5,190.07</w:t>
            </w:r>
            <w:r>
              <w:rPr>
                <w:rFonts w:ascii="Times New Roman" w:hAnsi="Times New Roman"/>
                <w:b/>
                <w:color w:val="000000"/>
                <w:sz w:val="20"/>
                <w:u w:color="auto"/>
              </w:rPr>
              <w:t xml:space="preserve"> </w:t>
            </w:r>
          </w:p>
        </w:tc>
        <w:tc>
          <w:tcPr>
            <w:tcW w:w="25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1,710.82</w:t>
            </w:r>
            <w:r>
              <w:rPr>
                <w:rFonts w:ascii="Times New Roman" w:hAnsi="Times New Roman"/>
                <w:b/>
                <w:color w:val="000000"/>
                <w:sz w:val="20"/>
                <w:u w:color="auto"/>
              </w:rPr>
              <w:t xml:space="preserve"> </w:t>
            </w:r>
          </w:p>
        </w:tc>
        <w:tc>
          <w:tcPr>
            <w:tcW w:w="2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3,479.25</w:t>
            </w:r>
            <w:r>
              <w:rPr>
                <w:rFonts w:ascii="Times New Roman" w:hAnsi="Times New Roman"/>
                <w:b/>
                <w:color w:val="000000"/>
                <w:sz w:val="20"/>
                <w:u w:color="auto"/>
              </w:rPr>
              <w:t xml:space="preserve"> </w:t>
            </w:r>
          </w:p>
        </w:tc>
        <w:tc>
          <w:tcPr>
            <w:tcW w:w="2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4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265.76</w:t>
            </w:r>
            <w:r>
              <w:rPr>
                <w:rFonts w:ascii="Times New Roman" w:hAnsi="Times New Roman"/>
                <w:b/>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265.76</w:t>
            </w:r>
            <w:r>
              <w:rPr>
                <w:rFonts w:ascii="Times New Roman" w:hAnsi="Times New Roman"/>
                <w:b/>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265.76</w:t>
            </w:r>
            <w:r>
              <w:rPr>
                <w:rFonts w:ascii="Times New Roman" w:hAnsi="Times New Roman"/>
                <w:b/>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265.76</w:t>
            </w:r>
            <w:r>
              <w:rPr>
                <w:rFonts w:ascii="Times New Roman" w:hAnsi="Times New Roman"/>
                <w:b/>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34.56</w:t>
            </w:r>
            <w:r>
              <w:rPr>
                <w:rFonts w:ascii="Times New Roman" w:hAnsi="Times New Roman"/>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34.56</w:t>
            </w:r>
            <w:r>
              <w:rPr>
                <w:rFonts w:ascii="Times New Roman" w:hAnsi="Times New Roman"/>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18.11</w:t>
            </w:r>
            <w:r>
              <w:rPr>
                <w:rFonts w:ascii="Times New Roman" w:hAnsi="Times New Roman"/>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18.11</w:t>
            </w:r>
            <w:r>
              <w:rPr>
                <w:rFonts w:ascii="Times New Roman" w:hAnsi="Times New Roman"/>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135.08</w:t>
            </w:r>
            <w:r>
              <w:rPr>
                <w:rFonts w:ascii="Times New Roman" w:hAnsi="Times New Roman"/>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135.08</w:t>
            </w:r>
            <w:r>
              <w:rPr>
                <w:rFonts w:ascii="Times New Roman" w:hAnsi="Times New Roman"/>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73.91</w:t>
            </w:r>
            <w:r>
              <w:rPr>
                <w:rFonts w:ascii="Times New Roman" w:hAnsi="Times New Roman"/>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73.91</w:t>
            </w:r>
            <w:r>
              <w:rPr>
                <w:rFonts w:ascii="Times New Roman" w:hAnsi="Times New Roman"/>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w:t>
            </w:r>
            <w:r>
              <w:rPr>
                <w:rFonts w:ascii="Times New Roman" w:hAnsi="Times New Roman"/>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w:t>
            </w:r>
            <w:r>
              <w:rPr>
                <w:rFonts w:ascii="Times New Roman" w:hAnsi="Times New Roman"/>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87.94</w:t>
            </w:r>
            <w:r>
              <w:rPr>
                <w:rFonts w:ascii="Times New Roman" w:hAnsi="Times New Roman"/>
                <w:b/>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87.94</w:t>
            </w:r>
            <w:r>
              <w:rPr>
                <w:rFonts w:ascii="Times New Roman" w:hAnsi="Times New Roman"/>
                <w:b/>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87.94</w:t>
            </w:r>
            <w:r>
              <w:rPr>
                <w:rFonts w:ascii="Times New Roman" w:hAnsi="Times New Roman"/>
                <w:b/>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87.94</w:t>
            </w:r>
            <w:r>
              <w:rPr>
                <w:rFonts w:ascii="Times New Roman" w:hAnsi="Times New Roman"/>
                <w:b/>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34.48</w:t>
            </w:r>
            <w:r>
              <w:rPr>
                <w:rFonts w:ascii="Times New Roman" w:hAnsi="Times New Roman"/>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34.48</w:t>
            </w:r>
            <w:r>
              <w:rPr>
                <w:rFonts w:ascii="Times New Roman" w:hAnsi="Times New Roman"/>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24.79</w:t>
            </w:r>
            <w:r>
              <w:rPr>
                <w:rFonts w:ascii="Times New Roman" w:hAnsi="Times New Roman"/>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24.79</w:t>
            </w:r>
            <w:r>
              <w:rPr>
                <w:rFonts w:ascii="Times New Roman" w:hAnsi="Times New Roman"/>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28.68</w:t>
            </w:r>
            <w:r>
              <w:rPr>
                <w:rFonts w:ascii="Times New Roman" w:hAnsi="Times New Roman"/>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28.68</w:t>
            </w:r>
            <w:r>
              <w:rPr>
                <w:rFonts w:ascii="Times New Roman" w:hAnsi="Times New Roman"/>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4,744.84</w:t>
            </w:r>
            <w:r>
              <w:rPr>
                <w:rFonts w:ascii="Times New Roman" w:hAnsi="Times New Roman"/>
                <w:b/>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1,265.59</w:t>
            </w:r>
            <w:r>
              <w:rPr>
                <w:rFonts w:ascii="Times New Roman" w:hAnsi="Times New Roman"/>
                <w:b/>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3,479.25</w:t>
            </w:r>
            <w:r>
              <w:rPr>
                <w:rFonts w:ascii="Times New Roman" w:hAnsi="Times New Roman"/>
                <w:b/>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702.16</w:t>
            </w:r>
            <w:r>
              <w:rPr>
                <w:rFonts w:ascii="Times New Roman" w:hAnsi="Times New Roman"/>
                <w:b/>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685.18</w:t>
            </w:r>
            <w:r>
              <w:rPr>
                <w:rFonts w:ascii="Times New Roman" w:hAnsi="Times New Roman"/>
                <w:b/>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16.99</w:t>
            </w:r>
            <w:r>
              <w:rPr>
                <w:rFonts w:ascii="Times New Roman" w:hAnsi="Times New Roman"/>
                <w:b/>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604.53</w:t>
            </w:r>
            <w:r>
              <w:rPr>
                <w:rFonts w:ascii="Times New Roman" w:hAnsi="Times New Roman"/>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604.53</w:t>
            </w:r>
            <w:r>
              <w:rPr>
                <w:rFonts w:ascii="Times New Roman" w:hAnsi="Times New Roman"/>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97.64</w:t>
            </w:r>
            <w:r>
              <w:rPr>
                <w:rFonts w:ascii="Times New Roman" w:hAnsi="Times New Roman"/>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80.65</w:t>
            </w:r>
            <w:r>
              <w:rPr>
                <w:rFonts w:ascii="Times New Roman" w:hAnsi="Times New Roman"/>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16.99</w:t>
            </w:r>
            <w:r>
              <w:rPr>
                <w:rFonts w:ascii="Times New Roman" w:hAnsi="Times New Roman"/>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21102</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环境监测与监察</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2110299</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其他环境监测与监察支出</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3,314.73</w:t>
            </w:r>
            <w:r>
              <w:rPr>
                <w:rFonts w:ascii="Times New Roman" w:hAnsi="Times New Roman"/>
                <w:b/>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3,304.83</w:t>
            </w:r>
            <w:r>
              <w:rPr>
                <w:rFonts w:ascii="Times New Roman" w:hAnsi="Times New Roman"/>
                <w:b/>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192.53</w:t>
            </w:r>
            <w:r>
              <w:rPr>
                <w:rFonts w:ascii="Times New Roman" w:hAnsi="Times New Roman"/>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192.53</w:t>
            </w:r>
            <w:r>
              <w:rPr>
                <w:rFonts w:ascii="Times New Roman" w:hAnsi="Times New Roman"/>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2,657.86</w:t>
            </w:r>
            <w:r>
              <w:rPr>
                <w:rFonts w:ascii="Times New Roman" w:hAnsi="Times New Roman"/>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2,657.86</w:t>
            </w:r>
            <w:r>
              <w:rPr>
                <w:rFonts w:ascii="Times New Roman" w:hAnsi="Times New Roman"/>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464.34</w:t>
            </w:r>
            <w:r>
              <w:rPr>
                <w:rFonts w:ascii="Times New Roman" w:hAnsi="Times New Roman"/>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454.44</w:t>
            </w:r>
            <w:r>
              <w:rPr>
                <w:rFonts w:ascii="Times New Roman" w:hAnsi="Times New Roman"/>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101.20</w:t>
            </w:r>
            <w:r>
              <w:rPr>
                <w:rFonts w:ascii="Times New Roman" w:hAnsi="Times New Roman"/>
                <w:b/>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101.20</w:t>
            </w:r>
            <w:r>
              <w:rPr>
                <w:rFonts w:ascii="Times New Roman" w:hAnsi="Times New Roman"/>
                <w:b/>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73.87</w:t>
            </w:r>
            <w:r>
              <w:rPr>
                <w:rFonts w:ascii="Times New Roman" w:hAnsi="Times New Roman"/>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73.87</w:t>
            </w:r>
            <w:r>
              <w:rPr>
                <w:rFonts w:ascii="Times New Roman" w:hAnsi="Times New Roman"/>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2110499</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其他自然生态保护支出</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15.63</w:t>
            </w:r>
            <w:r>
              <w:rPr>
                <w:rFonts w:ascii="Times New Roman" w:hAnsi="Times New Roman"/>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15.63</w:t>
            </w:r>
            <w:r>
              <w:rPr>
                <w:rFonts w:ascii="Times New Roman" w:hAnsi="Times New Roman"/>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21111</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污染减排</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611.75</w:t>
            </w:r>
            <w:r>
              <w:rPr>
                <w:rFonts w:ascii="Times New Roman" w:hAnsi="Times New Roman"/>
                <w:b/>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570.51</w:t>
            </w:r>
            <w:r>
              <w:rPr>
                <w:rFonts w:ascii="Times New Roman" w:hAnsi="Times New Roman"/>
                <w:b/>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41.24</w:t>
            </w:r>
            <w:r>
              <w:rPr>
                <w:rFonts w:ascii="Times New Roman" w:hAnsi="Times New Roman"/>
                <w:b/>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2111101</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生态环境监测与信息</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585.50</w:t>
            </w:r>
            <w:r>
              <w:rPr>
                <w:rFonts w:ascii="Times New Roman" w:hAnsi="Times New Roman"/>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570.51</w:t>
            </w:r>
            <w:r>
              <w:rPr>
                <w:rFonts w:ascii="Times New Roman" w:hAnsi="Times New Roman"/>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14.99</w:t>
            </w:r>
            <w:r>
              <w:rPr>
                <w:rFonts w:ascii="Times New Roman" w:hAnsi="Times New Roman"/>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2111102</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生态环境执法监察</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26.25</w:t>
            </w:r>
            <w:r>
              <w:rPr>
                <w:rFonts w:ascii="Times New Roman" w:hAnsi="Times New Roman"/>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26.25</w:t>
            </w:r>
            <w:r>
              <w:rPr>
                <w:rFonts w:ascii="Times New Roman" w:hAnsi="Times New Roman"/>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91.53</w:t>
            </w:r>
            <w:r>
              <w:rPr>
                <w:rFonts w:ascii="Times New Roman" w:hAnsi="Times New Roman"/>
                <w:b/>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91.53</w:t>
            </w:r>
            <w:r>
              <w:rPr>
                <w:rFonts w:ascii="Times New Roman" w:hAnsi="Times New Roman"/>
                <w:b/>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91.53</w:t>
            </w:r>
            <w:r>
              <w:rPr>
                <w:rFonts w:ascii="Times New Roman" w:hAnsi="Times New Roman"/>
                <w:b/>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91.53</w:t>
            </w:r>
            <w:r>
              <w:rPr>
                <w:rFonts w:ascii="Times New Roman" w:hAnsi="Times New Roman"/>
                <w:b/>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5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91.53</w:t>
            </w:r>
            <w:r>
              <w:rPr>
                <w:rFonts w:ascii="Times New Roman" w:hAnsi="Times New Roman"/>
                <w:color w:val="000000"/>
                <w:sz w:val="20"/>
                <w:u w:color="auto"/>
              </w:rPr>
              <w:t xml:space="preserve"> </w:t>
            </w:r>
          </w:p>
        </w:tc>
        <w:tc>
          <w:tcPr>
            <w:tcW w:w="2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91.53</w:t>
            </w:r>
            <w:r>
              <w:rPr>
                <w:rFonts w:ascii="Times New Roman" w:hAnsi="Times New Roman"/>
                <w:color w:val="000000"/>
                <w:sz w:val="20"/>
                <w:u w:color="auto"/>
              </w:rPr>
              <w:t xml:space="preserve"> </w:t>
            </w:r>
          </w:p>
        </w:tc>
        <w:tc>
          <w:tcPr>
            <w:tcW w:w="2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21411" w:type="dxa"/>
        <w:tblInd w:w="0" w:type="dxa"/>
        <w:tblLayout w:type="fixed"/>
        <w:tblCellMar>
          <w:top w:w="0" w:type="dxa"/>
          <w:left w:w="0" w:type="dxa"/>
          <w:bottom w:w="0" w:type="dxa"/>
          <w:right w:w="0" w:type="dxa"/>
        </w:tblCellMar>
      </w:tblPr>
      <w:tblGrid>
        <w:gridCol w:w="4329"/>
        <w:gridCol w:w="2218"/>
        <w:gridCol w:w="4638"/>
        <w:gridCol w:w="2471"/>
        <w:gridCol w:w="2471"/>
        <w:gridCol w:w="2471"/>
        <w:gridCol w:w="2813"/>
      </w:tblGrid>
      <w:tr>
        <w:tblPrEx>
          <w:tblLayout w:type="fixed"/>
          <w:tblCellMar>
            <w:top w:w="0" w:type="dxa"/>
            <w:left w:w="0" w:type="dxa"/>
            <w:bottom w:w="0" w:type="dxa"/>
            <w:right w:w="0" w:type="dxa"/>
          </w:tblCellMar>
        </w:tblPrEx>
        <w:trPr>
          <w:trHeight w:val="90" w:hRule="atLeast"/>
        </w:trPr>
        <w:tc>
          <w:tcPr>
            <w:tcW w:w="21411"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1118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丰都县生态环境局</w:t>
            </w: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81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11185"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81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6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48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4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22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463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1022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4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63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5,190.07</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265.76</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265.76</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87.94</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87.94</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4,744.84</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4,744.84</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91.53</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91.53</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5,190.07</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5,190.07</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5,190.07</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407.80</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407.80</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407.80</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407.80</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5,597.88</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5,597.88</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5,597.88</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22350" w:type="dxa"/>
        <w:tblInd w:w="0" w:type="dxa"/>
        <w:tblLayout w:type="fixed"/>
        <w:tblCellMar>
          <w:top w:w="0" w:type="dxa"/>
          <w:left w:w="0" w:type="dxa"/>
          <w:bottom w:w="0" w:type="dxa"/>
          <w:right w:w="0" w:type="dxa"/>
        </w:tblCellMar>
      </w:tblPr>
      <w:tblGrid>
        <w:gridCol w:w="1904"/>
        <w:gridCol w:w="5941"/>
        <w:gridCol w:w="4823"/>
        <w:gridCol w:w="4810"/>
        <w:gridCol w:w="4872"/>
      </w:tblGrid>
      <w:tr>
        <w:tblPrEx>
          <w:tblLayout w:type="fixed"/>
          <w:tblCellMar>
            <w:top w:w="0" w:type="dxa"/>
            <w:left w:w="0" w:type="dxa"/>
            <w:bottom w:w="0" w:type="dxa"/>
            <w:right w:w="0" w:type="dxa"/>
          </w:tblCellMar>
        </w:tblPrEx>
        <w:trPr>
          <w:trHeight w:val="510" w:hRule="atLeast"/>
        </w:trPr>
        <w:tc>
          <w:tcPr>
            <w:tcW w:w="2235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12668"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丰都县生态环境局</w:t>
            </w:r>
          </w:p>
        </w:tc>
        <w:tc>
          <w:tcPr>
            <w:tcW w:w="481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8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1266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81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8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450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9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59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8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48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9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9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5,190.07</w:t>
            </w:r>
            <w:r>
              <w:rPr>
                <w:rFonts w:ascii="Times New Roman" w:hAnsi="Times New Roman"/>
                <w:b/>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1,710.82</w:t>
            </w:r>
            <w:r>
              <w:rPr>
                <w:rFonts w:ascii="Times New Roman" w:hAnsi="Times New Roman"/>
                <w:b/>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3,479.25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265.76</w:t>
            </w:r>
            <w:r>
              <w:rPr>
                <w:rFonts w:ascii="Times New Roman" w:hAnsi="Times New Roman"/>
                <w:b/>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265.76</w:t>
            </w:r>
            <w:r>
              <w:rPr>
                <w:rFonts w:ascii="Times New Roman" w:hAnsi="Times New Roman"/>
                <w:b/>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265.76</w:t>
            </w:r>
            <w:r>
              <w:rPr>
                <w:rFonts w:ascii="Times New Roman" w:hAnsi="Times New Roman"/>
                <w:b/>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265.76</w:t>
            </w:r>
            <w:r>
              <w:rPr>
                <w:rFonts w:ascii="Times New Roman" w:hAnsi="Times New Roman"/>
                <w:b/>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34.56</w:t>
            </w:r>
            <w:r>
              <w:rPr>
                <w:rFonts w:ascii="Times New Roman" w:hAnsi="Times New Roman"/>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34.56</w:t>
            </w:r>
            <w:r>
              <w:rPr>
                <w:rFonts w:ascii="Times New Roman" w:hAnsi="Times New Roman"/>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18.11</w:t>
            </w:r>
            <w:r>
              <w:rPr>
                <w:rFonts w:ascii="Times New Roman" w:hAnsi="Times New Roman"/>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18.11</w:t>
            </w:r>
            <w:r>
              <w:rPr>
                <w:rFonts w:ascii="Times New Roman" w:hAnsi="Times New Roman"/>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135.08</w:t>
            </w:r>
            <w:r>
              <w:rPr>
                <w:rFonts w:ascii="Times New Roman" w:hAnsi="Times New Roman"/>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135.08</w:t>
            </w:r>
            <w:r>
              <w:rPr>
                <w:rFonts w:ascii="Times New Roman" w:hAnsi="Times New Roman"/>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73.91</w:t>
            </w:r>
            <w:r>
              <w:rPr>
                <w:rFonts w:ascii="Times New Roman" w:hAnsi="Times New Roman"/>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73.91</w:t>
            </w:r>
            <w:r>
              <w:rPr>
                <w:rFonts w:ascii="Times New Roman" w:hAnsi="Times New Roman"/>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4.10</w:t>
            </w:r>
            <w:r>
              <w:rPr>
                <w:rFonts w:ascii="Times New Roman" w:hAnsi="Times New Roman"/>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4.10</w:t>
            </w:r>
            <w:r>
              <w:rPr>
                <w:rFonts w:ascii="Times New Roman" w:hAnsi="Times New Roman"/>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87.94</w:t>
            </w:r>
            <w:r>
              <w:rPr>
                <w:rFonts w:ascii="Times New Roman" w:hAnsi="Times New Roman"/>
                <w:b/>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87.94</w:t>
            </w:r>
            <w:r>
              <w:rPr>
                <w:rFonts w:ascii="Times New Roman" w:hAnsi="Times New Roman"/>
                <w:b/>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87.94</w:t>
            </w:r>
            <w:r>
              <w:rPr>
                <w:rFonts w:ascii="Times New Roman" w:hAnsi="Times New Roman"/>
                <w:b/>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87.94</w:t>
            </w:r>
            <w:r>
              <w:rPr>
                <w:rFonts w:ascii="Times New Roman" w:hAnsi="Times New Roman"/>
                <w:b/>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34.48</w:t>
            </w:r>
            <w:r>
              <w:rPr>
                <w:rFonts w:ascii="Times New Roman" w:hAnsi="Times New Roman"/>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34.48</w:t>
            </w:r>
            <w:r>
              <w:rPr>
                <w:rFonts w:ascii="Times New Roman" w:hAnsi="Times New Roman"/>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24.79</w:t>
            </w:r>
            <w:r>
              <w:rPr>
                <w:rFonts w:ascii="Times New Roman" w:hAnsi="Times New Roman"/>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24.79</w:t>
            </w:r>
            <w:r>
              <w:rPr>
                <w:rFonts w:ascii="Times New Roman" w:hAnsi="Times New Roman"/>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28.68</w:t>
            </w:r>
            <w:r>
              <w:rPr>
                <w:rFonts w:ascii="Times New Roman" w:hAnsi="Times New Roman"/>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28.68</w:t>
            </w:r>
            <w:r>
              <w:rPr>
                <w:rFonts w:ascii="Times New Roman" w:hAnsi="Times New Roman"/>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4,744.84</w:t>
            </w:r>
            <w:r>
              <w:rPr>
                <w:rFonts w:ascii="Times New Roman" w:hAnsi="Times New Roman"/>
                <w:b/>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1,265.59</w:t>
            </w:r>
            <w:r>
              <w:rPr>
                <w:rFonts w:ascii="Times New Roman" w:hAnsi="Times New Roman"/>
                <w:b/>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3,479.25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702.16</w:t>
            </w:r>
            <w:r>
              <w:rPr>
                <w:rFonts w:ascii="Times New Roman" w:hAnsi="Times New Roman"/>
                <w:b/>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685.18</w:t>
            </w:r>
            <w:r>
              <w:rPr>
                <w:rFonts w:ascii="Times New Roman" w:hAnsi="Times New Roman"/>
                <w:b/>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16.99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604.53</w:t>
            </w:r>
            <w:r>
              <w:rPr>
                <w:rFonts w:ascii="Times New Roman" w:hAnsi="Times New Roman"/>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604.53</w:t>
            </w:r>
            <w:r>
              <w:rPr>
                <w:rFonts w:ascii="Times New Roman" w:hAnsi="Times New Roman"/>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97.64</w:t>
            </w:r>
            <w:r>
              <w:rPr>
                <w:rFonts w:ascii="Times New Roman" w:hAnsi="Times New Roman"/>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80.65</w:t>
            </w:r>
            <w:r>
              <w:rPr>
                <w:rFonts w:ascii="Times New Roman" w:hAnsi="Times New Roman"/>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21102</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环境监测与监察</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2110299</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其他环境监测与监察支出</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3,314.73</w:t>
            </w:r>
            <w:r>
              <w:rPr>
                <w:rFonts w:ascii="Times New Roman" w:hAnsi="Times New Roman"/>
                <w:b/>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3,304.83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192.53</w:t>
            </w:r>
            <w:r>
              <w:rPr>
                <w:rFonts w:ascii="Times New Roman" w:hAnsi="Times New Roman"/>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192.53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2,657.86</w:t>
            </w:r>
            <w:r>
              <w:rPr>
                <w:rFonts w:ascii="Times New Roman" w:hAnsi="Times New Roman"/>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2,657.86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464.34</w:t>
            </w:r>
            <w:r>
              <w:rPr>
                <w:rFonts w:ascii="Times New Roman" w:hAnsi="Times New Roman"/>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454.44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101.20</w:t>
            </w:r>
            <w:r>
              <w:rPr>
                <w:rFonts w:ascii="Times New Roman" w:hAnsi="Times New Roman"/>
                <w:b/>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101.20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73.87</w:t>
            </w:r>
            <w:r>
              <w:rPr>
                <w:rFonts w:ascii="Times New Roman" w:hAnsi="Times New Roman"/>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73.87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2110499</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其他自然生态保护支出</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15.63</w:t>
            </w:r>
            <w:r>
              <w:rPr>
                <w:rFonts w:ascii="Times New Roman" w:hAnsi="Times New Roman"/>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污染减排</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611.75</w:t>
            </w:r>
            <w:r>
              <w:rPr>
                <w:rFonts w:ascii="Times New Roman" w:hAnsi="Times New Roman"/>
                <w:b/>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570.51</w:t>
            </w:r>
            <w:r>
              <w:rPr>
                <w:rFonts w:ascii="Times New Roman" w:hAnsi="Times New Roman"/>
                <w:b/>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2111101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生态环境监测与信息</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585.50</w:t>
            </w:r>
            <w:r>
              <w:rPr>
                <w:rFonts w:ascii="Times New Roman" w:hAnsi="Times New Roman"/>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570.51</w:t>
            </w:r>
            <w:r>
              <w:rPr>
                <w:rFonts w:ascii="Times New Roman" w:hAnsi="Times New Roman"/>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2111102</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生态环境执法监察</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26.25</w:t>
            </w:r>
            <w:r>
              <w:rPr>
                <w:rFonts w:ascii="Times New Roman" w:hAnsi="Times New Roman"/>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91.53</w:t>
            </w:r>
            <w:r>
              <w:rPr>
                <w:rFonts w:ascii="Times New Roman" w:hAnsi="Times New Roman"/>
                <w:b/>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91.53</w:t>
            </w:r>
            <w:r>
              <w:rPr>
                <w:rFonts w:ascii="Times New Roman" w:hAnsi="Times New Roman"/>
                <w:b/>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91.53</w:t>
            </w:r>
            <w:r>
              <w:rPr>
                <w:rFonts w:ascii="Times New Roman" w:hAnsi="Times New Roman"/>
                <w:b/>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91.53</w:t>
            </w:r>
            <w:r>
              <w:rPr>
                <w:rFonts w:ascii="Times New Roman" w:hAnsi="Times New Roman"/>
                <w:b/>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91.53</w:t>
            </w:r>
            <w:r>
              <w:rPr>
                <w:rFonts w:ascii="Times New Roman" w:hAnsi="Times New Roman"/>
                <w:color w:val="000000"/>
                <w:sz w:val="20"/>
                <w:u w:color="auto"/>
              </w:rPr>
              <w:t xml:space="preserve"> </w:t>
            </w:r>
          </w:p>
        </w:tc>
        <w:tc>
          <w:tcPr>
            <w:tcW w:w="4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91.53</w:t>
            </w:r>
            <w:r>
              <w:rPr>
                <w:rFonts w:ascii="Times New Roman" w:hAnsi="Times New Roman"/>
                <w:color w:val="000000"/>
                <w:sz w:val="20"/>
                <w:u w:color="auto"/>
              </w:rPr>
              <w:t xml:space="preserve"> </w:t>
            </w:r>
          </w:p>
        </w:tc>
        <w:tc>
          <w:tcPr>
            <w:tcW w:w="4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22323" w:type="dxa"/>
        <w:tblInd w:w="0" w:type="dxa"/>
        <w:tblLayout w:type="fixed"/>
        <w:tblCellMar>
          <w:top w:w="0" w:type="dxa"/>
          <w:left w:w="0" w:type="dxa"/>
          <w:bottom w:w="0" w:type="dxa"/>
          <w:right w:w="0" w:type="dxa"/>
        </w:tblCellMar>
      </w:tblPr>
      <w:tblGrid>
        <w:gridCol w:w="1170"/>
        <w:gridCol w:w="4099"/>
        <w:gridCol w:w="2246"/>
        <w:gridCol w:w="1272"/>
        <w:gridCol w:w="2964"/>
        <w:gridCol w:w="2067"/>
        <w:gridCol w:w="1272"/>
        <w:gridCol w:w="5049"/>
        <w:gridCol w:w="2184"/>
      </w:tblGrid>
      <w:tr>
        <w:tblPrEx>
          <w:tblLayout w:type="fixed"/>
          <w:tblCellMar>
            <w:top w:w="0" w:type="dxa"/>
            <w:left w:w="0" w:type="dxa"/>
            <w:bottom w:w="0" w:type="dxa"/>
            <w:right w:w="0" w:type="dxa"/>
          </w:tblCellMar>
        </w:tblPrEx>
        <w:trPr>
          <w:trHeight w:val="90" w:hRule="atLeast"/>
        </w:trPr>
        <w:tc>
          <w:tcPr>
            <w:tcW w:w="22323"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11751"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丰都县生态环境局</w:t>
            </w:r>
          </w:p>
        </w:tc>
        <w:tc>
          <w:tcPr>
            <w:tcW w:w="206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2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50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18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11751"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06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2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50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18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75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4808"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117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40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22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12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9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20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12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50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218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117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0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2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2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9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2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18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1,403.92</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221.40</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344.39</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14.41</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121.33</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195.00</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349.40</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135.33</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13.52</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74.03</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23.87</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59.52</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12.13</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32.18</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91.53</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21.26</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85.50</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80.50</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12.16</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30.98</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11.72</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26.09</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37.36</w:t>
            </w: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52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22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1,489.42</w:t>
            </w:r>
            <w:r>
              <w:rPr>
                <w:rFonts w:ascii="Times New Roman" w:hAnsi="Times New Roman"/>
                <w:color w:val="000000"/>
                <w:sz w:val="18"/>
                <w:u w:color="auto"/>
              </w:rPr>
              <w:t xml:space="preserve"> </w:t>
            </w:r>
          </w:p>
        </w:tc>
        <w:tc>
          <w:tcPr>
            <w:tcW w:w="12624"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21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221.40</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22350" w:type="dxa"/>
        <w:tblInd w:w="0" w:type="dxa"/>
        <w:tblLayout w:type="fixed"/>
        <w:tblCellMar>
          <w:top w:w="0" w:type="dxa"/>
          <w:left w:w="0" w:type="dxa"/>
          <w:bottom w:w="0" w:type="dxa"/>
          <w:right w:w="0" w:type="dxa"/>
        </w:tblCellMar>
      </w:tblPr>
      <w:tblGrid>
        <w:gridCol w:w="2024"/>
        <w:gridCol w:w="5145"/>
        <w:gridCol w:w="2481"/>
        <w:gridCol w:w="2481"/>
        <w:gridCol w:w="2481"/>
        <w:gridCol w:w="2481"/>
        <w:gridCol w:w="2575"/>
        <w:gridCol w:w="2682"/>
      </w:tblGrid>
      <w:tr>
        <w:tblPrEx>
          <w:tblLayout w:type="fixed"/>
          <w:tblCellMar>
            <w:top w:w="0" w:type="dxa"/>
            <w:left w:w="0" w:type="dxa"/>
            <w:bottom w:w="0" w:type="dxa"/>
            <w:right w:w="0" w:type="dxa"/>
          </w:tblCellMar>
        </w:tblPrEx>
        <w:trPr>
          <w:trHeight w:val="644" w:hRule="atLeast"/>
        </w:trPr>
        <w:tc>
          <w:tcPr>
            <w:tcW w:w="2235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9650"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丰都县生态环境局</w:t>
            </w: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5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8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965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5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8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7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248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753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2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2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5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5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2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71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5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20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5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5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22349" w:type="dxa"/>
        <w:tblInd w:w="0" w:type="dxa"/>
        <w:tblLayout w:type="fixed"/>
        <w:tblCellMar>
          <w:top w:w="0" w:type="dxa"/>
          <w:left w:w="0" w:type="dxa"/>
          <w:bottom w:w="0" w:type="dxa"/>
          <w:right w:w="0" w:type="dxa"/>
        </w:tblCellMar>
      </w:tblPr>
      <w:tblGrid>
        <w:gridCol w:w="1904"/>
        <w:gridCol w:w="5257"/>
        <w:gridCol w:w="4774"/>
        <w:gridCol w:w="277"/>
        <w:gridCol w:w="5051"/>
        <w:gridCol w:w="125"/>
        <w:gridCol w:w="4961"/>
      </w:tblGrid>
      <w:tr>
        <w:tblPrEx>
          <w:tblLayout w:type="fixed"/>
          <w:tblCellMar>
            <w:top w:w="0" w:type="dxa"/>
            <w:left w:w="0" w:type="dxa"/>
            <w:bottom w:w="0" w:type="dxa"/>
            <w:right w:w="0" w:type="dxa"/>
          </w:tblCellMar>
        </w:tblPrEx>
        <w:trPr>
          <w:trHeight w:val="650" w:hRule="atLeast"/>
        </w:trPr>
        <w:tc>
          <w:tcPr>
            <w:tcW w:w="22349"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1193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丰都县生态环境局</w:t>
            </w:r>
          </w:p>
        </w:tc>
        <w:tc>
          <w:tcPr>
            <w:tcW w:w="5453"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9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119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5453"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9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7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1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9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52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5051"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0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086"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9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9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9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7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05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50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5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505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5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50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20611" w:type="dxa"/>
        <w:tblInd w:w="0" w:type="dxa"/>
        <w:tblLayout w:type="fixed"/>
        <w:tblCellMar>
          <w:top w:w="0" w:type="dxa"/>
          <w:left w:w="170" w:type="dxa"/>
          <w:bottom w:w="0" w:type="dxa"/>
          <w:right w:w="170" w:type="dxa"/>
        </w:tblCellMar>
      </w:tblPr>
      <w:tblGrid>
        <w:gridCol w:w="4633"/>
        <w:gridCol w:w="3524"/>
        <w:gridCol w:w="3463"/>
        <w:gridCol w:w="5355"/>
        <w:gridCol w:w="3636"/>
      </w:tblGrid>
      <w:tr>
        <w:tblPrEx>
          <w:tblLayout w:type="fixed"/>
          <w:tblCellMar>
            <w:top w:w="0" w:type="dxa"/>
            <w:left w:w="170" w:type="dxa"/>
            <w:bottom w:w="0" w:type="dxa"/>
            <w:right w:w="170" w:type="dxa"/>
          </w:tblCellMar>
        </w:tblPrEx>
        <w:trPr>
          <w:trHeight w:val="343" w:hRule="atLeast"/>
        </w:trPr>
        <w:tc>
          <w:tcPr>
            <w:tcW w:w="2061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633"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524"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3463"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5355"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636"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815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丰都县生态环境局</w:t>
            </w:r>
          </w:p>
        </w:tc>
        <w:tc>
          <w:tcPr>
            <w:tcW w:w="346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535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6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132.24</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16.11</w:t>
            </w:r>
            <w:r>
              <w:rPr>
                <w:rFonts w:ascii="Times New Roman" w:hAnsi="Times New Roman"/>
                <w:color w:val="000000"/>
                <w:sz w:val="18"/>
                <w:u w:color="auto"/>
              </w:rPr>
              <w:t xml:space="preserve"> </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16.11</w:t>
            </w:r>
            <w:r>
              <w:rPr>
                <w:rFonts w:ascii="Times New Roman" w:hAnsi="Times New Roman"/>
                <w:color w:val="000000"/>
                <w:sz w:val="18"/>
                <w:u w:color="auto"/>
              </w:rPr>
              <w:t xml:space="preserve"> </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53.32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78.92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11.72</w:t>
            </w:r>
            <w:r>
              <w:rPr>
                <w:rFonts w:ascii="Times New Roman" w:hAnsi="Times New Roman"/>
                <w:color w:val="000000"/>
                <w:sz w:val="18"/>
                <w:u w:color="auto"/>
              </w:rPr>
              <w:t xml:space="preserve"> </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11.72</w:t>
            </w:r>
            <w:r>
              <w:rPr>
                <w:rFonts w:ascii="Times New Roman" w:hAnsi="Times New Roman"/>
                <w:color w:val="000000"/>
                <w:sz w:val="18"/>
                <w:u w:color="auto"/>
              </w:rPr>
              <w:t xml:space="preserve"> </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11.72</w:t>
            </w:r>
            <w:r>
              <w:rPr>
                <w:rFonts w:ascii="Times New Roman" w:hAnsi="Times New Roman"/>
                <w:color w:val="000000"/>
                <w:sz w:val="18"/>
                <w:u w:color="auto"/>
              </w:rPr>
              <w:t xml:space="preserve"> </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11.72</w:t>
            </w:r>
            <w:r>
              <w:rPr>
                <w:rFonts w:ascii="Times New Roman" w:hAnsi="Times New Roman"/>
                <w:color w:val="000000"/>
                <w:sz w:val="18"/>
                <w:u w:color="auto"/>
              </w:rPr>
              <w:t xml:space="preserve"> </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4.39</w:t>
            </w:r>
            <w:r>
              <w:rPr>
                <w:rFonts w:ascii="Times New Roman" w:hAnsi="Times New Roman"/>
                <w:color w:val="000000"/>
                <w:sz w:val="18"/>
                <w:u w:color="auto"/>
              </w:rPr>
              <w:t xml:space="preserve"> </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4.39</w:t>
            </w:r>
            <w:r>
              <w:rPr>
                <w:rFonts w:ascii="Times New Roman" w:hAnsi="Times New Roman"/>
                <w:color w:val="000000"/>
                <w:sz w:val="18"/>
                <w:u w:color="auto"/>
              </w:rPr>
              <w:t xml:space="preserve"> </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4.39</w:t>
            </w:r>
            <w:r>
              <w:rPr>
                <w:rFonts w:ascii="Times New Roman" w:hAnsi="Times New Roman"/>
                <w:color w:val="000000"/>
                <w:sz w:val="18"/>
                <w:u w:color="auto"/>
              </w:rPr>
              <w:t xml:space="preserve"> </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w:t>
            </w:r>
            <w:r>
              <w:rPr>
                <w:rFonts w:ascii="Times New Roman" w:hAnsi="Times New Roman"/>
                <w:color w:val="000000"/>
                <w:sz w:val="18"/>
                <w:u w:color="auto"/>
              </w:rPr>
              <w:t xml:space="preserve"> </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141</w:t>
            </w:r>
            <w:r>
              <w:rPr>
                <w:rFonts w:ascii="Times New Roman" w:hAnsi="Times New Roman"/>
                <w:color w:val="000000"/>
                <w:sz w:val="18"/>
                <w:u w:color="auto"/>
              </w:rPr>
              <w:t xml:space="preserve"> </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396.18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241.20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577</w:t>
            </w:r>
            <w:r>
              <w:rPr>
                <w:rFonts w:ascii="Times New Roman" w:hAnsi="Times New Roman"/>
                <w:color w:val="000000"/>
                <w:sz w:val="18"/>
                <w:u w:color="auto"/>
              </w:rPr>
              <w:t xml:space="preserve"> </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154.98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154.98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154.98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1.48</w:t>
            </w:r>
            <w:r>
              <w:rPr>
                <w:rFonts w:ascii="Times New Roman" w:hAnsi="Times New Roman"/>
                <w:color w:val="000000"/>
                <w:sz w:val="18"/>
                <w:u w:color="auto"/>
              </w:rPr>
              <w:t xml:space="preserve"> </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4.04</w:t>
            </w:r>
            <w:r>
              <w:rPr>
                <w:rFonts w:ascii="Times New Roman" w:hAnsi="Times New Roman"/>
                <w:color w:val="000000"/>
                <w:sz w:val="18"/>
                <w:u w:color="auto"/>
              </w:rPr>
              <w:t xml:space="preserve"> </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42.91</w:t>
            </w:r>
            <w:r>
              <w:rPr>
                <w:rFonts w:ascii="Times New Roman" w:hAnsi="Times New Roman"/>
                <w:color w:val="000000"/>
                <w:sz w:val="18"/>
                <w:u w:color="auto"/>
              </w:rPr>
              <w:t xml:space="preserve"> </w:t>
            </w:r>
          </w:p>
        </w:tc>
        <w:tc>
          <w:tcPr>
            <w:tcW w:w="5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3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both"/>
      <w:rPr>
        <w:rFonts w:hint="default"/>
      </w:rPr>
    </w:pP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362079371">
    <w:nsid w:val="C865428B"/>
    <w:multiLevelType w:val="singleLevel"/>
    <w:tmpl w:val="C865428B"/>
    <w:lvl w:ilvl="0" w:tentative="1">
      <w:start w:val="1"/>
      <w:numFmt w:val="chineseCounting"/>
      <w:suff w:val="nothing"/>
      <w:lvlText w:val="（%1）"/>
      <w:lvlJc w:val="left"/>
      <w:rPr>
        <w:rFonts w:hint="eastAsia"/>
      </w:rPr>
    </w:lvl>
  </w:abstractNum>
  <w:abstractNum w:abstractNumId="3559262164">
    <w:nsid w:val="D42607D4"/>
    <w:multiLevelType w:val="singleLevel"/>
    <w:tmpl w:val="D42607D4"/>
    <w:lvl w:ilvl="0" w:tentative="1">
      <w:start w:val="5"/>
      <w:numFmt w:val="chineseCounting"/>
      <w:suff w:val="nothing"/>
      <w:lvlText w:val="%1、"/>
      <w:lvlJc w:val="left"/>
      <w:rPr>
        <w:rFonts w:hint="eastAsia"/>
      </w:rPr>
    </w:lvl>
  </w:abstractNum>
  <w:num w:numId="1">
    <w:abstractNumId w:val="3559262164"/>
  </w:num>
  <w:num w:numId="2">
    <w:abstractNumId w:val="33620793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7B419D"/>
    <w:rsid w:val="009049D8"/>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7EC6998"/>
    <w:rsid w:val="08051BCA"/>
    <w:rsid w:val="080A21BB"/>
    <w:rsid w:val="08381BDD"/>
    <w:rsid w:val="08BA052C"/>
    <w:rsid w:val="08DB07BA"/>
    <w:rsid w:val="08DD3395"/>
    <w:rsid w:val="098305D0"/>
    <w:rsid w:val="09B72B6E"/>
    <w:rsid w:val="0A0C7F04"/>
    <w:rsid w:val="0A227275"/>
    <w:rsid w:val="0A5C4B69"/>
    <w:rsid w:val="0AAE2130"/>
    <w:rsid w:val="0B9335CE"/>
    <w:rsid w:val="0BA10C97"/>
    <w:rsid w:val="0C554661"/>
    <w:rsid w:val="0C7927C4"/>
    <w:rsid w:val="0C9B098C"/>
    <w:rsid w:val="0CE80A8F"/>
    <w:rsid w:val="0D472B48"/>
    <w:rsid w:val="0D673E11"/>
    <w:rsid w:val="0DB50EFE"/>
    <w:rsid w:val="0DDA54E4"/>
    <w:rsid w:val="0E3A5F83"/>
    <w:rsid w:val="0E9478E1"/>
    <w:rsid w:val="0F003901"/>
    <w:rsid w:val="0F836721"/>
    <w:rsid w:val="103645A3"/>
    <w:rsid w:val="107B59E5"/>
    <w:rsid w:val="10AA219D"/>
    <w:rsid w:val="11003CB0"/>
    <w:rsid w:val="11124E18"/>
    <w:rsid w:val="111445C7"/>
    <w:rsid w:val="1158083A"/>
    <w:rsid w:val="11F03528"/>
    <w:rsid w:val="1282712D"/>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4E77C9"/>
    <w:rsid w:val="1C9E4450"/>
    <w:rsid w:val="1CE157EE"/>
    <w:rsid w:val="1D014A01"/>
    <w:rsid w:val="1D022362"/>
    <w:rsid w:val="1D091B60"/>
    <w:rsid w:val="1D794AE5"/>
    <w:rsid w:val="1DD26311"/>
    <w:rsid w:val="1DE57DAF"/>
    <w:rsid w:val="1EF67CA4"/>
    <w:rsid w:val="1F101BDB"/>
    <w:rsid w:val="1F213FD9"/>
    <w:rsid w:val="1FCD26AF"/>
    <w:rsid w:val="20642787"/>
    <w:rsid w:val="20C83310"/>
    <w:rsid w:val="20EC77A3"/>
    <w:rsid w:val="21556F04"/>
    <w:rsid w:val="22403BD3"/>
    <w:rsid w:val="247D6FB4"/>
    <w:rsid w:val="24B92327"/>
    <w:rsid w:val="252773E6"/>
    <w:rsid w:val="2533755C"/>
    <w:rsid w:val="26396DF4"/>
    <w:rsid w:val="266B763B"/>
    <w:rsid w:val="2716614F"/>
    <w:rsid w:val="27167136"/>
    <w:rsid w:val="27B23302"/>
    <w:rsid w:val="27B76736"/>
    <w:rsid w:val="27D424D7"/>
    <w:rsid w:val="27EB2370"/>
    <w:rsid w:val="285722C3"/>
    <w:rsid w:val="28DC1FF8"/>
    <w:rsid w:val="29310A5F"/>
    <w:rsid w:val="296B6BA6"/>
    <w:rsid w:val="29C37A35"/>
    <w:rsid w:val="2A076083"/>
    <w:rsid w:val="2A306CA5"/>
    <w:rsid w:val="2A73162E"/>
    <w:rsid w:val="2AFA2E94"/>
    <w:rsid w:val="2B167953"/>
    <w:rsid w:val="2B200583"/>
    <w:rsid w:val="2B8209DE"/>
    <w:rsid w:val="2C6762A3"/>
    <w:rsid w:val="2D151C3D"/>
    <w:rsid w:val="2D5F4C37"/>
    <w:rsid w:val="2F4221A1"/>
    <w:rsid w:val="2FE029D7"/>
    <w:rsid w:val="2FF06E00"/>
    <w:rsid w:val="315F0B22"/>
    <w:rsid w:val="31BE24D6"/>
    <w:rsid w:val="31D84415"/>
    <w:rsid w:val="32285F6F"/>
    <w:rsid w:val="32770556"/>
    <w:rsid w:val="329C0913"/>
    <w:rsid w:val="3337290D"/>
    <w:rsid w:val="345A6C40"/>
    <w:rsid w:val="352930DB"/>
    <w:rsid w:val="35573069"/>
    <w:rsid w:val="358C217E"/>
    <w:rsid w:val="359E7284"/>
    <w:rsid w:val="359F188C"/>
    <w:rsid w:val="35BA1051"/>
    <w:rsid w:val="36C21264"/>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3290A"/>
    <w:rsid w:val="3E7555B1"/>
    <w:rsid w:val="3EA72472"/>
    <w:rsid w:val="3EDE1208"/>
    <w:rsid w:val="3F0527E5"/>
    <w:rsid w:val="3F16459E"/>
    <w:rsid w:val="4004000C"/>
    <w:rsid w:val="411B6CE5"/>
    <w:rsid w:val="412070D7"/>
    <w:rsid w:val="41314E40"/>
    <w:rsid w:val="415C674B"/>
    <w:rsid w:val="41A2189A"/>
    <w:rsid w:val="426C1EA8"/>
    <w:rsid w:val="42E86A87"/>
    <w:rsid w:val="42F85FBD"/>
    <w:rsid w:val="43136432"/>
    <w:rsid w:val="443A3B12"/>
    <w:rsid w:val="44487B36"/>
    <w:rsid w:val="44EF6BE8"/>
    <w:rsid w:val="45A30364"/>
    <w:rsid w:val="465B470D"/>
    <w:rsid w:val="46780E1B"/>
    <w:rsid w:val="469D6AD4"/>
    <w:rsid w:val="47674801"/>
    <w:rsid w:val="48225EF7"/>
    <w:rsid w:val="48A36D47"/>
    <w:rsid w:val="495C4A24"/>
    <w:rsid w:val="49A21DF3"/>
    <w:rsid w:val="49C811E4"/>
    <w:rsid w:val="4A216E30"/>
    <w:rsid w:val="4AC9763E"/>
    <w:rsid w:val="4B7951CB"/>
    <w:rsid w:val="4B7C315C"/>
    <w:rsid w:val="4B9300D7"/>
    <w:rsid w:val="4BAB7F90"/>
    <w:rsid w:val="4BD53EDA"/>
    <w:rsid w:val="4BE11807"/>
    <w:rsid w:val="4C484CE5"/>
    <w:rsid w:val="4C8E14F9"/>
    <w:rsid w:val="4DAC4ACA"/>
    <w:rsid w:val="4DD06F63"/>
    <w:rsid w:val="4E043596"/>
    <w:rsid w:val="4EA8523F"/>
    <w:rsid w:val="4F186D58"/>
    <w:rsid w:val="4F224836"/>
    <w:rsid w:val="51760217"/>
    <w:rsid w:val="517F39A6"/>
    <w:rsid w:val="51E36677"/>
    <w:rsid w:val="522F6E0C"/>
    <w:rsid w:val="52463BA1"/>
    <w:rsid w:val="529F078E"/>
    <w:rsid w:val="53C0244D"/>
    <w:rsid w:val="53DD4D4E"/>
    <w:rsid w:val="53E578CE"/>
    <w:rsid w:val="53EA10F5"/>
    <w:rsid w:val="543B029D"/>
    <w:rsid w:val="54977029"/>
    <w:rsid w:val="554E5773"/>
    <w:rsid w:val="555A3CBC"/>
    <w:rsid w:val="55EF4EA6"/>
    <w:rsid w:val="56530F5D"/>
    <w:rsid w:val="56C95D56"/>
    <w:rsid w:val="56EE372E"/>
    <w:rsid w:val="5842572D"/>
    <w:rsid w:val="598A28E2"/>
    <w:rsid w:val="5C1336B7"/>
    <w:rsid w:val="5C263CE4"/>
    <w:rsid w:val="5C5D2777"/>
    <w:rsid w:val="5C722D7F"/>
    <w:rsid w:val="5D290C69"/>
    <w:rsid w:val="5DFC5DA1"/>
    <w:rsid w:val="5E985E41"/>
    <w:rsid w:val="5EFA176D"/>
    <w:rsid w:val="5F0247F9"/>
    <w:rsid w:val="5F2D4A41"/>
    <w:rsid w:val="601C34ED"/>
    <w:rsid w:val="60A511FB"/>
    <w:rsid w:val="60D841AD"/>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74D208B"/>
    <w:rsid w:val="67A974A1"/>
    <w:rsid w:val="67E94090"/>
    <w:rsid w:val="687E45FE"/>
    <w:rsid w:val="692172FD"/>
    <w:rsid w:val="6A3829EE"/>
    <w:rsid w:val="6A924CB7"/>
    <w:rsid w:val="6AE0292E"/>
    <w:rsid w:val="6B474EF5"/>
    <w:rsid w:val="6BC27679"/>
    <w:rsid w:val="6BC54EFE"/>
    <w:rsid w:val="6C560CAE"/>
    <w:rsid w:val="6C8253AF"/>
    <w:rsid w:val="6CD15296"/>
    <w:rsid w:val="6D903FF5"/>
    <w:rsid w:val="6DA955B8"/>
    <w:rsid w:val="6DE346AB"/>
    <w:rsid w:val="6FC84312"/>
    <w:rsid w:val="6FFB2E76"/>
    <w:rsid w:val="70AB70D6"/>
    <w:rsid w:val="70DE5507"/>
    <w:rsid w:val="71C34D91"/>
    <w:rsid w:val="71ED38AA"/>
    <w:rsid w:val="72DB435C"/>
    <w:rsid w:val="73CA4A3D"/>
    <w:rsid w:val="74ED1B1B"/>
    <w:rsid w:val="750837F0"/>
    <w:rsid w:val="762A73EF"/>
    <w:rsid w:val="7631412E"/>
    <w:rsid w:val="764F62AB"/>
    <w:rsid w:val="765C45EC"/>
    <w:rsid w:val="768A7619"/>
    <w:rsid w:val="7714640F"/>
    <w:rsid w:val="77B71E56"/>
    <w:rsid w:val="77EA362A"/>
    <w:rsid w:val="7875383E"/>
    <w:rsid w:val="790C34C1"/>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E584AB3"/>
    <w:rsid w:val="7FF723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7">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7052</Words>
  <Characters>7919</Characters>
  <Lines>161</Lines>
  <Paragraphs>45</Paragraphs>
  <TotalTime>0</TotalTime>
  <ScaleCrop>false</ScaleCrop>
  <LinksUpToDate>false</LinksUpToDate>
  <CharactersWithSpaces>8002</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xjzx</cp:lastModifiedBy>
  <dcterms:modified xsi:type="dcterms:W3CDTF">2025-09-16T10:48:37Z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87058F8313C84144BAFA80C3E374E33C_13</vt:lpwstr>
  </property>
  <property fmtid="{D5CDD505-2E9C-101B-9397-08002B2CF9AE}" pid="4" name="KSOTemplateDocerSaveRecord">
    <vt:lpwstr>eyJoZGlkIjoiZDg3ZmI3MmJiYjBkNjBiNWM0ZGQ5NDA5YmI4MzRmMDEiLCJ1c2VySWQiOiIxMDI0OTI3MDgzIn0=</vt:lpwstr>
  </property>
</Properties>
</file>