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丰都县水利行政执法支队</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Times New Roman" w:hAnsi="Times New Roman" w:eastAsia="方正仿宋_GBK" w:cs="Times New Roman"/>
          <w:color w:val="auto"/>
          <w:sz w:val="32"/>
          <w:szCs w:val="32"/>
        </w:rPr>
      </w:pPr>
      <w:r>
        <w:rPr>
          <w:rStyle w:val="13"/>
          <w:rFonts w:hint="default" w:ascii="Times New Roman" w:hAnsi="Times New Roman" w:eastAsia="楷体" w:cs="Times New Roman"/>
          <w:color w:val="auto"/>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（1）承担水利行政执法的组织协调。组织开展有关专项执法，配合落实相关的交叉执法、异地执法。参与拟订水利行政执法管理制度。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（2）承担水资源、河道、水利工程、水土保持、水文等方面的执法职能。</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（3）承担水利行业事业性规费的征收等方面的执法职能。</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（4）配合协助公安等司法</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查处水事治安、刑事案件。</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（5）完成县委、县政府和县水利局交办的其他任务。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Times New Roman" w:hAnsi="Times New Roman" w:eastAsia="楷体" w:cs="Times New Roman"/>
          <w:color w:val="auto"/>
          <w:sz w:val="32"/>
          <w:szCs w:val="32"/>
        </w:rPr>
      </w:pPr>
      <w:r>
        <w:rPr>
          <w:rStyle w:val="13"/>
          <w:rFonts w:hint="default" w:ascii="Times New Roman" w:hAnsi="Times New Roman" w:eastAsia="楷体" w:cs="Times New Roman"/>
          <w:color w:val="auto"/>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我单位为丰都县水利局管理的行政执法机构，机构规格正科级。设下列内设机构：综合科、法制科、执法大队。</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90.38万元。收、支与2023年度相比，减少32.60万元，下降26.5%，主要原因是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pStyle w:val="9"/>
        <w:shd w:val="clear" w:color="auto" w:fill="FFFFFF"/>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lang w:val="en-US" w:eastAsia="zh-CN"/>
        </w:rPr>
        <w:t>1</w:t>
      </w:r>
      <w:r>
        <w:rPr>
          <w:rStyle w:val="13"/>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2024年度收入合计90.38万元，与2023年度相比，减少32.60万元，下降26.5%，主要原因是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。其中：财政拨款收入90.38万元，占100.0%；事业收入0.00万元，占0.0%；经营收入0.00万元，占0.0%；其他收入0.00万元，占0.0%。此外，使用非财政拨款结余（含专用结余）0.00万元，年初结转和结余0.00万元。</w:t>
      </w:r>
    </w:p>
    <w:p>
      <w:pPr>
        <w:pStyle w:val="9"/>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lang w:val="en-US" w:eastAsia="zh-CN"/>
        </w:rPr>
        <w:t>2</w:t>
      </w:r>
      <w:r>
        <w:rPr>
          <w:rStyle w:val="13"/>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2024年度支出合计90.38万元，与2023年度相比，减少32.60万元，下降26.5%，主要原因是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)。其中：基本支出90.38万元，占100.0%；项目支出0.00万元，占0.0%；经营支出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pPr>
        <w:pStyle w:val="9"/>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rPr>
      </w:pPr>
      <w:r>
        <w:rPr>
          <w:rStyle w:val="13"/>
          <w:rFonts w:hint="default" w:ascii="Times New Roman" w:hAnsi="Times New Roman" w:eastAsia="方正仿宋_GBK" w:cs="Times New Roman"/>
          <w:color w:val="auto"/>
          <w:sz w:val="32"/>
          <w:szCs w:val="32"/>
          <w:shd w:val="clear" w:color="auto" w:fill="FFFFFF"/>
          <w:lang w:val="en-US" w:eastAsia="zh-CN"/>
        </w:rPr>
        <w:t>3</w:t>
      </w:r>
      <w:r>
        <w:rPr>
          <w:rStyle w:val="13"/>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无结转结余</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2024年度财政拨款收、支总计均为90.38万元。与2023年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相比，财政拨款收、支总计各减少32.60万元，下降26.5%。主要原因是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rPr>
      </w:pPr>
      <w:r>
        <w:rPr>
          <w:rStyle w:val="13"/>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2024年度一般公共预算财政拨款收入90.38万元，与2023年度相比，减少32.60万元，下降26.5%。主要原因是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。较年初预算数减少38.41万元，下降29.8%。主要原因是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。此外，年初财政拨款结转和结余0.00万元。</w:t>
      </w:r>
    </w:p>
    <w:p>
      <w:pPr>
        <w:pStyle w:val="9"/>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2024年度一般公共预算财政拨款支出90.38万元，与2023年度相比，减少32.60万元，下降26.5%。主要原因是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。较年初预算数减少38.41万元，下降29.8%。主要原因是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就业支出14.06万元，占15.6%，较年初预算数减少3.57万元，下降20.3%，主要原因是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）卫生健康支出5.13万元，占5.7%，较年初预算数减少2.71万元，下降34.6%，主要原因是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）农林水支出65.92万元，占72.9%，较年初预算数减少28.63万元，下降30.3%，主要原因是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spacing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5.28万元，占5.8%，较年初预算数减少3.49万元，下降39.8%，主要原因是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无结转结余</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2024年度一般公共财政拨款基本支出90.38万元。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人员经费77.46万元，与2023年度相比，减少23.34万元，下降23.2%，主要原因是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五险两金、工资绩效等</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公用经费12.92万元，与2023年度相比，减少9.26万元，下降41.8%，主要原因是</w:t>
      </w:r>
      <w:r>
        <w:rPr>
          <w:rFonts w:hint="default" w:ascii="Times New Roman" w:hAnsi="Times New Roman" w:eastAsia="方正仿宋_GBK" w:cs="Times New Roman"/>
          <w:color w:val="auto"/>
          <w:sz w:val="32"/>
          <w:szCs w:val="32"/>
          <w:shd w:val="clear" w:color="auto" w:fill="FFFFFF"/>
          <w:lang w:val="en-US" w:eastAsia="zh-CN"/>
        </w:rPr>
        <w:t>单位撤销，减少相关经费开支</w:t>
      </w:r>
      <w:r>
        <w:rPr>
          <w:rFonts w:hint="default" w:ascii="Times New Roman" w:hAnsi="Times New Roman" w:eastAsia="方正仿宋_GBK" w:cs="Times New Roman"/>
          <w:color w:val="auto"/>
          <w:sz w:val="32"/>
          <w:szCs w:val="32"/>
          <w:shd w:val="clear" w:color="auto" w:fill="FFFFFF"/>
        </w:rPr>
        <w:t>。公用经费用途主要包括公务接待</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公车运行</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办公开支等</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。本年支出0.00万元，与2023年度相比，无增减，主要原因是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2024年度国有资本经营预算财政拨款支出0.00万元，基本支出0.00万元，项目支出0.00万元。</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未单独预算</w:t>
      </w:r>
      <w:r>
        <w:rPr>
          <w:rFonts w:hint="default" w:ascii="Times New Roman" w:hAnsi="Times New Roman" w:eastAsia="方正仿宋_GBK" w:cs="Times New Roman"/>
          <w:color w:val="auto"/>
          <w:sz w:val="32"/>
          <w:szCs w:val="32"/>
          <w:shd w:val="clear" w:color="auto" w:fill="FFFFFF"/>
        </w:rPr>
        <w:t>。较上年支出数减少1.00万元，下降100.0%，主要原因是</w:t>
      </w:r>
      <w:r>
        <w:rPr>
          <w:rFonts w:hint="default" w:ascii="Times New Roman" w:hAnsi="Times New Roman" w:eastAsia="方正仿宋_GBK" w:cs="Times New Roman"/>
          <w:color w:val="auto"/>
          <w:sz w:val="32"/>
          <w:szCs w:val="32"/>
          <w:shd w:val="clear" w:color="auto" w:fill="FFFFFF"/>
          <w:lang w:val="en-US" w:eastAsia="zh-CN"/>
        </w:rPr>
        <w:t>未单独预算</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因公出国（境）费用0.00万元。费用支出较年初预算数无增减，主要原因是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无相关支出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无相关支出</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未购置公车</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未购置公车</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车运行维护费0.00万元。费用支出较年初预算数无增减，主要原因是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未购置公车</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未购置公车</w:t>
      </w:r>
      <w:r>
        <w:rPr>
          <w:rFonts w:hint="default" w:ascii="Times New Roman" w:hAnsi="Times New Roman" w:eastAsia="方正仿宋_GBK" w:cs="Times New Roman"/>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公务接待费0.00万元。费用支出较年初预算数无增减，主要原因是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严格按照预算执行</w:t>
      </w:r>
      <w:r>
        <w:rPr>
          <w:rFonts w:hint="default" w:ascii="Times New Roman" w:hAnsi="Times New Roman" w:eastAsia="方正仿宋_GBK" w:cs="Times New Roman"/>
          <w:color w:val="auto"/>
          <w:sz w:val="32"/>
          <w:szCs w:val="32"/>
          <w:shd w:val="clear" w:color="auto" w:fill="FFFFFF"/>
        </w:rPr>
        <w:t>。较上年支出数减少1.00万元，下降100.0%，主要原因是</w:t>
      </w:r>
      <w:r>
        <w:rPr>
          <w:rFonts w:hint="default" w:ascii="Times New Roman" w:hAnsi="Times New Roman" w:eastAsia="方正仿宋_GBK" w:cs="Times New Roman"/>
          <w:color w:val="auto"/>
          <w:sz w:val="32"/>
          <w:szCs w:val="32"/>
          <w:shd w:val="clear" w:color="auto" w:fill="FFFFFF"/>
          <w:lang w:val="en-US" w:eastAsia="zh-CN"/>
        </w:rPr>
        <w:t>未单独预算</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未单独预算</w:t>
      </w:r>
      <w:r>
        <w:rPr>
          <w:rFonts w:hint="default" w:ascii="Times New Roman" w:hAnsi="Times New Roman" w:eastAsia="方正仿宋_GBK" w:cs="Times New Roman"/>
          <w:color w:val="auto"/>
          <w:sz w:val="32"/>
          <w:szCs w:val="32"/>
          <w:shd w:val="clear" w:color="auto" w:fill="FFFFFF"/>
        </w:rPr>
        <w:t>。本年度培训费支出0.35万元，与2023年度相比，增加0.06万元，增长20.7%，主要原因是</w:t>
      </w:r>
      <w:r>
        <w:rPr>
          <w:rFonts w:hint="default" w:ascii="Times New Roman" w:hAnsi="Times New Roman" w:eastAsia="方正仿宋_GBK" w:cs="Times New Roman"/>
          <w:color w:val="auto"/>
          <w:sz w:val="32"/>
          <w:szCs w:val="32"/>
          <w:shd w:val="clear" w:color="auto" w:fill="FFFFFF"/>
          <w:lang w:val="en-US" w:eastAsia="zh-CN"/>
        </w:rPr>
        <w:t>新进专技人员继续教育培训费支出</w:t>
      </w:r>
      <w:r>
        <w:rPr>
          <w:rFonts w:hint="default" w:ascii="Times New Roman" w:hAnsi="Times New Roman" w:eastAsia="方正仿宋_GBK" w:cs="Times New Roman"/>
          <w:color w:val="auto"/>
          <w:sz w:val="32"/>
          <w:szCs w:val="32"/>
          <w:shd w:val="clear" w:color="auto" w:fill="FFFFFF"/>
        </w:rPr>
        <w:t>。本年度差旅费支出1.10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与2023年度相比，减少2.91万元，下降72.6%，主要原因是</w:t>
      </w:r>
      <w:r>
        <w:rPr>
          <w:rFonts w:hint="default" w:ascii="Times New Roman" w:hAnsi="Times New Roman" w:eastAsia="方正仿宋_GBK" w:cs="Times New Roman"/>
          <w:color w:val="auto"/>
          <w:sz w:val="32"/>
          <w:szCs w:val="32"/>
          <w:shd w:val="clear" w:color="auto" w:fill="FFFFFF"/>
          <w:lang w:val="en-US" w:eastAsia="zh-CN"/>
        </w:rPr>
        <w:t>单位撤销，减少了相关支出</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机关运行经费支出12.92万元，机关运行经费主要用于开支</w:t>
      </w:r>
      <w:r>
        <w:rPr>
          <w:rFonts w:hint="default" w:ascii="Times New Roman" w:hAnsi="Times New Roman" w:eastAsia="方正仿宋_GBK" w:cs="Times New Roman"/>
          <w:color w:val="auto"/>
          <w:sz w:val="32"/>
          <w:szCs w:val="32"/>
          <w:shd w:val="clear" w:color="auto" w:fill="FFFFFF"/>
          <w:lang w:val="en-US" w:eastAsia="zh-CN"/>
        </w:rPr>
        <w:t>日常办公用品采购、差旅等开支</w:t>
      </w:r>
      <w:r>
        <w:rPr>
          <w:rFonts w:hint="default" w:ascii="Times New Roman" w:hAnsi="Times New Roman" w:eastAsia="方正仿宋_GBK" w:cs="Times New Roman"/>
          <w:color w:val="auto"/>
          <w:sz w:val="32"/>
          <w:szCs w:val="32"/>
          <w:shd w:val="clear" w:color="auto" w:fill="FFFFFF"/>
        </w:rPr>
        <w:t>。机关运行经费较上年支出数减少9.26万元，下降41.8%，主要原因是</w:t>
      </w:r>
      <w:r>
        <w:rPr>
          <w:rFonts w:hint="default" w:ascii="Times New Roman" w:hAnsi="Times New Roman" w:eastAsia="方正仿宋_GBK" w:cs="Times New Roman"/>
          <w:color w:val="auto"/>
          <w:sz w:val="32"/>
          <w:szCs w:val="32"/>
          <w:shd w:val="clear" w:color="auto" w:fill="FFFFFF"/>
          <w:lang w:val="en-US" w:eastAsia="zh-CN"/>
        </w:rPr>
        <w:t>单位撤销，减少了相关支出</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政府采购支出总额0.00万元，其中：政府采购货物支出0.00万元、政府采购工程支出0.00万元、政府采购服务支出0.00万元。授予中小企业合同金额0.00</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元，占政府采购支出总额的0%，其中：授予小微企业合同金额0.00万元，占政府采购支出总额的0 %。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2024年度我</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未发生政府采购事项，无相关经费支出</w:t>
      </w:r>
      <w:r>
        <w:rPr>
          <w:rFonts w:hint="eastAsia" w:ascii="Times New Roman" w:hAnsi="Times New Roman" w:eastAsia="方正仿宋_GBK" w:cs="Times New Roman"/>
          <w:color w:val="auto"/>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我单位无项目支出，未开展绩效评价。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我单位无项目支出，未开展绩效评价。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委托第三方对我单位开展绩效评价</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汪锐</w:t>
      </w:r>
      <w:r>
        <w:rPr>
          <w:rFonts w:hint="eastAsia" w:ascii="方正仿宋_GBK" w:hAnsi="方正仿宋_GBK" w:eastAsia="方正仿宋_GBK" w:cs="方正仿宋_GBK"/>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 xml:space="preserve"> 023-70701623</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丰都县水利行政执法支队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丰都县水利行政执法支队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丰都县水利行政执法支队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丰都县水利行政执法支队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丰都县水利行政执法支队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丰都县水利行政执法支队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77.46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丰都县水利行政执法支队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丰都县水利行政执法支队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丰都县水利行政执法支队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1860"/>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D2030F"/>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A64416"/>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A45F44"/>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2F75F5"/>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3141E5"/>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AAD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5685</Words>
  <Characters>7039</Characters>
  <Lines>186</Lines>
  <Paragraphs>52</Paragraphs>
  <TotalTime>0</TotalTime>
  <ScaleCrop>false</ScaleCrop>
  <LinksUpToDate>false</LinksUpToDate>
  <CharactersWithSpaces>7363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水利局机要秘书</cp:lastModifiedBy>
  <dcterms:modified xsi:type="dcterms:W3CDTF">2025-09-17T16:09:34Z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