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丰都县水土保持站</w:t>
      </w:r>
    </w:p>
    <w:p>
      <w:pPr>
        <w:pStyle w:val="9"/>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shd w:val="clear" w:color="auto" w:fill="FFFFFF"/>
        <w:spacing w:before="0" w:beforeAutospacing="0" w:after="0" w:afterAutospacing="0" w:line="596" w:lineRule="exact"/>
        <w:ind w:firstLine="641" w:firstLineChars="200"/>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（1）承担水土流失动态监测、数据处理和网络管理技术服务工作；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（2）承担水保重点防治区、治理区、保护区的调查评价和工程规划设计技术服务工作；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（3）承担水保技术培训、科研和新技术的引进推广服务工作；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（4）负责水土保持规划的技术指导、咨询和评审技术服务工作；</w:t>
      </w:r>
    </w:p>
    <w:p>
      <w:pPr>
        <w:pStyle w:val="9"/>
        <w:shd w:val="clear" w:color="auto" w:fill="FFFFFF"/>
        <w:spacing w:before="0" w:beforeAutospacing="0" w:after="0" w:afterAutospacing="0" w:line="596" w:lineRule="exact"/>
        <w:ind w:firstLine="640" w:firstLineChars="200"/>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（5）承办上级交办的其他相关工作。</w:t>
      </w:r>
    </w:p>
    <w:p>
      <w:pPr>
        <w:pStyle w:val="9"/>
        <w:shd w:val="clear" w:color="auto" w:fill="FFFFFF"/>
        <w:spacing w:before="0" w:beforeAutospacing="0" w:after="0" w:afterAutospacing="0" w:line="596" w:lineRule="exact"/>
        <w:ind w:firstLine="641" w:firstLineChars="200"/>
        <w:rPr>
          <w:rFonts w:hint="default" w:ascii="Times New Roman" w:hAnsi="Times New Roman" w:eastAsia="楷体"/>
          <w:sz w:val="32"/>
          <w:szCs w:val="32"/>
        </w:rPr>
      </w:pPr>
      <w:r>
        <w:rPr>
          <w:rStyle w:val="13"/>
          <w:rFonts w:hint="default" w:ascii="Times New Roman" w:hAnsi="Times New Roman" w:eastAsia="楷体"/>
          <w:sz w:val="32"/>
          <w:szCs w:val="32"/>
          <w:shd w:val="clear" w:color="auto" w:fill="FFFFFF"/>
        </w:rPr>
        <w:t>（二）机构设置</w:t>
      </w:r>
    </w:p>
    <w:p>
      <w:pPr>
        <w:pStyle w:val="9"/>
        <w:shd w:val="clear" w:color="auto" w:fill="FFFFFF"/>
        <w:spacing w:before="0" w:beforeAutospacing="0" w:after="0" w:afterAutospacing="0" w:line="596" w:lineRule="exact"/>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我单位为按副科级管理的财政全额拨款公益一类事业单位，无内设机构。</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二、</w:t>
      </w:r>
      <w:r>
        <w:rPr>
          <w:rStyle w:val="13"/>
          <w:rFonts w:ascii="Times New Roman" w:hAnsi="Times New Roman" w:eastAsia="黑体"/>
          <w:sz w:val="32"/>
          <w:szCs w:val="32"/>
          <w:shd w:val="clear" w:color="auto" w:fill="FFFFFF"/>
        </w:rPr>
        <w:t>单位</w:t>
      </w:r>
      <w:r>
        <w:rPr>
          <w:rStyle w:val="13"/>
          <w:rFonts w:hint="default" w:ascii="Times New Roman" w:hAnsi="Times New Roman" w:eastAsia="黑体"/>
          <w:sz w:val="32"/>
          <w:szCs w:val="32"/>
          <w:shd w:val="clear" w:color="auto" w:fill="FFFFFF"/>
        </w:rPr>
        <w:t>决算收支情况说明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2024年度收、支总计均为196.66万元。收、支与2023年度相比，减少104.09万元，下降34.6%，</w:t>
      </w:r>
      <w:r>
        <w:rPr>
          <w:rFonts w:hint="default" w:ascii="Times New Roman" w:hAnsi="Times New Roman" w:eastAsia="仿宋_GB2312"/>
          <w:sz w:val="32"/>
          <w:szCs w:val="32"/>
          <w:highlight w:val="none"/>
        </w:rPr>
        <w:t>主要原因是我单位</w:t>
      </w:r>
      <w:r>
        <w:rPr>
          <w:rFonts w:hint="default" w:ascii="Times New Roman" w:hAnsi="Times New Roman" w:eastAsia="仿宋_GB2312"/>
          <w:sz w:val="32"/>
          <w:szCs w:val="32"/>
          <w:highlight w:val="none"/>
          <w:woUserID w:val="1"/>
        </w:rPr>
        <w:t>人员减少，相关经费减少。</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2024年度收入合计196.66万元，与2023年度相比，减少104.09万元，下降34.6%，</w:t>
      </w:r>
      <w:r>
        <w:rPr>
          <w:rFonts w:hint="default" w:ascii="Times New Roman" w:hAnsi="Times New Roman" w:eastAsia="仿宋_GB2312"/>
          <w:sz w:val="32"/>
          <w:szCs w:val="32"/>
          <w:highlight w:val="none"/>
          <w:woUserID w:val="1"/>
        </w:rPr>
        <w:t>主要原因是我单位</w:t>
      </w:r>
      <w:r>
        <w:rPr>
          <w:rFonts w:hint="default" w:ascii="Times New Roman" w:hAnsi="Times New Roman" w:eastAsia="仿宋_GB2312"/>
          <w:sz w:val="32"/>
          <w:szCs w:val="32"/>
          <w:highlight w:val="none"/>
          <w:woUserID w:val="1"/>
        </w:rPr>
        <w:t>人员减少，相关经费减少。</w:t>
      </w:r>
      <w:r>
        <w:rPr>
          <w:rFonts w:hint="default" w:ascii="Times New Roman" w:hAnsi="Times New Roman" w:eastAsia="方正仿宋_GBK"/>
          <w:sz w:val="32"/>
          <w:szCs w:val="32"/>
          <w:shd w:val="clear" w:color="auto" w:fill="FFFFFF"/>
        </w:rPr>
        <w:t>其中：财政拨款收入196.66万元，占100.0%；事业收入0.00万元，占0.0%；经营收入0.00万元，占0.0%；其他收入0.00万元，占0.0%。此外，使用非财政拨款结余（含专用结余）0.00万元，年初结转和结余0.00万元。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2024年度支出合计196.66万元，与2023年度相比，减少104.09万元，下降34.6%，</w:t>
      </w:r>
      <w:r>
        <w:rPr>
          <w:rFonts w:hint="default" w:ascii="Times New Roman" w:hAnsi="Times New Roman" w:eastAsia="仿宋_GB2312"/>
          <w:sz w:val="32"/>
          <w:szCs w:val="32"/>
          <w:highlight w:val="none"/>
          <w:woUserID w:val="1"/>
        </w:rPr>
        <w:t>主要原因是我单位</w:t>
      </w:r>
      <w:r>
        <w:rPr>
          <w:rFonts w:hint="default" w:ascii="Times New Roman" w:hAnsi="Times New Roman" w:eastAsia="仿宋_GB2312"/>
          <w:sz w:val="32"/>
          <w:szCs w:val="32"/>
          <w:highlight w:val="none"/>
          <w:woUserID w:val="1"/>
        </w:rPr>
        <w:t>人员减少，相关经费减少。</w:t>
      </w:r>
      <w:r>
        <w:rPr>
          <w:rFonts w:hint="default" w:ascii="Times New Roman" w:hAnsi="Times New Roman" w:eastAsia="方正仿宋_GBK"/>
          <w:sz w:val="32"/>
          <w:szCs w:val="32"/>
          <w:shd w:val="clear" w:color="auto" w:fill="FFFFFF"/>
        </w:rPr>
        <w:t>其中：基本支出196.66万元，占100.0%；项目支出0.00万元，占0.0%；经营支出</w:t>
      </w:r>
      <w:r>
        <w:rPr>
          <w:rFonts w:hint="default" w:ascii="Times New Roman" w:hAnsi="Times New Roman" w:eastAsia="方正仿宋_GBK"/>
          <w:sz w:val="32"/>
          <w:szCs w:val="32"/>
        </w:rPr>
        <w:t>0.00</w:t>
      </w:r>
      <w:r>
        <w:rPr>
          <w:rFonts w:hint="default" w:ascii="Times New Roman" w:hAnsi="Times New Roman" w:eastAsia="方正仿宋_GBK"/>
          <w:sz w:val="32"/>
          <w:szCs w:val="32"/>
          <w:shd w:val="clear" w:color="auto" w:fill="FFFFFF"/>
        </w:rPr>
        <w:t>万元，占0.0%。此外，结余分配0.00万元。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woUserID w:val="1"/>
        </w:rPr>
      </w:pPr>
      <w:r>
        <w:rPr>
          <w:rFonts w:hint="default" w:ascii="Times New Roman" w:hAnsi="Times New Roman" w:eastAsia="方正仿宋_GBK"/>
          <w:sz w:val="32"/>
          <w:szCs w:val="32"/>
          <w:shd w:val="clear" w:color="auto" w:fill="FFFFFF"/>
        </w:rPr>
        <w:t>2024年度财政拨款收、支总计均为196.66万元。与2023年度相比，财政拨款收、支总计各减少104.09万元，下降34.6%。</w:t>
      </w:r>
      <w:r>
        <w:rPr>
          <w:rFonts w:hint="default" w:ascii="Times New Roman" w:hAnsi="Times New Roman" w:eastAsia="仿宋_GB2312"/>
          <w:sz w:val="32"/>
          <w:szCs w:val="32"/>
          <w:highlight w:val="none"/>
          <w:woUserID w:val="1"/>
        </w:rPr>
        <w:t>主要原因是我单位人员减少，相关经费减少。</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rPr>
      </w:pPr>
      <w:r>
        <w:rPr>
          <w:rStyle w:val="13"/>
          <w:rFonts w:hint="default" w:ascii="Times New Roman" w:hAnsi="Times New Roman" w:eastAsia="方正仿宋_GBK"/>
          <w:sz w:val="32"/>
          <w:szCs w:val="32"/>
          <w:shd w:val="clear" w:color="auto" w:fill="FFFFFF"/>
        </w:rPr>
        <w:t>1.收入情况。</w:t>
      </w:r>
      <w:r>
        <w:rPr>
          <w:rFonts w:hint="default" w:ascii="Times New Roman" w:hAnsi="Times New Roman" w:eastAsia="方正仿宋_GBK"/>
          <w:sz w:val="32"/>
          <w:szCs w:val="32"/>
          <w:shd w:val="clear" w:color="auto" w:fill="FFFFFF"/>
        </w:rPr>
        <w:t>2024年度一般公共预算财政拨款收入196.66万元，与2023年度相比，减少104.09万元，下降34.6%。</w:t>
      </w:r>
      <w:r>
        <w:rPr>
          <w:rFonts w:hint="default" w:ascii="Times New Roman" w:hAnsi="Times New Roman" w:eastAsia="仿宋_GB2312"/>
          <w:sz w:val="32"/>
          <w:szCs w:val="32"/>
          <w:highlight w:val="none"/>
          <w:woUserID w:val="1"/>
        </w:rPr>
        <w:t>主要原因是我单位人员减少，相关经费减少。</w:t>
      </w:r>
      <w:r>
        <w:rPr>
          <w:rFonts w:hint="default" w:ascii="Times New Roman" w:hAnsi="Times New Roman" w:eastAsia="方正仿宋_GBK"/>
          <w:sz w:val="32"/>
          <w:szCs w:val="32"/>
          <w:shd w:val="clear" w:color="auto" w:fill="FFFFFF"/>
        </w:rPr>
        <w:t>较年初预算数增加23.19万元，增长13.4%。</w:t>
      </w:r>
      <w:r>
        <w:rPr>
          <w:rFonts w:hint="default" w:ascii="Times New Roman" w:hAnsi="Times New Roman" w:eastAsia="方正仿宋_GBK"/>
          <w:sz w:val="32"/>
          <w:szCs w:val="32"/>
          <w:shd w:val="clear" w:color="auto" w:fill="FFFFFF"/>
          <w:woUserID w:val="1"/>
        </w:rPr>
        <w:t>主要是职工调资晋级，增加社保、职业年金等相关经费。</w:t>
      </w:r>
      <w:r>
        <w:rPr>
          <w:rFonts w:hint="default" w:ascii="Times New Roman" w:hAnsi="Times New Roman" w:eastAsia="方正仿宋_GBK"/>
          <w:sz w:val="32"/>
          <w:szCs w:val="32"/>
          <w:shd w:val="clear" w:color="auto" w:fill="FFFFFF"/>
        </w:rPr>
        <w:t>此外，年初财政拨款结转和结余0.00万元。</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2.支出情况。</w:t>
      </w:r>
      <w:r>
        <w:rPr>
          <w:rFonts w:hint="default" w:ascii="Times New Roman" w:hAnsi="Times New Roman" w:eastAsia="方正仿宋_GBK"/>
          <w:sz w:val="32"/>
          <w:szCs w:val="32"/>
          <w:shd w:val="clear" w:color="auto" w:fill="FFFFFF"/>
        </w:rPr>
        <w:t>2024年度一般公共预算财政拨款支出196.66万元，与2023年度相比，减少104.09万元，下降34.6%。</w:t>
      </w:r>
      <w:r>
        <w:rPr>
          <w:rFonts w:hint="default" w:ascii="Times New Roman" w:hAnsi="Times New Roman" w:eastAsia="仿宋_GB2312"/>
          <w:sz w:val="32"/>
          <w:szCs w:val="32"/>
          <w:highlight w:val="none"/>
          <w:woUserID w:val="1"/>
        </w:rPr>
        <w:t>主要原因是我单位人员减少，相关经费减少。</w:t>
      </w:r>
      <w:r>
        <w:rPr>
          <w:rFonts w:hint="default" w:ascii="Times New Roman" w:hAnsi="Times New Roman" w:eastAsia="方正仿宋_GBK"/>
          <w:sz w:val="32"/>
          <w:szCs w:val="32"/>
          <w:shd w:val="clear" w:color="auto" w:fill="FFFFFF"/>
        </w:rPr>
        <w:t>较年初预算数增加23.19万元，增长13.4%。</w:t>
      </w:r>
      <w:r>
        <w:rPr>
          <w:rFonts w:hint="default" w:ascii="Times New Roman" w:hAnsi="Times New Roman" w:eastAsia="方正仿宋_GBK"/>
          <w:sz w:val="32"/>
          <w:szCs w:val="32"/>
          <w:shd w:val="clear" w:color="auto" w:fill="FFFFFF"/>
          <w:woUserID w:val="1"/>
        </w:rPr>
        <w:t>主要是职工调资晋级，增加社保、职业年金等相关经费。</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（1）社会保障和就业支出24.04万元，占12.2%，较年初预算数增加6.78万元，增长39.3%，</w:t>
      </w:r>
      <w:r>
        <w:rPr>
          <w:rFonts w:hint="default" w:ascii="Times New Roman" w:hAnsi="Times New Roman" w:eastAsia="仿宋_GB2312"/>
          <w:sz w:val="32"/>
          <w:szCs w:val="32"/>
        </w:rPr>
        <w:t>主要原因是人员调资，重新核定养老保险、职业年金缴费基数，社会保障和就业支出增加。</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（2）卫生健康支出8.38万元，占4.3%，较年初预算数减少0.31万元，下降3.6%，</w:t>
      </w:r>
      <w:r>
        <w:rPr>
          <w:rFonts w:hint="default" w:ascii="Times New Roman" w:hAnsi="Times New Roman" w:eastAsia="仿宋_GB2312"/>
          <w:sz w:val="32"/>
          <w:szCs w:val="32"/>
        </w:rPr>
        <w:t>主要原因是人员调资，重新核定养老保险、职业年金缴费基数，社会保障和就业支出减少。</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（3）农林水支出155.60万元，占79.1%，较年初预算数增加16.71万元，增长12.0%，</w:t>
      </w:r>
      <w:r>
        <w:rPr>
          <w:rFonts w:hint="default" w:ascii="Times New Roman" w:hAnsi="Times New Roman" w:eastAsia="仿宋_GB2312"/>
          <w:sz w:val="32"/>
          <w:szCs w:val="32"/>
        </w:rPr>
        <w:t>主要原因是人员</w:t>
      </w:r>
      <w:r>
        <w:rPr>
          <w:rFonts w:hint="default" w:ascii="Times New Roman" w:hAnsi="Times New Roman" w:eastAsia="仿宋_GB2312"/>
          <w:sz w:val="32"/>
          <w:szCs w:val="32"/>
          <w:woUserID w:val="1"/>
        </w:rPr>
        <w:t>增加、</w:t>
      </w:r>
      <w:r>
        <w:rPr>
          <w:rFonts w:hint="default" w:ascii="Times New Roman" w:hAnsi="Times New Roman" w:eastAsia="仿宋_GB2312"/>
          <w:sz w:val="32"/>
          <w:szCs w:val="32"/>
        </w:rPr>
        <w:t>调资，重新核定养老保险、职业年金缴费基数，社会保障和就业支出增加。</w:t>
      </w:r>
    </w:p>
    <w:p>
      <w:pPr>
        <w:spacing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w:t>
      </w:r>
      <w:r>
        <w:rPr>
          <w:rFonts w:hint="default" w:ascii="Times New Roman" w:hAnsi="Times New Roman" w:eastAsia="方正仿宋_GBK"/>
          <w:sz w:val="32"/>
          <w:szCs w:val="32"/>
        </w:rPr>
        <w:t>住房保障支出</w:t>
      </w:r>
      <w:r>
        <w:rPr>
          <w:rFonts w:hint="default" w:ascii="Times New Roman" w:hAnsi="Times New Roman" w:eastAsia="方正仿宋_GBK"/>
          <w:sz w:val="32"/>
          <w:szCs w:val="32"/>
          <w:shd w:val="clear" w:color="auto" w:fill="FFFFFF"/>
        </w:rPr>
        <w:t>8.63万元，占4.4%，较年初预算数无增减，主要原因是严格按照预算执行。</w:t>
      </w:r>
    </w:p>
    <w:p>
      <w:pPr>
        <w:pStyle w:val="9"/>
        <w:snapToGrid w:val="0"/>
        <w:spacing w:before="0" w:beforeAutospacing="0" w:after="0" w:afterAutospacing="0" w:line="596" w:lineRule="exact"/>
        <w:ind w:firstLine="641" w:firstLineChars="200"/>
        <w:jc w:val="both"/>
        <w:rPr>
          <w:rFonts w:hint="default" w:ascii="Times New Roman" w:hAnsi="Times New Roman" w:eastAsia="方正仿宋_GBK"/>
          <w:sz w:val="32"/>
          <w:szCs w:val="32"/>
          <w:shd w:val="clear" w:color="auto" w:fill="FFFFFF"/>
        </w:rPr>
      </w:pPr>
      <w:r>
        <w:rPr>
          <w:rStyle w:val="13"/>
          <w:rFonts w:hint="default" w:ascii="Times New Roman" w:hAnsi="Times New Roman" w:eastAsia="方正仿宋_GBK"/>
          <w:sz w:val="32"/>
          <w:szCs w:val="32"/>
          <w:shd w:val="clear" w:color="auto" w:fill="FFFFFF"/>
        </w:rPr>
        <w:t>3.结转结余情况。</w:t>
      </w:r>
      <w:r>
        <w:rPr>
          <w:rFonts w:hint="default" w:ascii="Times New Roman" w:hAnsi="Times New Roman" w:eastAsia="方正仿宋_GBK"/>
          <w:sz w:val="32"/>
          <w:szCs w:val="32"/>
          <w:shd w:val="clear" w:color="auto" w:fill="FFFFFF"/>
        </w:rPr>
        <w:t>2024年度年末一般公共预算财政拨款结转和结余0.00万元，与2023年度相比，无增减，主要原因是无结转结余。</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2024年度一般公共财政拨款基本支出196.66万元。</w:t>
      </w:r>
    </w:p>
    <w:p>
      <w:pPr>
        <w:pStyle w:val="9"/>
        <w:snapToGrid w:val="0"/>
        <w:spacing w:before="0" w:beforeAutospacing="0" w:after="0" w:afterAutospacing="0" w:line="596" w:lineRule="exact"/>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人员经费178.52万元，与2023年度相比，增加21.23万元，增长13.5%，主要原因是我单位人员晋级调资、社保、职业年金等调整基数产生，因此增加相关经费。人员经费用途主要包括五险两金、工资绩效等。</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公用经费18.13万元，与2023年度相比，减少125.33万元，下降87.4%，主要原因是公务接待费和公车运行维护费未单独预算。公用经费用途主要包括公务接待、公车运行、办公开支等。</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2024年度无政府性基金预算财政拨款收支。</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2024年度无国有资本经营预算财政拨款支出。</w:t>
      </w:r>
    </w:p>
    <w:p>
      <w:pPr>
        <w:pStyle w:val="9"/>
        <w:shd w:val="clear" w:color="auto" w:fill="FFFFFF"/>
        <w:spacing w:before="0" w:beforeAutospacing="0" w:after="0" w:afterAutospacing="0" w:line="596" w:lineRule="exact"/>
        <w:ind w:firstLine="641" w:firstLineChars="200"/>
        <w:rPr>
          <w:rFonts w:hint="default" w:ascii="Times New Roman" w:hAnsi="Times New Roman" w:eastAsia="方正仿宋_GBK"/>
          <w:sz w:val="32"/>
          <w:szCs w:val="32"/>
        </w:rPr>
      </w:pPr>
      <w:r>
        <w:rPr>
          <w:rStyle w:val="13"/>
          <w:rFonts w:hint="default" w:ascii="Times New Roman" w:hAnsi="Times New Roman" w:eastAsia="黑体"/>
          <w:sz w:val="32"/>
          <w:szCs w:val="32"/>
          <w:shd w:val="clear" w:color="auto" w:fill="FFFFFF"/>
        </w:rPr>
        <w:t>三、财政拨款“三公”经费情况说明</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2024年度“三公”经费支出共计0.00万元，较年初预算数无增减，主要原因是未单独预算。较上年支出数减少1.00万元，下降100.0%，主要原因是未单独预算。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因公出国（境）费用0.00万元。费用支出较年初预算数无增减，主要原因是无相关支出。较上年支出数无增减，主要原因是无相关支出。</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公务用车购置费0.00万元。费用支出较年初预算数无增减，主要原因是未购置公车。较上年支出数无增减，主要原因是未购置公车。</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公务用车运行维护费0.00万元。费用支出较年初预算数无增减，主要原因是未购置公车。较上年支出数无增减，主要原因是未购置公车。</w:t>
      </w:r>
    </w:p>
    <w:p>
      <w:pPr>
        <w:pStyle w:val="14"/>
        <w:autoSpaceDE w:val="0"/>
        <w:spacing w:line="596" w:lineRule="exact"/>
        <w:ind w:firstLine="640"/>
        <w:rPr>
          <w:rFonts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公务接待费0.00万元。费用支出较年初预算数无增减，主要原因是严格按照预算执行。较上年支出数减少1.00万元，下降100.0%，主要原因是未单独预算。</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2024年度本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人均接待费0元，车均购置费0万元，车均维护费0万元。</w:t>
      </w:r>
    </w:p>
    <w:p>
      <w:pPr>
        <w:pStyle w:val="9"/>
        <w:shd w:val="clear" w:color="auto" w:fill="FFFFFF"/>
        <w:spacing w:before="0" w:beforeAutospacing="0" w:after="0" w:afterAutospacing="0" w:line="596" w:lineRule="exact"/>
        <w:ind w:firstLine="641" w:firstLineChars="200"/>
        <w:rPr>
          <w:rStyle w:val="13"/>
          <w:rFonts w:hint="default" w:ascii="Times New Roman" w:hAnsi="Times New Roman" w:eastAsia="黑体"/>
          <w:sz w:val="32"/>
          <w:szCs w:val="32"/>
          <w:shd w:val="clear" w:color="auto" w:fill="FFFFFF"/>
        </w:rPr>
      </w:pPr>
      <w:r>
        <w:rPr>
          <w:rStyle w:val="13"/>
          <w:rFonts w:hint="default" w:ascii="Times New Roman" w:hAnsi="Times New Roman" w:eastAsia="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1" w:firstLineChars="200"/>
        <w:jc w:val="both"/>
        <w:rPr>
          <w:rFonts w:hint="default" w:ascii="Times New Roman" w:hAnsi="Times New Roman" w:eastAsia="楷体"/>
          <w:b/>
          <w:bCs/>
          <w:sz w:val="32"/>
          <w:szCs w:val="32"/>
          <w:shd w:val="clear" w:color="auto" w:fill="FFFFFF"/>
        </w:rPr>
      </w:pPr>
      <w:r>
        <w:rPr>
          <w:rFonts w:hint="default" w:ascii="Times New Roman" w:hAnsi="Times New Roman" w:eastAsia="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本年度会议费支出0.00万元，与2023年度相比，无增减，主要原因是未单独预算。本年度培训费支出0.51万元，与2023年度相比，减少0.03万元，下降5.6%，主要原因是专技人员减少相关培训支出。本年度差旅费支出9.65</w:t>
      </w:r>
      <w:r>
        <w:rPr>
          <w:rFonts w:hint="default" w:ascii="Times New Roman" w:hAnsi="Times New Roman" w:eastAsia="方正仿宋_GBK"/>
          <w:sz w:val="32"/>
          <w:szCs w:val="32"/>
        </w:rPr>
        <w:t>万元，</w:t>
      </w:r>
      <w:r>
        <w:rPr>
          <w:rFonts w:hint="default" w:ascii="Times New Roman" w:hAnsi="Times New Roman" w:eastAsia="方正仿宋_GBK"/>
          <w:sz w:val="32"/>
          <w:szCs w:val="32"/>
          <w:shd w:val="clear" w:color="auto" w:fill="FFFFFF"/>
        </w:rPr>
        <w:t>与2023年度相比，减少1.93万元，下降16.7%，主要原因是减少相关出差事宜。</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highlight w:val="yellow"/>
        </w:rPr>
      </w:pPr>
      <w:r>
        <w:rPr>
          <w:rFonts w:hint="default" w:ascii="Times New Roman" w:hAnsi="Times New Roman" w:eastAsia="方正仿宋_GBK"/>
          <w:sz w:val="32"/>
          <w:szCs w:val="32"/>
          <w:shd w:val="clear" w:color="auto" w:fill="FFFFFF"/>
        </w:rPr>
        <w:t>按照</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决算列报口径，我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不在机关运行经费统计范围之内。</w:t>
      </w:r>
    </w:p>
    <w:p>
      <w:pPr>
        <w:pStyle w:val="14"/>
        <w:autoSpaceDE w:val="0"/>
        <w:spacing w:line="596" w:lineRule="exact"/>
        <w:ind w:firstLine="643"/>
        <w:rPr>
          <w:rFonts w:ascii="Times New Roman" w:hAnsi="Times New Roman" w:eastAsia="楷体"/>
          <w:b/>
          <w:bCs/>
          <w:sz w:val="32"/>
          <w:szCs w:val="32"/>
          <w:shd w:val="clear" w:color="auto" w:fill="FFFFFF"/>
        </w:rPr>
      </w:pPr>
      <w:r>
        <w:rPr>
          <w:rFonts w:ascii="Times New Roman" w:hAnsi="Times New Roman" w:eastAsia="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截至2024年12月31日，本</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pPr>
        <w:pStyle w:val="14"/>
        <w:autoSpaceDE w:val="0"/>
        <w:spacing w:line="596" w:lineRule="exact"/>
        <w:ind w:firstLine="643"/>
        <w:rPr>
          <w:rFonts w:hint="default" w:ascii="Times New Roman" w:hAnsi="Times New Roman" w:eastAsia="方正仿宋_GBK"/>
          <w:sz w:val="32"/>
          <w:szCs w:val="32"/>
          <w:shd w:val="clear" w:color="auto" w:fill="FFFFFF"/>
        </w:rPr>
      </w:pPr>
      <w:r>
        <w:rPr>
          <w:rFonts w:ascii="Times New Roman" w:hAnsi="Times New Roman" w:eastAsia="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highlight w:val="yellow"/>
        </w:rPr>
      </w:pPr>
      <w:r>
        <w:rPr>
          <w:rFonts w:hint="default" w:ascii="Times New Roman" w:hAnsi="Times New Roman" w:eastAsia="方正仿宋_GBK"/>
          <w:sz w:val="32"/>
          <w:szCs w:val="32"/>
          <w:shd w:val="clear" w:color="auto" w:fill="FFFFFF"/>
        </w:rPr>
        <w:t>2024年度我</w:t>
      </w:r>
      <w:r>
        <w:rPr>
          <w:rFonts w:ascii="Times New Roman" w:hAnsi="Times New Roman" w:eastAsia="方正仿宋_GBK"/>
          <w:sz w:val="32"/>
          <w:szCs w:val="32"/>
          <w:shd w:val="clear" w:color="auto" w:fill="FFFFFF"/>
        </w:rPr>
        <w:t>单位</w:t>
      </w:r>
      <w:r>
        <w:rPr>
          <w:rFonts w:hint="default" w:ascii="Times New Roman" w:hAnsi="Times New Roman" w:eastAsia="方正仿宋_GBK"/>
          <w:sz w:val="32"/>
          <w:szCs w:val="32"/>
          <w:shd w:val="clear" w:color="auto" w:fill="FFFFFF"/>
        </w:rPr>
        <w:t>未发生政府采购事项，无相关经费支出</w:t>
      </w:r>
      <w:r>
        <w:rPr>
          <w:rFonts w:ascii="Times New Roman" w:hAnsi="Times New Roman" w:eastAsia="方正仿宋_GBK"/>
          <w:sz w:val="32"/>
          <w:szCs w:val="32"/>
          <w:shd w:val="clear" w:color="auto" w:fill="FFFFFF"/>
        </w:rPr>
        <w:t>。</w:t>
      </w:r>
    </w:p>
    <w:p>
      <w:pPr>
        <w:pStyle w:val="15"/>
        <w:spacing w:before="0" w:beforeAutospacing="0" w:after="0" w:afterAutospacing="0" w:line="596" w:lineRule="exact"/>
        <w:ind w:firstLine="641" w:firstLineChars="200"/>
        <w:rPr>
          <w:rStyle w:val="13"/>
          <w:rFonts w:ascii="黑体" w:hAnsi="黑体" w:eastAsia="黑体" w:cs="黑体"/>
          <w:sz w:val="32"/>
          <w:szCs w:val="32"/>
          <w:shd w:val="clear" w:color="auto" w:fill="FFFFFF"/>
        </w:rPr>
      </w:pPr>
      <w:r>
        <w:rPr>
          <w:rStyle w:val="13"/>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pPr>
        <w:pStyle w:val="15"/>
        <w:autoSpaceDE w:val="0"/>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我单位无项目支出，未开展绩效评价。</w:t>
      </w:r>
    </w:p>
    <w:p>
      <w:pPr>
        <w:pStyle w:val="15"/>
        <w:autoSpaceDE w:val="0"/>
        <w:spacing w:before="0" w:beforeAutospacing="0" w:after="0" w:afterAutospacing="0" w:line="596" w:lineRule="exact"/>
        <w:ind w:firstLine="641" w:firstLineChars="200"/>
        <w:rPr>
          <w:rFonts w:ascii="楷体" w:hAnsi="楷体" w:eastAsia="楷体" w:cs="楷体"/>
          <w:b/>
          <w:bCs/>
          <w:sz w:val="32"/>
          <w:szCs w:val="32"/>
          <w:shd w:val="clear" w:color="auto" w:fill="FFFFFF"/>
        </w:rPr>
      </w:pPr>
      <w:bookmarkStart w:id="0" w:name="_GoBack"/>
      <w:bookmarkEnd w:id="0"/>
      <w:r>
        <w:rPr>
          <w:rFonts w:hint="eastAsia" w:ascii="楷体" w:hAnsi="楷体" w:eastAsia="楷体" w:cs="楷体"/>
          <w:b/>
          <w:bCs/>
          <w:sz w:val="32"/>
          <w:szCs w:val="32"/>
          <w:shd w:val="clear" w:color="auto" w:fill="FFFFFF"/>
        </w:rPr>
        <w:t>（二）部门绩效评价情况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我单位无项目支出，未开展绩效评价。</w:t>
      </w:r>
    </w:p>
    <w:p>
      <w:pPr>
        <w:pStyle w:val="19"/>
        <w:autoSpaceDE w:val="0"/>
        <w:spacing w:line="596" w:lineRule="exact"/>
        <w:ind w:firstLine="643"/>
        <w:rPr>
          <w:rFonts w:hint="default"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lang w:bidi="ar"/>
        </w:rPr>
        <w:t>（三）财政绩效评价情况</w:t>
      </w:r>
    </w:p>
    <w:p>
      <w:pPr>
        <w:pStyle w:val="19"/>
        <w:autoSpaceDE w:val="0"/>
        <w:spacing w:line="596" w:lineRule="exact"/>
        <w:ind w:firstLine="64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3"/>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1" w:firstLineChars="200"/>
        <w:rPr>
          <w:rFonts w:ascii="方正仿宋_GBK" w:hAnsi="方正仿宋_GBK" w:eastAsia="方正仿宋_GBK" w:cs="方正仿宋_GBK"/>
          <w:sz w:val="32"/>
          <w:szCs w:val="32"/>
        </w:rPr>
      </w:pPr>
      <w:r>
        <w:rPr>
          <w:rStyle w:val="13"/>
          <w:rFonts w:hint="eastAsia" w:ascii="黑体" w:hAnsi="黑体" w:eastAsia="黑体" w:cs="黑体"/>
          <w:sz w:val="32"/>
          <w:szCs w:val="32"/>
          <w:shd w:val="clear" w:color="auto" w:fill="FFFFFF"/>
        </w:rPr>
        <w:t>七、决算公开联系方式及信息反馈渠道</w:t>
      </w:r>
    </w:p>
    <w:p>
      <w:pPr>
        <w:pStyle w:val="15"/>
        <w:spacing w:before="0" w:beforeAutospacing="0" w:after="0" w:afterAutospacing="0" w:line="596"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w:t>
      </w:r>
    </w:p>
    <w:p>
      <w:pPr>
        <w:pStyle w:val="14"/>
        <w:autoSpaceDE w:val="0"/>
        <w:spacing w:line="596" w:lineRule="exact"/>
        <w:ind w:firstLine="640"/>
        <w:jc w:val="both"/>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rPr>
        <w:t xml:space="preserve">汪锐  </w:t>
      </w:r>
      <w:r>
        <w:rPr>
          <w:rFonts w:ascii="Times New Roman" w:hAnsi="Times New Roman" w:eastAsia="方正仿宋_GBK"/>
          <w:sz w:val="32"/>
          <w:szCs w:val="32"/>
          <w:shd w:val="clear" w:color="auto" w:fill="FFFFFF"/>
        </w:rPr>
        <w:t xml:space="preserve"> 023-70701623</w:t>
      </w: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丰都县水土保持站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196.66</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196.66</w:t>
            </w:r>
            <w:r>
              <w:rPr>
                <w:rFonts w:ascii="Times New Roman" w:hAnsi="Times New Roman"/>
                <w:color w:val="000000"/>
                <w:sz w:val="20"/>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29"/>
        <w:gridCol w:w="2918"/>
        <w:gridCol w:w="1581"/>
        <w:gridCol w:w="1448"/>
        <w:gridCol w:w="1256"/>
        <w:gridCol w:w="1436"/>
        <w:gridCol w:w="1460"/>
        <w:gridCol w:w="1293"/>
        <w:gridCol w:w="1349"/>
        <w:gridCol w:w="1333"/>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28"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丰都县水土保持站</w:t>
            </w: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28"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4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6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4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2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8"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2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8"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14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14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89"/>
        <w:gridCol w:w="3604"/>
        <w:gridCol w:w="1839"/>
        <w:gridCol w:w="1762"/>
        <w:gridCol w:w="1621"/>
        <w:gridCol w:w="1557"/>
        <w:gridCol w:w="1692"/>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2"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丰都县水土保持站 </w:t>
            </w: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5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89"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89"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176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16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8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17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1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丰都县水土保持站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24.04</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155.60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196.66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6"/>
        <w:gridCol w:w="4073"/>
        <w:gridCol w:w="3306"/>
        <w:gridCol w:w="3297"/>
        <w:gridCol w:w="3340"/>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丰都县水土保持站</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0"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3"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196.66</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24.04</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16.02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8.02</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8.38</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5.81</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155.60</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2130304</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水利行业业务管理</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155.60</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8.63</w:t>
            </w:r>
            <w:r>
              <w:rPr>
                <w:rFonts w:ascii="Times New Roman" w:hAnsi="Times New Roman"/>
                <w:b/>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8.63</w:t>
            </w:r>
            <w:r>
              <w:rPr>
                <w:rFonts w:ascii="Times New Roman" w:hAnsi="Times New Roman"/>
                <w:color w:val="000000"/>
                <w:sz w:val="20"/>
              </w:rPr>
              <w:t xml:space="preserve"> </w:t>
            </w:r>
          </w:p>
        </w:tc>
        <w:tc>
          <w:tcPr>
            <w:tcW w:w="334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2"/>
        <w:gridCol w:w="2810"/>
        <w:gridCol w:w="1540"/>
        <w:gridCol w:w="872"/>
        <w:gridCol w:w="2032"/>
        <w:gridCol w:w="1417"/>
        <w:gridCol w:w="872"/>
        <w:gridCol w:w="3462"/>
        <w:gridCol w:w="1497"/>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6"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丰都县水土保持站</w:t>
            </w: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6"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17"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87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46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2"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45.11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91.17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6.36</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0.70</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8.63</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0.19</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1.51</w:t>
            </w: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4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178.52</w:t>
            </w:r>
            <w:r>
              <w:rPr>
                <w:rFonts w:ascii="Times New Roman" w:hAnsi="Times New Roman"/>
                <w:color w:val="000000"/>
                <w:sz w:val="18"/>
              </w:rPr>
              <w:t xml:space="preserve"> </w:t>
            </w:r>
          </w:p>
        </w:tc>
        <w:tc>
          <w:tcPr>
            <w:tcW w:w="8655"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18.13</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丰都县水土保持站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丰都县水土保持站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0" w:type="dxa"/>
        <w:tblInd w:w="0" w:type="dxa"/>
        <w:tblLayout w:type="fixed"/>
        <w:tblCellMar>
          <w:top w:w="0" w:type="dxa"/>
          <w:left w:w="170" w:type="dxa"/>
          <w:bottom w:w="0" w:type="dxa"/>
          <w:right w:w="170" w:type="dxa"/>
        </w:tblCellMar>
      </w:tblPr>
      <w:tblGrid>
        <w:gridCol w:w="3176"/>
        <w:gridCol w:w="2416"/>
        <w:gridCol w:w="2374"/>
        <w:gridCol w:w="3671"/>
        <w:gridCol w:w="2493"/>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6"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4"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2"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丰都县水土保持站</w:t>
            </w:r>
          </w:p>
        </w:tc>
        <w:tc>
          <w:tcPr>
            <w:tcW w:w="23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93"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0.51</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9.65</w:t>
            </w:r>
            <w:r>
              <w:rPr>
                <w:rFonts w:ascii="Times New Roman" w:hAnsi="Times New Roman"/>
                <w:color w:val="000000"/>
                <w:sz w:val="18"/>
              </w:rPr>
              <w:t xml:space="preserve"> </w:t>
            </w:r>
          </w:p>
        </w:tc>
        <w:tc>
          <w:tcPr>
            <w:tcW w:w="367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49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 w:name="方正小标宋_GBK">
    <w:altName w:val="汉仪书宋二KW"/>
    <w:panose1 w:val="03000509000000000000"/>
    <w:charset w:val="86"/>
    <w:family w:val="script"/>
    <w:pitch w:val="default"/>
    <w:sig w:usb0="00000000" w:usb1="00000000" w:usb2="00000010" w:usb3="00000000" w:csb0="00040000" w:csb1="00000000"/>
  </w:font>
  <w:font w:name="方正仿宋_GBK">
    <w:altName w:val="汉仪仿宋KW"/>
    <w:panose1 w:val="03000509000000000000"/>
    <w:charset w:val="86"/>
    <w:family w:val="script"/>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仿宋_GB2312">
    <w:altName w:val="汉仪仿宋KW"/>
    <w:panose1 w:val="00000000000000000000"/>
    <w:charset w:val="86"/>
    <w:family w:val="modern"/>
    <w:pitch w:val="default"/>
    <w:sig w:usb0="00000000" w:usb1="00000000" w:usb2="00000000" w:usb3="00000000" w:csb0="00040000" w:csb1="00000000"/>
  </w:font>
  <w:font w:name="汉仪楷体KW">
    <w:panose1 w:val="00020600040101010101"/>
    <w:charset w:val="86"/>
    <w:family w:val="auto"/>
    <w:pitch w:val="default"/>
    <w:sig w:usb0="A00002BF" w:usb1="18EF7CFA" w:usb2="00000016" w:usb3="00000000" w:csb0="00040000" w:csb1="00000000"/>
  </w:font>
  <w:font w:name="汉仪仿宋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- 7 -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2056" o:spid="_x0000_s205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w:r>
    <w:r>
      <w:rPr>
        <w:rFonts w:hint="default"/>
      </w:rPr>
      <w:pict>
        <v:shape id="_x0000_s2055" o:spid="_x0000_s2055"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HorizontalSpacing w:val="120"/>
  <w:drawingGridVerticalSpacing w:val="163"/>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8E1700"/>
    <w:rsid w:val="00984C6A"/>
    <w:rsid w:val="00994AF7"/>
    <w:rsid w:val="009B67B8"/>
    <w:rsid w:val="009C14C9"/>
    <w:rsid w:val="009D2B67"/>
    <w:rsid w:val="009E1452"/>
    <w:rsid w:val="00A2217D"/>
    <w:rsid w:val="00A566F9"/>
    <w:rsid w:val="00AF2751"/>
    <w:rsid w:val="00B03CCD"/>
    <w:rsid w:val="00BE2B89"/>
    <w:rsid w:val="00BF0D89"/>
    <w:rsid w:val="00C10E9E"/>
    <w:rsid w:val="00C20C3E"/>
    <w:rsid w:val="00C5163E"/>
    <w:rsid w:val="00CB0848"/>
    <w:rsid w:val="00CF2ACF"/>
    <w:rsid w:val="00D03AAF"/>
    <w:rsid w:val="00DD0539"/>
    <w:rsid w:val="00E07662"/>
    <w:rsid w:val="00E368E9"/>
    <w:rsid w:val="00EE1E33"/>
    <w:rsid w:val="00F73F90"/>
    <w:rsid w:val="00FB4B3B"/>
    <w:rsid w:val="0100494A"/>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886564"/>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721D09"/>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BBFFE55C"/>
    <w:rsid w:val="F9D3250F"/>
    <w:rsid w:val="FFEEE1F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6"/>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Micorosoft</Company>
  <Pages>1</Pages>
  <Words>1956</Words>
  <Characters>11153</Characters>
  <Lines>92</Lines>
  <Paragraphs>26</Paragraphs>
  <TotalTime>0</TotalTime>
  <ScaleCrop>false</ScaleCrop>
  <LinksUpToDate>false</LinksUpToDate>
  <CharactersWithSpaces>13083</CharactersWithSpaces>
  <Application>WWO_openplatform_20210902171309-902389ccc8</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Micorosoft</cp:lastModifiedBy>
  <dcterms:modified xsi:type="dcterms:W3CDTF">2025-09-16T09:29:47Z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BB46EABDBB2749749395447164B066B3_12</vt:lpwstr>
  </property>
  <property fmtid="{D5CDD505-2E9C-101B-9397-08002B2CF9AE}" pid="4" name="KSOTemplateDocerSaveRecord">
    <vt:lpwstr>eyJoZGlkIjoiOTRkMzRlMDE5ZDQyNjdiYWY3MjBhMzE1NzZhMDk5YjMiLCJ1c2VySWQiOiIzMjAwODgxNDkifQ==</vt:lpwstr>
  </property>
</Properties>
</file>