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丰都县水利工程服务中心</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楷体"/>
          <w:sz w:val="32"/>
          <w:szCs w:val="32"/>
          <w:shd w:val="clear" w:color="auto" w:fill="FFFFFF"/>
        </w:rPr>
        <w:t>（一）职能职责</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（1）承担水利工程项目前期技术服务工作；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（2）承担水利工程、涉水工程建设的质量、安全技术服务工作；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（3）承担水利工程、涉水工程的完工验收或竣工验收服务工作；</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（4）承担水利工程建设项目稽察服务工作；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（5）承办上级交办的其他相关工作。</w:t>
      </w:r>
    </w:p>
    <w:p>
      <w:pPr>
        <w:pStyle w:val="9"/>
        <w:shd w:val="clear" w:color="auto" w:fill="FFFFFF"/>
        <w:spacing w:before="0" w:beforeAutospacing="0" w:after="0" w:afterAutospacing="0" w:line="596" w:lineRule="exact"/>
        <w:ind w:firstLine="641" w:firstLineChars="200"/>
        <w:rPr>
          <w:rFonts w:hint="default" w:ascii="Times New Roman" w:hAnsi="Times New Roman" w:eastAsia="楷体"/>
          <w:sz w:val="32"/>
          <w:szCs w:val="32"/>
        </w:rPr>
      </w:pPr>
      <w:r>
        <w:rPr>
          <w:rStyle w:val="13"/>
          <w:rFonts w:hint="default" w:ascii="Times New Roman" w:hAnsi="Times New Roman" w:eastAsia="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我单位为按副科级管理的财政全额拨款公益一类事业单位，无内设机构。</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二、</w:t>
      </w:r>
      <w:r>
        <w:rPr>
          <w:rStyle w:val="13"/>
          <w:rFonts w:ascii="Times New Roman" w:hAnsi="Times New Roman" w:eastAsia="黑体"/>
          <w:sz w:val="32"/>
          <w:szCs w:val="32"/>
          <w:shd w:val="clear" w:color="auto" w:fill="FFFFFF"/>
        </w:rPr>
        <w:t>单位</w:t>
      </w:r>
      <w:r>
        <w:rPr>
          <w:rStyle w:val="13"/>
          <w:rFonts w:hint="default" w:ascii="Times New Roman" w:hAnsi="Times New Roman" w:eastAsia="黑体"/>
          <w:sz w:val="32"/>
          <w:szCs w:val="32"/>
          <w:shd w:val="clear" w:color="auto" w:fill="FFFFFF"/>
        </w:rPr>
        <w:t>决算收支情况说明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2024年度收、支总计均为340.59万元。收、支与2023年度相比，增加25.51万元，增长8.1%，</w:t>
      </w:r>
      <w:r>
        <w:rPr>
          <w:rFonts w:hint="default" w:ascii="Times New Roman" w:hAnsi="Times New Roman" w:eastAsia="仿宋_GB2312"/>
          <w:sz w:val="32"/>
          <w:szCs w:val="32"/>
        </w:rPr>
        <w:t>主要原因是我单位人员调资晋级等增加人员经费相关预算。</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2024年度收入合计340.59万元，与2023年度相比，增加25.51万元，增长8.1%，</w:t>
      </w:r>
      <w:r>
        <w:rPr>
          <w:rFonts w:hint="default" w:ascii="Times New Roman" w:hAnsi="Times New Roman" w:eastAsia="仿宋_GB2312"/>
          <w:sz w:val="32"/>
          <w:szCs w:val="32"/>
        </w:rPr>
        <w:t>主要原因是我单位人员调资晋级等增加人员经费相关预算。</w:t>
      </w:r>
      <w:r>
        <w:rPr>
          <w:rFonts w:hint="default" w:ascii="Times New Roman" w:hAnsi="Times New Roman" w:eastAsia="方正仿宋_GBK"/>
          <w:sz w:val="32"/>
          <w:szCs w:val="32"/>
          <w:shd w:val="clear" w:color="auto" w:fill="FFFFFF"/>
        </w:rPr>
        <w:t>其中：财政拨款收入340.59万元，占100.0%；事业收入0.00万元，占0.0%；经营收入0.00万元，占0.0%；其他收入0.00万元，占0.0%。此外，使用非财政拨款结余（含专用结余）0.00万元，年初结转和结余0.00万元。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2024年度支出合计340.59万元，与2023年度相比，增加25.51万元，增长8.1%，</w:t>
      </w:r>
      <w:r>
        <w:rPr>
          <w:rFonts w:hint="default" w:ascii="Times New Roman" w:hAnsi="Times New Roman" w:eastAsia="仿宋_GB2312"/>
          <w:sz w:val="32"/>
          <w:szCs w:val="32"/>
        </w:rPr>
        <w:t>主要原因是我单位人员调资晋级等增加人员经费相关预算。</w:t>
      </w:r>
      <w:r>
        <w:rPr>
          <w:rFonts w:hint="default" w:ascii="Times New Roman" w:hAnsi="Times New Roman" w:eastAsia="方正仿宋_GBK"/>
          <w:sz w:val="32"/>
          <w:szCs w:val="32"/>
          <w:shd w:val="clear" w:color="auto" w:fill="FFFFFF"/>
        </w:rPr>
        <w:t>其中：基本支出340.59万元，占100.0%；项目支出0.00万元，占0.0%；经营支出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2024年度财政拨款收、支总计均为340.59万元。与2023年度相比，财政拨款收、支总计各增加25.51万元，增长8.1%。</w:t>
      </w:r>
      <w:r>
        <w:rPr>
          <w:rFonts w:hint="default" w:ascii="Times New Roman" w:hAnsi="Times New Roman" w:eastAsia="仿宋_GB2312"/>
          <w:sz w:val="32"/>
          <w:szCs w:val="32"/>
        </w:rPr>
        <w:t>主要原因是我单位人员调资晋级等增加人员经费相关预算。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2024年度一般公共预算财政拨款收入340.59万元，与2023年度相比，增加25.51万元，增长8.1%。</w:t>
      </w:r>
      <w:r>
        <w:rPr>
          <w:rFonts w:hint="default" w:ascii="Times New Roman" w:hAnsi="Times New Roman" w:eastAsia="仿宋_GB2312"/>
          <w:sz w:val="32"/>
          <w:szCs w:val="32"/>
        </w:rPr>
        <w:t>主要原因是我单位人员调资晋级等增加人员经费相关预算。</w:t>
      </w:r>
      <w:r>
        <w:rPr>
          <w:rFonts w:hint="default" w:ascii="Times New Roman" w:hAnsi="Times New Roman" w:eastAsia="方正仿宋_GBK"/>
          <w:sz w:val="32"/>
          <w:szCs w:val="32"/>
          <w:shd w:val="clear" w:color="auto" w:fill="FFFFFF"/>
        </w:rPr>
        <w:t>较年初预算数减少2.40万元，下降0.7%。</w:t>
      </w:r>
      <w:r>
        <w:rPr>
          <w:rFonts w:hint="default" w:ascii="Times New Roman" w:hAnsi="Times New Roman" w:eastAsia="仿宋_GB2312"/>
          <w:sz w:val="32"/>
          <w:szCs w:val="32"/>
        </w:rPr>
        <w:t>主要原因是本单位2024年财务未单独预算公务接待费用。</w:t>
      </w:r>
      <w:r>
        <w:rPr>
          <w:rFonts w:hint="default" w:ascii="Times New Roman" w:hAnsi="Times New Roman" w:eastAsia="方正仿宋_GBK"/>
          <w:sz w:val="32"/>
          <w:szCs w:val="32"/>
          <w:shd w:val="clear" w:color="auto" w:fill="FFFFFF"/>
        </w:rPr>
        <w:t>此外，年初财政拨款结转和结余0.00万元。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2024年度一般公共预算财政拨款支出340.59万元，与2023年度相比，增加25.51万元，增长8.1%。</w:t>
      </w:r>
      <w:r>
        <w:rPr>
          <w:rFonts w:hint="default" w:ascii="Times New Roman" w:hAnsi="Times New Roman" w:eastAsia="仿宋_GB2312"/>
          <w:sz w:val="32"/>
          <w:szCs w:val="32"/>
        </w:rPr>
        <w:t>主要原因是我单位人员调资晋级等增加人员经费相关预算。</w:t>
      </w:r>
      <w:r>
        <w:rPr>
          <w:rFonts w:hint="default" w:ascii="Times New Roman" w:hAnsi="Times New Roman" w:eastAsia="方正仿宋_GBK"/>
          <w:sz w:val="32"/>
          <w:szCs w:val="32"/>
          <w:shd w:val="clear" w:color="auto" w:fill="FFFFFF"/>
        </w:rPr>
        <w:t>较年初预算数减少2.40万元，下降0.7%。</w:t>
      </w:r>
      <w:r>
        <w:rPr>
          <w:rFonts w:hint="default" w:ascii="Times New Roman" w:hAnsi="Times New Roman" w:eastAsia="仿宋_GB2312"/>
          <w:sz w:val="32"/>
          <w:szCs w:val="32"/>
        </w:rPr>
        <w:t>主要原因是本单位2024年财务未单独预算公务接待费用。</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（1）社会保障和就业支出91.79万元，占27.0%，较年初预算数增加11.36万元，增长14.1%，</w:t>
      </w:r>
      <w:r>
        <w:rPr>
          <w:rFonts w:hint="default" w:ascii="Times New Roman" w:hAnsi="Times New Roman" w:eastAsia="仿宋_GB2312"/>
          <w:sz w:val="32"/>
          <w:szCs w:val="32"/>
        </w:rPr>
        <w:t>主要原因是人员调资，重新核定养老保险、职业年金缴费基数，社会保障和就业支出增加。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（2）卫生健康支出18.27万元，占5.4%，较年初预算数减少0.96万元，下降5.0%，</w:t>
      </w:r>
      <w:r>
        <w:rPr>
          <w:rFonts w:hint="default" w:ascii="Times New Roman" w:hAnsi="Times New Roman" w:eastAsia="仿宋_GB2312"/>
          <w:sz w:val="32"/>
          <w:szCs w:val="32"/>
        </w:rPr>
        <w:t>主要原因是重新核定养老保险、职业年金缴费基数，相关支出减少。</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（3）农林水支出217.55万元，占63.9%，较年初预算数减少11.63万元，下降5.1%，</w:t>
      </w:r>
      <w:r>
        <w:rPr>
          <w:rFonts w:hint="default" w:ascii="Times New Roman" w:hAnsi="Times New Roman" w:eastAsia="仿宋_GB2312"/>
          <w:sz w:val="32"/>
          <w:szCs w:val="32"/>
        </w:rPr>
        <w:t>主要原因是重新核定养老保险、职业年金缴费基数，相关支出减少。</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12.98万元，占3.8%，较年初预算数减少1.17万元，下降8.3%，</w:t>
      </w:r>
      <w:r>
        <w:rPr>
          <w:rFonts w:hint="default" w:ascii="Times New Roman" w:hAnsi="Times New Roman" w:eastAsia="仿宋_GB2312"/>
          <w:sz w:val="32"/>
          <w:szCs w:val="32"/>
        </w:rPr>
        <w:t>主要原因是人员调资，重新核定住房公积金缴费基数，社会保障支出减少。</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2024年度一般公共财政拨款基本支出340.59万元。</w:t>
      </w:r>
    </w:p>
    <w:p>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人员经费311.47万元，与2023年度相比，增加25.37万元，增长8.9%，主要原因是我单位人员晋级调资、社保、职业年金等调整基数产生，因此增加相关经费。人员经费用途主要包括五险两金、工资绩效等。</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公用经费29.11万元，与2023年度相比，增加1.47万元，增长5.3%，主要原因是人员增加，增加相关经费。公用经费用途主要包括公务接待、公车运行、办公开支等。</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黑体"/>
          <w:sz w:val="32"/>
          <w:szCs w:val="32"/>
          <w:shd w:val="clear" w:color="auto" w:fill="FFFFFF"/>
        </w:rPr>
        <w:t>三、财政拨款“三公”经费情况说明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2024年度“三公”经费支出共计0.00万元，较年初预算数无增减，主要原因是严格按照预算执行。较上年支出数减少1.00万元，下降100.0%，主要原因是未单独预算。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因公出国（境）费用0.00万元。费用支出较年初预算数无增减，主要原因是无相关支出。较上年支出数无增减，主要原因是无相关支出。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公务用车购置费0.00万元。费用支出较年初预算数无增减，主要原因是未购置公车。较上年支出数无增减，主要原因是未购置公车。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公务用车运行维护费0.00万元。费用支出较年初预算数无增减，主要原因是未购置公车。较上年支出数无增减，主要原因是未购置公车。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公务接待费0.00万元。费用支出较年初预算数无增减，主要原因是严格按照预算执行。较上年支出数减少1.00万元，下降100.0%，主要原因是未单独预算。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人均接待费0元，车均购置费0万元，车均维护费0万元。</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本年度会议费支出0.00万元，与2023年度相比，无增减，主要原因是未单独预算。本年度培训费支出0.55万元，与2023年度相比，增加0.19万元，增长52.8%，主要原因是新进专技人员继续教育培训费支出。本年度差旅费支出12.65</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与2023年度相比，减少0.76万元，下降5.7%，主要原因是减少相关出差事项。</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按照</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未发生政府采购事项，无相关经费支出</w:t>
      </w:r>
      <w:r>
        <w:rPr>
          <w:rFonts w:hint="eastAsia" w:ascii="Times New Roman" w:hAnsi="Times New Roman" w:eastAsia="方正仿宋_GBK"/>
          <w:sz w:val="32"/>
          <w:szCs w:val="32"/>
          <w:shd w:val="clear" w:color="auto" w:fill="FFFFFF"/>
        </w:rPr>
        <w:t>。</w:t>
      </w:r>
    </w:p>
    <w:p>
      <w:pPr>
        <w:pStyle w:val="15"/>
        <w:spacing w:before="0" w:beforeAutospacing="0" w:after="0" w:afterAutospacing="0" w:line="596" w:lineRule="exact"/>
        <w:ind w:firstLine="641"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我单位无项目支出，未开展绩效评价。</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我单位无项目支出，未开展绩效评价。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丰都县水利工程服务中心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340.59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340.59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340.59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340.59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丰都县水利工程服务中心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340.59</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340.59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丰都县水利工程服务中心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340.59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340.59</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丰都县水利工程服务中心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丰都县水利工程服务中心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340.59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丰都县水利工程服务中心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311.47</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丰都县水利工程服务中心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丰都县水利工程服务中心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丰都县水利工程服务中心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bookmarkStart w:id="0" w:name="_GoBack"/>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024CF"/>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272A3"/>
    <w:rsid w:val="00F42847"/>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DA1405"/>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AD6DCE"/>
    <w:rsid w:val="27167136"/>
    <w:rsid w:val="271B442C"/>
    <w:rsid w:val="27B23302"/>
    <w:rsid w:val="27EE52E1"/>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0B400E"/>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1980</Words>
  <Characters>11286</Characters>
  <Lines>94</Lines>
  <Paragraphs>26</Paragraphs>
  <TotalTime>4</TotalTime>
  <ScaleCrop>false</ScaleCrop>
  <LinksUpToDate>false</LinksUpToDate>
  <CharactersWithSpaces>13240</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2025-09-16T09:30:34Z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