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丰都县河库综合事务中心</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楷体"/>
          <w:sz w:val="32"/>
          <w:szCs w:val="32"/>
          <w:shd w:val="clear" w:color="auto" w:fill="FFFFFF"/>
        </w:rPr>
        <w:t>（一）职能职责</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（1）承担丰都县河长办公室交办的日常事务工作。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（2）承担河道治理、河道采砂、河道行洪论证、河道内建筑工程论证等技术服务工作。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承担水库大坝注册登记、安全鉴定、复核、监测和水库运行调度等技术服务工作；负责灌区续建配套与节水改造、高效节水灌溉等技术服务工作；负责农村水能资源开发、农村水电增效扩容改造等技术服务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（4）承担水旱灾害防御技术服务工作，负责水旱灾害防御物资维护和组织调运，参与洪水、干旱、水利工程险情等灾害的抢险救援。</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（5）承担水文监测、水文监测资料汇交等水文技术服务工作。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（6）承担水利信息化技术服务工作、数字水利建设工作。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（7）承办上级交办的其他相关工作。</w:t>
      </w:r>
    </w:p>
    <w:p>
      <w:pPr>
        <w:pStyle w:val="9"/>
        <w:shd w:val="clear" w:color="auto" w:fill="FFFFFF"/>
        <w:spacing w:before="0" w:beforeAutospacing="0" w:after="0" w:afterAutospacing="0" w:line="596" w:lineRule="exact"/>
        <w:ind w:firstLine="641" w:firstLineChars="200"/>
        <w:rPr>
          <w:rFonts w:hint="default" w:ascii="Times New Roman" w:hAnsi="Times New Roman" w:eastAsia="楷体"/>
          <w:sz w:val="32"/>
          <w:szCs w:val="32"/>
        </w:rPr>
      </w:pPr>
      <w:r>
        <w:rPr>
          <w:rStyle w:val="13"/>
          <w:rFonts w:hint="default" w:ascii="Times New Roman" w:hAnsi="Times New Roman" w:eastAsia="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我单位为按正科级管理的财政全额拨款公益一类事业单位，内设5个机构：综合事务科、岸线督察科、政策技术科、水文监测科、数字信息科。</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二、</w:t>
      </w:r>
      <w:r>
        <w:rPr>
          <w:rStyle w:val="13"/>
          <w:rFonts w:ascii="Times New Roman" w:hAnsi="Times New Roman" w:eastAsia="黑体"/>
          <w:sz w:val="32"/>
          <w:szCs w:val="32"/>
          <w:shd w:val="clear" w:color="auto" w:fill="FFFFFF"/>
        </w:rPr>
        <w:t>单位</w:t>
      </w:r>
      <w:r>
        <w:rPr>
          <w:rStyle w:val="13"/>
          <w:rFonts w:hint="default" w:ascii="Times New Roman" w:hAnsi="Times New Roman" w:eastAsia="黑体"/>
          <w:sz w:val="32"/>
          <w:szCs w:val="32"/>
          <w:shd w:val="clear" w:color="auto" w:fill="FFFFFF"/>
        </w:rPr>
        <w:t>决算收支情况说明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shd w:val="clear" w:color="auto" w:fill="FFFFFF"/>
          <w:woUserID w:val="1"/>
        </w:rPr>
      </w:pPr>
      <w:r>
        <w:rPr>
          <w:rFonts w:hint="default" w:ascii="Times New Roman" w:hAnsi="Times New Roman" w:eastAsia="方正仿宋_GBK"/>
          <w:sz w:val="32"/>
          <w:szCs w:val="32"/>
          <w:shd w:val="clear" w:color="auto" w:fill="FFFFFF"/>
        </w:rPr>
        <w:t>2024年度收、支总计均为418.15万元。收、支与2023年度相比，增加104.08万元，增长33.1%</w:t>
      </w:r>
      <w:r>
        <w:rPr>
          <w:rFonts w:hint="default" w:ascii="Times New Roman" w:hAnsi="Times New Roman" w:eastAsia="方正仿宋_GBK"/>
          <w:sz w:val="32"/>
          <w:szCs w:val="32"/>
          <w:highlight w:val="none"/>
          <w:shd w:val="clear" w:color="auto" w:fill="FFFFFF"/>
        </w:rPr>
        <w:t>，</w:t>
      </w:r>
      <w:r>
        <w:rPr>
          <w:rFonts w:hint="default" w:ascii="Times New Roman" w:hAnsi="Times New Roman" w:eastAsia="仿宋_GB2312"/>
          <w:sz w:val="32"/>
          <w:szCs w:val="32"/>
          <w:highlight w:val="none"/>
        </w:rPr>
        <w:t>主要原因是我单位人员</w:t>
      </w:r>
      <w:r>
        <w:rPr>
          <w:rFonts w:hint="default" w:ascii="Times New Roman" w:hAnsi="Times New Roman" w:eastAsia="仿宋_GB2312"/>
          <w:sz w:val="32"/>
          <w:szCs w:val="32"/>
          <w:highlight w:val="none"/>
          <w:woUserID w:val="1"/>
        </w:rPr>
        <w:t>增加、</w:t>
      </w:r>
      <w:r>
        <w:rPr>
          <w:rFonts w:hint="default" w:ascii="Times New Roman" w:hAnsi="Times New Roman" w:eastAsia="仿宋_GB2312"/>
          <w:sz w:val="32"/>
          <w:szCs w:val="32"/>
          <w:highlight w:val="none"/>
        </w:rPr>
        <w:t>晋级调资</w:t>
      </w:r>
      <w:r>
        <w:rPr>
          <w:rFonts w:hint="default" w:ascii="Times New Roman" w:hAnsi="Times New Roman" w:eastAsia="仿宋_GB2312"/>
          <w:sz w:val="32"/>
          <w:szCs w:val="32"/>
          <w:highlight w:val="none"/>
          <w:woUserID w:val="1"/>
        </w:rPr>
        <w:t>等，增加</w:t>
      </w:r>
      <w:r>
        <w:rPr>
          <w:rFonts w:hint="default" w:ascii="Times New Roman" w:hAnsi="Times New Roman" w:eastAsia="仿宋_GB2312"/>
          <w:sz w:val="32"/>
          <w:szCs w:val="32"/>
          <w:highlight w:val="none"/>
        </w:rPr>
        <w:t>社保、职业年金等</w:t>
      </w:r>
      <w:r>
        <w:rPr>
          <w:rFonts w:hint="default" w:ascii="Times New Roman" w:hAnsi="Times New Roman" w:eastAsia="仿宋_GB2312"/>
          <w:sz w:val="32"/>
          <w:szCs w:val="32"/>
          <w:highlight w:val="none"/>
          <w:woUserID w:val="1"/>
        </w:rPr>
        <w:t>相关经费。</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方正仿宋_GBK"/>
          <w:sz w:val="32"/>
          <w:szCs w:val="32"/>
          <w:highlight w:val="none"/>
          <w:shd w:val="clear" w:color="auto" w:fill="FFFFFF"/>
          <w:woUserID w:val="1"/>
        </w:rPr>
      </w:pPr>
      <w:r>
        <w:rPr>
          <w:rStyle w:val="13"/>
          <w:rFonts w:hint="default" w:ascii="Times New Roman" w:hAnsi="Times New Roman" w:eastAsia="方正仿宋_GBK"/>
          <w:sz w:val="32"/>
          <w:szCs w:val="32"/>
          <w:highlight w:val="none"/>
          <w:shd w:val="clear" w:color="auto" w:fill="FFFFFF"/>
        </w:rPr>
        <w:t>1.收入情况。</w:t>
      </w:r>
      <w:r>
        <w:rPr>
          <w:rFonts w:hint="default" w:ascii="Times New Roman" w:hAnsi="Times New Roman" w:eastAsia="方正仿宋_GBK"/>
          <w:sz w:val="32"/>
          <w:szCs w:val="32"/>
          <w:highlight w:val="none"/>
          <w:shd w:val="clear" w:color="auto" w:fill="FFFFFF"/>
        </w:rPr>
        <w:t>2024年度收入合计418.15万元，与2023年度相比，增加104.08万元，增长33.1%，</w:t>
      </w:r>
      <w:r>
        <w:rPr>
          <w:rFonts w:hint="default" w:ascii="Times New Roman" w:hAnsi="Times New Roman" w:eastAsia="仿宋_GB2312"/>
          <w:sz w:val="32"/>
          <w:szCs w:val="32"/>
          <w:highlight w:val="none"/>
          <w:woUserID w:val="1"/>
        </w:rPr>
        <w:t>主要原因是我单位人员增加、晋级调资等，增加社保、职业年金等相关经费。</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其中：财政拨款收入418.15万元，占100.0%；事业收入0.00万元，占0.0%；经营收入0.00万元，占0.0%；其他收入0.00万元，占0.0%。此外，使用非财政拨款结余（含专用结余）0.00万元，年初结转和结余0.00万元。</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方正仿宋_GBK"/>
          <w:sz w:val="32"/>
          <w:szCs w:val="32"/>
          <w:highlight w:val="none"/>
          <w:shd w:val="clear" w:color="auto" w:fill="FFFFFF"/>
          <w:woUserID w:val="1"/>
        </w:rPr>
      </w:pPr>
      <w:r>
        <w:rPr>
          <w:rStyle w:val="13"/>
          <w:rFonts w:hint="default" w:ascii="Times New Roman" w:hAnsi="Times New Roman" w:eastAsia="方正仿宋_GBK"/>
          <w:sz w:val="32"/>
          <w:szCs w:val="32"/>
          <w:highlight w:val="none"/>
          <w:shd w:val="clear" w:color="auto" w:fill="FFFFFF"/>
        </w:rPr>
        <w:t>2.支出情况。</w:t>
      </w:r>
      <w:r>
        <w:rPr>
          <w:rFonts w:hint="default" w:ascii="Times New Roman" w:hAnsi="Times New Roman" w:eastAsia="方正仿宋_GBK"/>
          <w:sz w:val="32"/>
          <w:szCs w:val="32"/>
          <w:highlight w:val="none"/>
          <w:shd w:val="clear" w:color="auto" w:fill="FFFFFF"/>
        </w:rPr>
        <w:t>2024年度支出合计418.15万元，与2023年度相比，增加104.08万元，增长33.1%，</w:t>
      </w:r>
      <w:r>
        <w:rPr>
          <w:rFonts w:hint="default" w:ascii="Times New Roman" w:hAnsi="Times New Roman" w:eastAsia="仿宋_GB2312"/>
          <w:sz w:val="32"/>
          <w:szCs w:val="32"/>
          <w:highlight w:val="none"/>
          <w:woUserID w:val="1"/>
        </w:rPr>
        <w:t>主要原因是我单位人员增加、晋级调资等，增加社保、职业年金等相关经费。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其中：基本支出418.15万元，占100.0%；项目支出0.00万元，占0.0%；经营支出</w:t>
      </w:r>
      <w:r>
        <w:rPr>
          <w:rFonts w:hint="default" w:ascii="Times New Roman" w:hAnsi="Times New Roman" w:eastAsia="方正仿宋_GBK"/>
          <w:sz w:val="32"/>
          <w:szCs w:val="32"/>
          <w:highlight w:val="none"/>
        </w:rPr>
        <w:t>0.00</w:t>
      </w:r>
      <w:r>
        <w:rPr>
          <w:rFonts w:hint="default" w:ascii="Times New Roman" w:hAnsi="Times New Roman" w:eastAsia="方正仿宋_GBK"/>
          <w:sz w:val="32"/>
          <w:szCs w:val="32"/>
          <w:highlight w:val="none"/>
          <w:shd w:val="clear" w:color="auto" w:fill="FFFFFF"/>
        </w:rPr>
        <w:t>万元，占0.0%。此外，结余分配0.00万元。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highlight w:val="none"/>
        </w:rPr>
      </w:pPr>
      <w:r>
        <w:rPr>
          <w:rStyle w:val="13"/>
          <w:rFonts w:hint="default" w:ascii="Times New Roman" w:hAnsi="Times New Roman" w:eastAsia="方正仿宋_GBK"/>
          <w:sz w:val="32"/>
          <w:szCs w:val="32"/>
          <w:highlight w:val="none"/>
          <w:shd w:val="clear" w:color="auto" w:fill="FFFFFF"/>
        </w:rPr>
        <w:t>3.结转结余情况。</w:t>
      </w:r>
      <w:r>
        <w:rPr>
          <w:rFonts w:hint="default" w:ascii="Times New Roman" w:hAnsi="Times New Roman" w:eastAsia="方正仿宋_GBK"/>
          <w:sz w:val="32"/>
          <w:szCs w:val="32"/>
          <w:highlight w:val="none"/>
          <w:shd w:val="clear" w:color="auto" w:fill="FFFFFF"/>
        </w:rPr>
        <w:t>2024年度年末结转和结余0.00万元，与2023年度相比，无增减，主要原因是无结转结余。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highlight w:val="none"/>
          <w:shd w:val="clear" w:color="auto" w:fill="FFFFFF"/>
        </w:rPr>
      </w:pPr>
      <w:r>
        <w:rPr>
          <w:rFonts w:ascii="Times New Roman" w:hAnsi="Times New Roman" w:eastAsia="楷体"/>
          <w:b/>
          <w:bCs/>
          <w:sz w:val="32"/>
          <w:szCs w:val="32"/>
          <w:highlight w:val="none"/>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shd w:val="clear" w:color="auto" w:fill="FFFFFF"/>
          <w:woUserID w:val="1"/>
        </w:rPr>
      </w:pPr>
      <w:r>
        <w:rPr>
          <w:rFonts w:hint="default" w:ascii="Times New Roman" w:hAnsi="Times New Roman" w:eastAsia="方正仿宋_GBK"/>
          <w:sz w:val="32"/>
          <w:szCs w:val="32"/>
          <w:highlight w:val="none"/>
          <w:shd w:val="clear" w:color="auto" w:fill="FFFFFF"/>
        </w:rPr>
        <w:t>2024年度财政拨款收、支总计均为418.15万元。与2023年度相比，财政拨款收、支总计各增加104.08万元，增长33.1%。</w:t>
      </w:r>
      <w:r>
        <w:rPr>
          <w:rFonts w:hint="default" w:ascii="Times New Roman" w:hAnsi="Times New Roman" w:eastAsia="仿宋_GB2312"/>
          <w:sz w:val="32"/>
          <w:szCs w:val="32"/>
          <w:highlight w:val="none"/>
          <w:woUserID w:val="1"/>
        </w:rPr>
        <w:t>主要原因是我单位人员增加、晋级调资等，增加社保、职业年金等相关经费。</w:t>
      </w:r>
    </w:p>
    <w:p>
      <w:pPr>
        <w:pStyle w:val="14"/>
        <w:autoSpaceDE w:val="0"/>
        <w:spacing w:line="596" w:lineRule="exact"/>
        <w:ind w:firstLine="643"/>
        <w:rPr>
          <w:rFonts w:ascii="Times New Roman" w:hAnsi="Times New Roman" w:eastAsia="楷体"/>
          <w:b/>
          <w:bCs/>
          <w:sz w:val="32"/>
          <w:szCs w:val="32"/>
          <w:highlight w:val="none"/>
          <w:shd w:val="clear" w:color="auto" w:fill="FFFFFF"/>
        </w:rPr>
      </w:pPr>
      <w:r>
        <w:rPr>
          <w:rFonts w:ascii="Times New Roman" w:hAnsi="Times New Roman" w:eastAsia="楷体"/>
          <w:b/>
          <w:bCs/>
          <w:sz w:val="32"/>
          <w:szCs w:val="32"/>
          <w:highlight w:val="none"/>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方正仿宋_GBK"/>
          <w:sz w:val="32"/>
          <w:szCs w:val="32"/>
          <w:highlight w:val="none"/>
        </w:rPr>
      </w:pPr>
      <w:r>
        <w:rPr>
          <w:rStyle w:val="13"/>
          <w:rFonts w:hint="default" w:ascii="Times New Roman" w:hAnsi="Times New Roman" w:eastAsia="方正仿宋_GBK"/>
          <w:sz w:val="32"/>
          <w:szCs w:val="32"/>
          <w:highlight w:val="none"/>
          <w:shd w:val="clear" w:color="auto" w:fill="FFFFFF"/>
        </w:rPr>
        <w:t>1.收入情况。</w:t>
      </w:r>
      <w:r>
        <w:rPr>
          <w:rFonts w:hint="default" w:ascii="Times New Roman" w:hAnsi="Times New Roman" w:eastAsia="方正仿宋_GBK"/>
          <w:sz w:val="32"/>
          <w:szCs w:val="32"/>
          <w:highlight w:val="none"/>
          <w:shd w:val="clear" w:color="auto" w:fill="FFFFFF"/>
        </w:rPr>
        <w:t>2024年度一般公共预算财政拨款收入418.15万元，与2023年度相比，增加104.08万元，增长33.1%。</w:t>
      </w:r>
      <w:r>
        <w:rPr>
          <w:rFonts w:hint="default" w:ascii="Times New Roman" w:hAnsi="Times New Roman" w:eastAsia="仿宋_GB2312"/>
          <w:sz w:val="32"/>
          <w:szCs w:val="32"/>
          <w:highlight w:val="none"/>
          <w:woUserID w:val="1"/>
        </w:rPr>
        <w:t>主要原因是我单位人员增加、晋级调资等，增加社保、职业年金等相关经费。</w:t>
      </w:r>
      <w:r>
        <w:rPr>
          <w:rFonts w:hint="default" w:ascii="Times New Roman" w:hAnsi="Times New Roman" w:eastAsia="方正仿宋_GBK"/>
          <w:sz w:val="32"/>
          <w:szCs w:val="32"/>
          <w:highlight w:val="none"/>
          <w:shd w:val="clear" w:color="auto" w:fill="FFFFFF"/>
        </w:rPr>
        <w:t>较年初预算数增加76.58万元，增长22.4%。</w:t>
      </w:r>
      <w:r>
        <w:rPr>
          <w:rFonts w:hint="default" w:ascii="Times New Roman" w:hAnsi="Times New Roman" w:eastAsia="仿宋_GB2312"/>
          <w:sz w:val="32"/>
          <w:szCs w:val="32"/>
          <w:highlight w:val="none"/>
          <w:woUserID w:val="1"/>
        </w:rPr>
        <w:t>主要原因是我单位人员增加、晋级调资等，增加社保、职业年金等相关经费。</w:t>
      </w:r>
      <w:r>
        <w:rPr>
          <w:rFonts w:hint="default" w:ascii="Times New Roman" w:hAnsi="Times New Roman" w:eastAsia="方正仿宋_GBK"/>
          <w:sz w:val="32"/>
          <w:szCs w:val="32"/>
          <w:highlight w:val="none"/>
          <w:shd w:val="clear" w:color="auto" w:fill="FFFFFF"/>
        </w:rPr>
        <w:t>此外，年初财政拨款结转和结余0.00万元。</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方正仿宋_GBK"/>
          <w:sz w:val="32"/>
          <w:szCs w:val="32"/>
          <w:highlight w:val="none"/>
          <w:shd w:val="clear" w:color="auto" w:fill="FFFFFF"/>
          <w:woUserID w:val="1"/>
        </w:rPr>
      </w:pPr>
      <w:r>
        <w:rPr>
          <w:rStyle w:val="13"/>
          <w:rFonts w:hint="default" w:ascii="Times New Roman" w:hAnsi="Times New Roman" w:eastAsia="方正仿宋_GBK"/>
          <w:sz w:val="32"/>
          <w:szCs w:val="32"/>
          <w:highlight w:val="none"/>
          <w:shd w:val="clear" w:color="auto" w:fill="FFFFFF"/>
        </w:rPr>
        <w:t>2.支出情况。</w:t>
      </w:r>
      <w:r>
        <w:rPr>
          <w:rFonts w:hint="default" w:ascii="Times New Roman" w:hAnsi="Times New Roman" w:eastAsia="方正仿宋_GBK"/>
          <w:sz w:val="32"/>
          <w:szCs w:val="32"/>
          <w:highlight w:val="none"/>
          <w:shd w:val="clear" w:color="auto" w:fill="FFFFFF"/>
        </w:rPr>
        <w:t>2024年度一般公共预算财政拨款支出418.15万元，与2023年度相比，增加104.08万元，增长33.1%。</w:t>
      </w:r>
      <w:r>
        <w:rPr>
          <w:rFonts w:hint="default" w:ascii="Times New Roman" w:hAnsi="Times New Roman" w:eastAsia="仿宋_GB2312"/>
          <w:sz w:val="32"/>
          <w:szCs w:val="32"/>
          <w:highlight w:val="none"/>
          <w:woUserID w:val="1"/>
        </w:rPr>
        <w:t>主要原因是我单位人员增加、晋级调资等，增加社保、职业年金等相关经费。</w:t>
      </w:r>
      <w:r>
        <w:rPr>
          <w:rFonts w:hint="default" w:ascii="Times New Roman" w:hAnsi="Times New Roman" w:eastAsia="方正仿宋_GBK"/>
          <w:sz w:val="32"/>
          <w:szCs w:val="32"/>
          <w:highlight w:val="none"/>
          <w:shd w:val="clear" w:color="auto" w:fill="FFFFFF"/>
        </w:rPr>
        <w:t>较年初预算数增加76.58万元，增长22.4%。</w:t>
      </w:r>
      <w:r>
        <w:rPr>
          <w:rFonts w:hint="default" w:ascii="Times New Roman" w:hAnsi="Times New Roman" w:eastAsia="仿宋_GB2312"/>
          <w:sz w:val="32"/>
          <w:szCs w:val="32"/>
          <w:highlight w:val="none"/>
          <w:woUserID w:val="1"/>
        </w:rPr>
        <w:t>主要原因是我单位人员增加、晋级调资等，增加社保、职业年金等相关经费。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一般公共预算财政拨款支出主要用途如下：</w:t>
      </w:r>
    </w:p>
    <w:p>
      <w:pPr>
        <w:snapToGrid w:val="0"/>
        <w:spacing w:line="520" w:lineRule="exact"/>
        <w:ind w:firstLine="640" w:firstLineChars="200"/>
        <w:rPr>
          <w:rFonts w:hint="default" w:ascii="Times New Roman" w:hAnsi="Times New Roman" w:eastAsia="方正仿宋_GBK"/>
          <w:sz w:val="32"/>
          <w:szCs w:val="32"/>
          <w:highlight w:val="none"/>
        </w:rPr>
      </w:pPr>
      <w:r>
        <w:rPr>
          <w:rFonts w:hint="default" w:ascii="Times New Roman" w:hAnsi="Times New Roman" w:eastAsia="方正仿宋_GBK"/>
          <w:sz w:val="32"/>
          <w:szCs w:val="32"/>
          <w:highlight w:val="none"/>
          <w:shd w:val="clear" w:color="auto" w:fill="FFFFFF"/>
        </w:rPr>
        <w:t>（1）社会保障和就业支出60.62万元，占14.5%，较年初预算数增加25.22万元，增长71.2%，</w:t>
      </w:r>
      <w:r>
        <w:rPr>
          <w:rFonts w:hint="default" w:ascii="Times New Roman" w:hAnsi="Times New Roman" w:eastAsia="仿宋_GB2312"/>
          <w:sz w:val="32"/>
          <w:szCs w:val="32"/>
          <w:highlight w:val="none"/>
        </w:rPr>
        <w:t>主要原因是人员增加，人员调资，重新核定养老保险、职业年金缴费基数，社会保障和就业支出增加。</w:t>
      </w:r>
    </w:p>
    <w:p>
      <w:pPr>
        <w:snapToGrid w:val="0"/>
        <w:spacing w:line="520" w:lineRule="exact"/>
        <w:ind w:firstLine="640" w:firstLineChars="200"/>
        <w:rPr>
          <w:rFonts w:hint="default" w:ascii="Times New Roman" w:hAnsi="Times New Roman" w:eastAsia="仿宋_GB2312"/>
          <w:sz w:val="32"/>
          <w:szCs w:val="32"/>
          <w:highlight w:val="none"/>
        </w:rPr>
      </w:pPr>
      <w:r>
        <w:rPr>
          <w:rFonts w:hint="default" w:ascii="Times New Roman" w:hAnsi="Times New Roman" w:eastAsia="方正仿宋_GBK"/>
          <w:sz w:val="32"/>
          <w:szCs w:val="32"/>
          <w:highlight w:val="none"/>
          <w:shd w:val="clear" w:color="auto" w:fill="FFFFFF"/>
        </w:rPr>
        <w:t>（2）卫生健康支出18.59万元，占4.5%，较年初预算数增加1.53万元，增长9.0%，</w:t>
      </w:r>
      <w:r>
        <w:rPr>
          <w:rFonts w:hint="default" w:ascii="Times New Roman" w:hAnsi="Times New Roman" w:eastAsia="仿宋_GB2312"/>
          <w:sz w:val="32"/>
          <w:szCs w:val="32"/>
          <w:highlight w:val="none"/>
        </w:rPr>
        <w:t>主要原因是人员增加，人员调资，重新核定养老保险、职业年金缴费基数，社会保障和就业支出增加。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rPr>
      </w:pPr>
    </w:p>
    <w:p>
      <w:pPr>
        <w:snapToGrid w:val="0"/>
        <w:spacing w:line="520" w:lineRule="exact"/>
        <w:ind w:firstLine="640" w:firstLineChars="200"/>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（3）农林水支出320.85万元，占76.7%，较年初预算数增加48.41万元，增长17.8%，</w:t>
      </w:r>
      <w:r>
        <w:rPr>
          <w:rFonts w:hint="default" w:ascii="Times New Roman" w:hAnsi="Times New Roman" w:eastAsia="仿宋_GB2312"/>
          <w:sz w:val="32"/>
          <w:szCs w:val="32"/>
          <w:highlight w:val="none"/>
        </w:rPr>
        <w:t>主要原因是人员增加，人员调资，重新核定养老保险、职业年金缴费基数，社会保障和就业支出增加。</w:t>
      </w:r>
    </w:p>
    <w:p>
      <w:pPr>
        <w:snapToGrid w:val="0"/>
        <w:spacing w:line="520" w:lineRule="exact"/>
        <w:ind w:firstLine="640" w:firstLineChars="200"/>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（4）</w:t>
      </w:r>
      <w:r>
        <w:rPr>
          <w:rFonts w:hint="default" w:ascii="Times New Roman" w:hAnsi="Times New Roman" w:eastAsia="方正仿宋_GBK"/>
          <w:sz w:val="32"/>
          <w:szCs w:val="32"/>
          <w:highlight w:val="none"/>
        </w:rPr>
        <w:t>住房保障支出</w:t>
      </w:r>
      <w:r>
        <w:rPr>
          <w:rFonts w:hint="default" w:ascii="Times New Roman" w:hAnsi="Times New Roman" w:eastAsia="方正仿宋_GBK"/>
          <w:sz w:val="32"/>
          <w:szCs w:val="32"/>
          <w:highlight w:val="none"/>
          <w:shd w:val="clear" w:color="auto" w:fill="FFFFFF"/>
        </w:rPr>
        <w:t>18.09万元，占4.3%，较年初预算数增加1.42万元，增长8.5%，</w:t>
      </w:r>
      <w:r>
        <w:rPr>
          <w:rFonts w:hint="default" w:ascii="Times New Roman" w:hAnsi="Times New Roman" w:eastAsia="仿宋_GB2312"/>
          <w:sz w:val="32"/>
          <w:szCs w:val="32"/>
          <w:highlight w:val="none"/>
        </w:rPr>
        <w:t>主要原因是人员增加，人员调资，重新核定养老保险、职业年金缴费基数，社会保障和就业支出增加。</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highlight w:val="none"/>
          <w:shd w:val="clear" w:color="auto" w:fill="FFFFFF"/>
        </w:rPr>
      </w:pPr>
      <w:r>
        <w:rPr>
          <w:rStyle w:val="13"/>
          <w:rFonts w:hint="default" w:ascii="Times New Roman" w:hAnsi="Times New Roman" w:eastAsia="方正仿宋_GBK"/>
          <w:sz w:val="32"/>
          <w:szCs w:val="32"/>
          <w:highlight w:val="none"/>
          <w:shd w:val="clear" w:color="auto" w:fill="FFFFFF"/>
        </w:rPr>
        <w:t>3.结转结余情况。</w:t>
      </w:r>
      <w:r>
        <w:rPr>
          <w:rFonts w:hint="default" w:ascii="Times New Roman" w:hAnsi="Times New Roman" w:eastAsia="方正仿宋_GBK"/>
          <w:sz w:val="32"/>
          <w:szCs w:val="32"/>
          <w:highlight w:val="none"/>
          <w:shd w:val="clear" w:color="auto" w:fill="FFFFFF"/>
        </w:rPr>
        <w:t>2024年度年末一般公共预算财政拨款结转和结余0.00万元，与2023年度相比，无增减，主要原因是无结转结余。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highlight w:val="none"/>
          <w:shd w:val="clear" w:color="auto" w:fill="FFFFFF"/>
        </w:rPr>
      </w:pPr>
      <w:r>
        <w:rPr>
          <w:rFonts w:ascii="Times New Roman" w:hAnsi="Times New Roman" w:eastAsia="楷体"/>
          <w:b/>
          <w:bCs/>
          <w:sz w:val="32"/>
          <w:szCs w:val="32"/>
          <w:highlight w:val="none"/>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2024年度一般公共财政拨款基本支出418.15万元。</w:t>
      </w:r>
    </w:p>
    <w:p>
      <w:pPr>
        <w:pStyle w:val="9"/>
        <w:snapToGrid w:val="0"/>
        <w:spacing w:before="0" w:beforeAutospacing="0" w:after="0" w:afterAutospacing="0" w:line="596" w:lineRule="exact"/>
        <w:jc w:val="both"/>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其中：</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人员经费382.85万元，与2023年度相比，增加115.69万元，增长43.3%，</w:t>
      </w:r>
      <w:r>
        <w:rPr>
          <w:rFonts w:hint="default" w:ascii="Times New Roman" w:hAnsi="Times New Roman" w:eastAsia="仿宋_GB2312"/>
          <w:sz w:val="32"/>
          <w:szCs w:val="32"/>
          <w:highlight w:val="none"/>
          <w:woUserID w:val="1"/>
        </w:rPr>
        <w:t>主要原因是我单位人员增加、晋级调资等，增加社保、职业年金等相关经费。</w:t>
      </w:r>
      <w:r>
        <w:rPr>
          <w:rFonts w:hint="default" w:ascii="Times New Roman" w:hAnsi="Times New Roman" w:eastAsia="方正仿宋_GBK"/>
          <w:sz w:val="32"/>
          <w:szCs w:val="32"/>
          <w:highlight w:val="none"/>
          <w:shd w:val="clear" w:color="auto" w:fill="FFFFFF"/>
        </w:rPr>
        <w:t>人员经费用途主要包括五险两金、工资绩效等。</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highlight w:val="none"/>
          <w:shd w:val="clear" w:color="auto" w:fill="FFFFFF"/>
        </w:rPr>
        <w:t>公用经费35.30万元，与2023年度相比，减少11.61万元，下降24.8%，主要原因是公务接待费和</w:t>
      </w:r>
      <w:r>
        <w:rPr>
          <w:rFonts w:hint="default" w:ascii="Times New Roman" w:hAnsi="Times New Roman" w:eastAsia="方正仿宋_GBK"/>
          <w:sz w:val="32"/>
          <w:szCs w:val="32"/>
          <w:shd w:val="clear" w:color="auto" w:fill="FFFFFF"/>
        </w:rPr>
        <w:t>公车运行维护费未单独预算。公用经费用途主要包括公务接待、公车运行、办公开支等。</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三、财政拨款“三公”经费情况说明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2024年度“三公”经费支出共计0.00万元，较年初预算数无增减，主要原因是严格按照预算执行。较上年支出数减少1.00万元，下降100.0%，主要原因是未单独预算。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因公出国（境）费用0.00万元。费用支出较年初预算数无增减，主要原因是无相关支出。较上年支出数无增减，主要原因是无相关支出。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公务用车购置费0.00万元。费用支出较年初预算数无增减，主要原因是未购置公车。较上年支出数无增减，主要原因是未购置公车。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公务用车运行维护费0.00万元。费用支出较年初预算数无增减，主要原因是未购置公车。较上年支出数无增减，主要原因是未购置公车。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公务接待费0.00万元。费用支出较年初预算数无增减，主要原因是严格按照预算执行。较上年支出数减少1.00万元，下降100.0%，主要原因是未单独预算。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人均接待费0元，车均购置费0万元，车均维护费0万元。</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0.00万元，与2023年度相比，无增减，主要原因是未单独预算。本年度培训费支出1.15万元，与2023年度相比，增加0.91万元，增长379.2%，主要原因是新进专技人员继续教育培训费支出。本年度差旅费支出13.52</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与2023年度相比，减少10.06万元，下降42.7%，主要原因是减少相关出差事项。</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按照</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未发生政府采购事项，无相关经费支出</w:t>
      </w:r>
      <w:r>
        <w:rPr>
          <w:rFonts w:hint="eastAsia" w:ascii="Times New Roman" w:hAnsi="Times New Roman" w:eastAsia="方正仿宋_GBK"/>
          <w:sz w:val="32"/>
          <w:szCs w:val="32"/>
          <w:shd w:val="clear" w:color="auto" w:fill="FFFFFF"/>
        </w:rPr>
        <w:t>。</w:t>
      </w:r>
    </w:p>
    <w:p>
      <w:pPr>
        <w:pStyle w:val="15"/>
        <w:spacing w:before="0" w:beforeAutospacing="0" w:after="0" w:afterAutospacing="0" w:line="596" w:lineRule="exact"/>
        <w:ind w:firstLine="641"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我单位无项目支出，未开展绩效评价。</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我单位无项目支出，未开展绩效评价。</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汪锐  </w:t>
      </w:r>
      <w:r>
        <w:rPr>
          <w:rFonts w:ascii="Times New Roman" w:hAnsi="Times New Roman" w:eastAsia="方正仿宋_GBK"/>
          <w:sz w:val="32"/>
          <w:szCs w:val="32"/>
          <w:shd w:val="clear" w:color="auto" w:fill="FFFFFF"/>
        </w:rPr>
        <w:t xml:space="preserve"> 023-70701623</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丰都县河库综合事务中心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丰都县河库综合事务中心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418.15</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418.15</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丰都县河库综合事务中心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418.15</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418.15</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丰都县河库综合事务中心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丰都县河库综合事务中心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418.15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418.15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丰都县河库综合事务中心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382.85</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丰都县河库综合事务中心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丰都县河库综合事务中心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丰都县河库综合事务中心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bookmarkStart w:id="0" w:name="_GoBack"/>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5615A"/>
    <w:rsid w:val="00770383"/>
    <w:rsid w:val="007819D4"/>
    <w:rsid w:val="007B419D"/>
    <w:rsid w:val="007B7C4B"/>
    <w:rsid w:val="007D3D39"/>
    <w:rsid w:val="00854F6B"/>
    <w:rsid w:val="00912CCC"/>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F7064C"/>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6E4042"/>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0E4BE3"/>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DBA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2027</Words>
  <Characters>11560</Characters>
  <Lines>96</Lines>
  <Paragraphs>27</Paragraphs>
  <TotalTime>0</TotalTime>
  <ScaleCrop>false</ScaleCrop>
  <LinksUpToDate>false</LinksUpToDate>
  <CharactersWithSpaces>13560</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Micorosoft</cp:lastModifiedBy>
  <dcterms:modified xsi:type="dcterms:W3CDTF">2025-09-16T09:34:10Z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