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rPr>
          <w:rFonts w:hint="eastAsia" w:ascii="仿宋_GB2312" w:eastAsia="仿宋_GB2312"/>
          <w:sz w:val="32"/>
        </w:rPr>
      </w:pPr>
      <w:permStart w:id="0" w:edGrp="everyone"/>
      <w:permEnd w:id="0"/>
    </w:p>
    <w:p>
      <w:pPr>
        <w:pStyle w:val="6"/>
        <w:snapToGrid w:val="0"/>
        <w:jc w:val="center"/>
        <w:rPr>
          <w:rFonts w:hint="eastAsia" w:ascii="仿宋_GB2312" w:eastAsia="仿宋_GB2312"/>
          <w:sz w:val="32"/>
        </w:rPr>
      </w:pPr>
    </w:p>
    <w:p>
      <w:pPr>
        <w:pStyle w:val="6"/>
        <w:snapToGrid w:val="0"/>
        <w:jc w:val="center"/>
        <w:rPr>
          <w:rFonts w:hint="eastAsia" w:ascii="仿宋_GB2312" w:eastAsia="仿宋_GB2312"/>
          <w:sz w:val="32"/>
        </w:rPr>
      </w:pPr>
    </w:p>
    <w:tbl>
      <w:tblPr>
        <w:tblStyle w:val="13"/>
        <w:tblW w:w="0" w:type="auto"/>
        <w:tblInd w:w="108" w:type="dxa"/>
        <w:tblLayout w:type="fixed"/>
        <w:tblCellMar>
          <w:top w:w="0" w:type="dxa"/>
          <w:left w:w="108" w:type="dxa"/>
          <w:bottom w:w="0" w:type="dxa"/>
          <w:right w:w="108" w:type="dxa"/>
        </w:tblCellMar>
      </w:tblPr>
      <w:tblGrid>
        <w:gridCol w:w="8820"/>
      </w:tblGrid>
      <w:tr>
        <w:tblPrEx>
          <w:tblCellMar>
            <w:top w:w="0" w:type="dxa"/>
            <w:left w:w="108" w:type="dxa"/>
            <w:bottom w:w="0" w:type="dxa"/>
            <w:right w:w="108" w:type="dxa"/>
          </w:tblCellMar>
        </w:tblPrEx>
        <w:trPr>
          <w:cantSplit/>
          <w:trHeight w:val="596" w:hRule="atLeast"/>
        </w:trPr>
        <w:tc>
          <w:tcPr>
            <w:tcW w:w="8820" w:type="dxa"/>
            <w:tcBorders>
              <w:top w:val="nil"/>
              <w:left w:val="nil"/>
              <w:bottom w:val="nil"/>
              <w:right w:val="nil"/>
            </w:tcBorders>
            <w:noWrap w:val="0"/>
            <w:vAlign w:val="top"/>
          </w:tcPr>
          <w:p>
            <w:pPr>
              <w:rPr>
                <w:rFonts w:hint="eastAsia"/>
              </w:rPr>
            </w:pPr>
          </w:p>
          <w:p>
            <w:pPr>
              <w:pStyle w:val="6"/>
              <w:snapToGrid w:val="0"/>
              <w:jc w:val="center"/>
              <w:rPr>
                <w:rFonts w:hint="eastAsia" w:ascii="楷体_GB2312" w:eastAsia="楷体_GB2312"/>
                <w:sz w:val="32"/>
                <w:szCs w:val="32"/>
              </w:rPr>
            </w:pPr>
            <w:r>
              <w:rPr>
                <w:rFonts w:hint="eastAsia" w:ascii="仿宋_GB2312" w:eastAsia="仿宋_GB2312"/>
                <w:sz w:val="32"/>
                <w:szCs w:val="32"/>
              </w:rPr>
              <w:t>丰</w:t>
            </w:r>
            <w:r>
              <w:rPr>
                <w:rFonts w:hint="eastAsia" w:ascii="仿宋_GB2312" w:eastAsia="仿宋_GB2312"/>
                <w:sz w:val="32"/>
              </w:rPr>
              <w:t>职改办发</w:t>
            </w:r>
            <w:r>
              <w:rPr>
                <w:rFonts w:ascii="Times New Roman" w:eastAsia="仿宋_GB2312"/>
                <w:sz w:val="32"/>
              </w:rPr>
              <w:t>〔20</w:t>
            </w:r>
            <w:r>
              <w:rPr>
                <w:rFonts w:hint="eastAsia" w:ascii="Times New Roman" w:eastAsia="仿宋_GB2312"/>
                <w:sz w:val="32"/>
                <w:lang w:val="en-US" w:eastAsia="zh-CN"/>
              </w:rPr>
              <w:t>25</w:t>
            </w:r>
            <w:r>
              <w:rPr>
                <w:rFonts w:ascii="Times New Roman" w:eastAsia="仿宋_GB2312"/>
                <w:sz w:val="32"/>
              </w:rPr>
              <w:t>〕</w:t>
            </w:r>
            <w:r>
              <w:rPr>
                <w:rFonts w:hint="eastAsia" w:ascii="Times New Roman" w:eastAsia="仿宋_GB2312"/>
                <w:sz w:val="32"/>
                <w:lang w:val="en-US" w:eastAsia="zh-CN"/>
              </w:rPr>
              <w:t>54</w:t>
            </w:r>
            <w:r>
              <w:rPr>
                <w:rFonts w:hint="eastAsia" w:ascii="仿宋_GB2312" w:eastAsia="仿宋_GB2312"/>
                <w:sz w:val="32"/>
              </w:rPr>
              <w:t>号</w:t>
            </w:r>
          </w:p>
        </w:tc>
      </w:tr>
    </w:tbl>
    <w:p>
      <w:pPr>
        <w:rPr>
          <w:rFonts w:hint="eastAsia"/>
        </w:rPr>
      </w:pPr>
    </w:p>
    <w:p>
      <w:pPr>
        <w:pStyle w:val="21"/>
        <w:rPr>
          <w:rFonts w:hint="eastAsia" w:ascii="宋体"/>
          <w:sz w:val="44"/>
          <w:szCs w:val="44"/>
        </w:rPr>
      </w:pPr>
    </w:p>
    <w:p>
      <w:pPr>
        <w:pStyle w:val="21"/>
        <w:keepNext w:val="0"/>
        <w:keepLines w:val="0"/>
        <w:pageBreakBefore w:val="0"/>
        <w:kinsoku/>
        <w:wordWrap/>
        <w:overflowPunct/>
        <w:topLinePunct w:val="0"/>
        <w:autoSpaceDE/>
        <w:autoSpaceDN/>
        <w:bidi w:val="0"/>
        <w:adjustRightInd/>
        <w:snapToGrid w:val="0"/>
        <w:spacing w:before="0" w:after="0" w:line="600" w:lineRule="exact"/>
        <w:ind w:right="0" w:rightChars="0"/>
        <w:jc w:val="center"/>
        <w:textAlignment w:val="auto"/>
        <w:rPr>
          <w:rFonts w:hint="eastAsia" w:ascii="方正小标宋_GBK" w:eastAsia="方正小标宋_GBK"/>
          <w:sz w:val="44"/>
          <w:szCs w:val="44"/>
        </w:rPr>
      </w:pPr>
      <w:r>
        <w:rPr>
          <w:rFonts w:hint="eastAsia" w:ascii="方正小标宋_GBK" w:eastAsia="方正小标宋_GBK"/>
          <w:sz w:val="44"/>
          <w:szCs w:val="44"/>
        </w:rPr>
        <w:t>丰都县职称改革办公室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关于组织开展202</w:t>
      </w:r>
      <w:r>
        <w:rPr>
          <w:rFonts w:hint="eastAsia" w:ascii="方正小标宋_GBK" w:hAnsi="宋体" w:eastAsia="方正小标宋_GBK"/>
          <w:sz w:val="44"/>
          <w:szCs w:val="44"/>
          <w:lang w:val="en-US" w:eastAsia="zh-CN"/>
        </w:rPr>
        <w:t>5</w:t>
      </w:r>
      <w:r>
        <w:rPr>
          <w:rFonts w:hint="eastAsia" w:ascii="方正小标宋_GBK" w:hAnsi="宋体" w:eastAsia="方正小标宋_GBK"/>
          <w:sz w:val="44"/>
          <w:szCs w:val="44"/>
        </w:rPr>
        <w:t>年职称申报</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评审工作的通知</w:t>
      </w:r>
    </w:p>
    <w:p>
      <w:pPr>
        <w:pStyle w:val="2"/>
        <w:rPr>
          <w:rFonts w:hint="default"/>
        </w:rPr>
      </w:pPr>
    </w:p>
    <w:p>
      <w:pPr>
        <w:pStyle w:val="5"/>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各乡镇人民政府，街道办事处，县级各部门，各企事业单位：</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为认真做好我县职称申报评审工作，根据重庆市职称改革办公室《关于印发重庆市202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年职称申报评审工作方案的通知》（渝职改办〔202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eastAsia" w:asci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号）精神，结合我县实际，现就组织开展202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年全县职称申报评审工作有关事项通知如下：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Times New Roman" w:hAnsi="Times New Roman" w:eastAsia="方正黑体_GBK" w:cs="Times New Roman"/>
          <w:sz w:val="32"/>
          <w:lang w:val="en-US" w:eastAsia="zh-CN"/>
        </w:rPr>
      </w:pPr>
      <w:r>
        <w:rPr>
          <w:rFonts w:hint="eastAsia" w:ascii="Times New Roman" w:hAnsi="Times New Roman" w:eastAsia="方正黑体_GBK" w:cs="Times New Roman"/>
          <w:sz w:val="32"/>
          <w:lang w:val="en-US" w:eastAsia="zh-CN"/>
        </w:rPr>
        <w:t>一、申报范围</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（一）我县各类企事业单位、经济组织和社会组织在职从事专业技术工作的人员。</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从事专业技术工作且符合相应职称申报条件的自由职业者、转业择业军队干部。自主择业的军队干部按规定在军队评定或任命取得的有效职称在我市继续使用有效，不需办理确认手续，直接作为申报高一级职称的凭据。</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按照《重庆市职称改革工作领导小组关于我市机关机构改革中分流到企事业单位工作的人员专业技术职称评定有关问题的通知》（渝职改〔1998〕50号）有关规定，机关到企事业单位工作后未取得过职称的专业技术人员，业绩成果符合相应职称正常申报业绩条件的，可直接申报相应级别职称。不属于特殊人才受理范围的，可通过本次正常通道申报参加相应职称评审。</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（四）在内地就业的港澳台专业技术人员，以及持有外国人永久居留证或各地颁发的海外高层次人才居住证的外籍人员。</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（五）公务员（含参照公务员法管理的人员）、离退休人员（从审批机关审批的退休时间起计算），以及处于职称申报评审影响期内的人员，不得申报参加专业技术人员职称评审。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二、申报条件</w:t>
      </w:r>
    </w:p>
    <w:p>
      <w:pPr>
        <w:pStyle w:val="5"/>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（一）符合我市现行各系列（专业）职称申报条件，参见《重庆市职称申报标准条件索引》（https://rlsbj.cq.gov.cn/ywzl/zjrc/zchzyzg/202307/t20230726_12187351.html）有关要求。</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（二）根据渝人社发〔2017〕67号规定，职称外语、计算机考试不作统一要求，由用人单位根据本单位规定执行。</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对于全面实行岗位管理、专业技术人才学术技术水平与岗位职责密切相关的事业单位，一般应在结构比例内开展职称申报评审。各单位应对本单位的岗位核定情况、聘用人数、空缺岗位、已评（已考）未聘人员数量进行认真清理核准，已评未聘人员须纳入岗位使用数量统计，并填报《重庆市事业单位职称评审申报数量备案表》（附件2），党群系列事业单位送县委组织部核准，其他事业单位送县人力社保局核准后，组织符合条件的人员进行申报。</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根据《重庆市职称改革办公室关于建立专业技术人员职业资格与职称对应关系的通知》（渝职改办〔2019〕140号）有关规定，专业技术人员取得文件所列对应职业资格，可凭职业资格证书申报相应系列（专业）高一级职称。</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高技能人才申报职称，按照《关于在工程技术领域实现高技能人才与工程技术人才职业发展贯通的实施意见》（渝人社发〔2020〕32号）、《进一步加强高技能人才与专业技术人才职业发展贯通的实施方案》（渝人社发〔2021〕55号）执行。其中，企业到院校兼职的高技能人才申报教师（实验、教育研究）系列职称，学历、技能等级、取得技能等级后从事技术技能工作年限及可申报评审的职称级别，按照渝人社发〔2021〕55号执行，其他业绩条件按照《重庆市院校教师与企业工程师（技师）“双师”职称评定办法》（渝人社发〔2017〕74号）执行。</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省（自治区、直辖市）级及以上党委、政府（含党委、政府组成部门）选派全职援外、援藏、援疆、援青1年及以上的专业技术人员，学历、资历符合选派管理规定有关职称晋升政策的，仍可通过正常通道申报参加职称评审，申报材料报相应序列或专业评委会受理。按照《</w:t>
      </w:r>
      <w:r>
        <w:rPr>
          <w:rFonts w:hint="eastAsia" w:ascii="Times New Roman" w:eastAsia="方正仿宋_GBK" w:cs="Times New Roman"/>
          <w:color w:val="000000" w:themeColor="text1"/>
          <w:sz w:val="32"/>
          <w:szCs w:val="32"/>
          <w:lang w:val="en-US" w:eastAsia="zh-CN"/>
          <w14:textFill>
            <w14:solidFill>
              <w14:schemeClr w14:val="tx1"/>
            </w14:solidFill>
          </w14:textFill>
        </w:rPr>
        <w:t>对口支援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干部</w:t>
      </w:r>
      <w:r>
        <w:rPr>
          <w:rFonts w:hint="eastAsia" w:ascii="Times New Roman" w:eastAsia="方正仿宋_GBK" w:cs="Times New Roman"/>
          <w:color w:val="000000" w:themeColor="text1"/>
          <w:sz w:val="32"/>
          <w:szCs w:val="32"/>
          <w:lang w:val="en-US" w:eastAsia="zh-CN"/>
          <w14:textFill>
            <w14:solidFill>
              <w14:schemeClr w14:val="tx1"/>
            </w14:solidFill>
          </w14:textFill>
        </w:rPr>
        <w:t>人才选派管理办法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》及有关文件精神，援</w:t>
      </w:r>
      <w:r>
        <w:rPr>
          <w:rFonts w:hint="eastAsia" w:ascii="Times New Roman" w:eastAsia="方正仿宋_GBK" w:cs="Times New Roman"/>
          <w:color w:val="000000" w:themeColor="text1"/>
          <w:sz w:val="32"/>
          <w:szCs w:val="32"/>
          <w:lang w:val="en-US" w:eastAsia="zh-CN"/>
          <w14:textFill>
            <w14:solidFill>
              <w14:schemeClr w14:val="tx1"/>
            </w14:solidFill>
          </w14:textFill>
        </w:rPr>
        <w:t>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期间年度考核为合格及以上，符合职称申报条件的，按规定免职称外语、计算机考试，减免继续教育规定学时（学分），视同完成相应年度的基本工作量和相应时长的基层工作经历，援</w:t>
      </w:r>
      <w:r>
        <w:rPr>
          <w:rFonts w:hint="eastAsia" w:ascii="Times New Roman" w:eastAsia="方正仿宋_GBK" w:cs="Times New Roman"/>
          <w:color w:val="000000" w:themeColor="text1"/>
          <w:sz w:val="32"/>
          <w:szCs w:val="32"/>
          <w:lang w:val="en-US" w:eastAsia="zh-CN"/>
          <w14:textFill>
            <w14:solidFill>
              <w14:schemeClr w14:val="tx1"/>
            </w14:solidFill>
          </w14:textFill>
        </w:rPr>
        <w:t>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期间业务工作总结和有关技术报告可作为职称申报论文对待。除国家“以考代评”“考评结合”、重庆市无评审权限以及国家和重庆市实施评审指标总量控制的序列和专业外，申报副高级职称的，可提前2年，学历放宽到大专；申报正高级职称的，可提前1年。</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（七）根据《推进全市乡村人才振兴若干措施》（渝人社发〔2019〕44号）</w:t>
      </w:r>
      <w:r>
        <w:rPr>
          <w:rFonts w:hint="eastAsia" w:ascii="Times New Roman" w:eastAsia="方正仿宋_GBK" w:cs="Times New Roman"/>
          <w:color w:val="000000" w:themeColor="text1"/>
          <w:sz w:val="32"/>
          <w:szCs w:val="32"/>
          <w:lang w:val="en-US" w:eastAsia="zh-CN"/>
          <w14:textFill>
            <w14:solidFill>
              <w14:schemeClr w14:val="tx1"/>
            </w14:solidFill>
          </w14:textFill>
        </w:rPr>
        <w:t>、《重庆市乡村人才振兴行动实施方案（2025—2030年）》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（渝人社发〔20</w:t>
      </w:r>
      <w:r>
        <w:rPr>
          <w:rFonts w:hint="eastAsia" w:ascii="Times New Roman" w:eastAsia="方正仿宋_GBK"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w:t>
      </w:r>
      <w:r>
        <w:rPr>
          <w:rFonts w:hint="eastAsia" w:ascii="Times New Roman" w:eastAsia="方正仿宋_GBK" w:cs="Times New Roman"/>
          <w:color w:val="000000" w:themeColor="text1"/>
          <w:sz w:val="32"/>
          <w:szCs w:val="32"/>
          <w:lang w:val="en-US" w:eastAsia="zh-CN"/>
          <w14:textFill>
            <w14:solidFill>
              <w14:schemeClr w14:val="tx1"/>
            </w14:solidFill>
          </w14:textFill>
        </w:rPr>
        <w:t>精神，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对市和区县属单位选派到农村乡镇全职工作1年及以上的乡村振兴专业技术人才，</w:t>
      </w:r>
      <w:r>
        <w:rPr>
          <w:rFonts w:hint="eastAsia" w:ascii="Times New Roman" w:eastAsia="方正仿宋_GBK" w:cs="Times New Roman"/>
          <w:color w:val="000000" w:themeColor="text1"/>
          <w:sz w:val="32"/>
          <w:szCs w:val="32"/>
          <w:lang w:val="en-US" w:eastAsia="zh-CN"/>
          <w14:textFill>
            <w14:solidFill>
              <w14:schemeClr w14:val="tx1"/>
            </w14:solidFill>
          </w14:textFill>
        </w:rPr>
        <w:t>全面完成乡村振兴任务，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选派期间年度考核为称职以上的，职称评审对外语、计算机、论文和继续教育可不作要求，可提前1年申报高一级职称。</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八）根据《人力资源社会保障部办公厅关于做好新冠肺炎疫情防控一线专业技术人员职称工作的通知》（人社厅发〔2020〕23号）精神，新冠肺炎疫情防控一线专业技术人员疫情防控经历视同1年基层工作经历，视同完成当年继续教育学时学分，评审高一级职称，可提前1年，对职称外语、计算机应用能力不作要求，对论文不作硬性要求，免于参加地方组织的考评结合专业考试，且不受所在单位专业技术岗位结构比例限制（无论是否通过评审，各渠道累计仅限享受一次），同等条件下优先推荐申报，评审时同等条件下优先向一线人员倾斜，疫情防控中的业绩贡献列入职称评审加分项。</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疫情防控一线专业技术人员是指在新冠肺炎疫情防控一线工作的卫生专业技术人员，以及参加新型检测试剂、抗体药物、疫苗、诊疗方案、病毒病原学和流行病学研究等疫情防控科研攻关一线人员等，具体范围按照《国务院应对新型冠状病毒感染肺炎疫情联防联控机制关于聚焦一线贯彻落实保护关心爱护医务人员措施的通知》（国发明电〔2020〕10号）一线医务人员领取临时性工作补助范围确定（名单以当地卫生、人社、财政三部门联合认定备案为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三、申报安排</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Times New Roman" w:hAnsi="Times New Roman" w:eastAsia="方正楷体_GBK" w:cs="Times New Roman"/>
          <w:kern w:val="2"/>
          <w:sz w:val="32"/>
          <w:szCs w:val="24"/>
          <w:lang w:val="en-US" w:eastAsia="zh-CN" w:bidi="ar-SA"/>
        </w:rPr>
      </w:pPr>
      <w:r>
        <w:rPr>
          <w:rFonts w:hint="eastAsia" w:ascii="Times New Roman" w:hAnsi="Times New Roman" w:eastAsia="方正楷体_GBK" w:cs="Times New Roman"/>
          <w:kern w:val="2"/>
          <w:sz w:val="32"/>
          <w:szCs w:val="24"/>
          <w:lang w:val="en-US" w:eastAsia="zh-CN" w:bidi="ar-SA"/>
        </w:rPr>
        <w:t>（一）时间安排</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高级职称申报评审按《202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年重庆市高级职称申报评审工作计划》（附件1）中“申报材料受理时间”提前5个工作日提交至县职改办，由县职改办审核后提交相应评委会。</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教师系列中初级职称和工程系列中初级职称申报材料提交时间为202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年10月</w:t>
      </w:r>
      <w:r>
        <w:rPr>
          <w:rFonts w:hint="eastAsia" w:asci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日-10月31日。其中中职教师、群众文化、</w:t>
      </w:r>
      <w:r>
        <w:rPr>
          <w:rFonts w:hint="eastAsia" w:ascii="Times New Roman" w:eastAsia="方正仿宋_GBK" w:cs="Times New Roman"/>
          <w:color w:val="000000" w:themeColor="text1"/>
          <w:sz w:val="32"/>
          <w:szCs w:val="32"/>
          <w:lang w:val="en-US" w:eastAsia="zh-CN"/>
          <w14:textFill>
            <w14:solidFill>
              <w14:schemeClr w14:val="tx1"/>
            </w14:solidFill>
          </w14:textFill>
        </w:rPr>
        <w:t>档案、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图书资料中初级职称提交至涪陵区职改办审核</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申报时间以后续通知为准。</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其余系列的中、初级职称材料（我县不能评审需委托重庆市相应系列职称评审委员会评审）提交资料时间参照《202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年重庆市高级职称申报评审工作计划》（附件1）中“申报材料受理时间”提前5个工作日提交至县职改办，由县职改办审核后提交相应评委会。</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楷体_GBK" w:cs="Times New Roman"/>
          <w:kern w:val="2"/>
          <w:sz w:val="32"/>
          <w:szCs w:val="24"/>
          <w:lang w:val="en-US" w:eastAsia="zh-CN" w:bidi="ar-SA"/>
        </w:rPr>
      </w:pPr>
      <w:r>
        <w:rPr>
          <w:rFonts w:hint="default" w:ascii="Times New Roman" w:hAnsi="Times New Roman" w:eastAsia="方正楷体_GBK" w:cs="Times New Roman"/>
          <w:kern w:val="2"/>
          <w:sz w:val="32"/>
          <w:szCs w:val="24"/>
          <w:lang w:val="en-US" w:eastAsia="zh-CN" w:bidi="ar-SA"/>
        </w:rPr>
        <w:t>（二）申报系统</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市高、中、初级职称评委会均须通过“渝才荟”职称申报评审服务登录重庆市专业技术人员服务平台（以下简称服务平台）实行网上申报评审（市职改办下放自主评审权的高校除外），线下评审的结果不予认可。个人及单位登录方式：</w:t>
      </w:r>
      <w:r>
        <w:rPr>
          <w:rFonts w:hint="eastAsia" w:ascii="Times New Roman" w:hAnsi="Times New Roman" w:eastAsia="方正仿宋_GBK" w:cs="Times New Roman"/>
          <w:sz w:val="32"/>
          <w:szCs w:val="32"/>
          <w:highlight w:val="none"/>
          <w:lang w:val="en-US" w:eastAsia="zh-CN"/>
        </w:rPr>
        <w:t>1.通过重庆政务服务网（重庆市网上办事大厅），进入重庆市</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渝才荟</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服务专区，点击“职称评审”登录（网址：https://ggfw.rlsbj.cq.gov.cn/rc/rctp/ych-pc/#/index）；2.通过全市统一平台网报端口直接登录（网址：</w:t>
      </w:r>
      <w:r>
        <w:rPr>
          <w:rFonts w:hint="eastAsia" w:ascii="Times New Roman" w:hAnsi="Times New Roman" w:eastAsia="方正仿宋_GBK" w:cs="Times New Roman"/>
          <w:sz w:val="32"/>
          <w:szCs w:val="32"/>
          <w:highlight w:val="none"/>
          <w:lang w:val="en-US" w:eastAsia="zh-CN"/>
        </w:rPr>
        <w:fldChar w:fldCharType="begin"/>
      </w:r>
      <w:r>
        <w:rPr>
          <w:rFonts w:hint="eastAsia" w:ascii="Times New Roman" w:hAnsi="Times New Roman" w:eastAsia="方正仿宋_GBK" w:cs="Times New Roman"/>
          <w:sz w:val="32"/>
          <w:szCs w:val="32"/>
          <w:highlight w:val="none"/>
          <w:lang w:val="en-US" w:eastAsia="zh-CN"/>
        </w:rPr>
        <w:instrText xml:space="preserve"> HYPERLINK "http://ggfw.rlsbj.cq.gov.cn/cqzyjsrcw/positional-portal-web/public/cert/toUserPage）" </w:instrText>
      </w:r>
      <w:r>
        <w:rPr>
          <w:rFonts w:hint="eastAsia" w:ascii="Times New Roman" w:hAnsi="Times New Roman" w:eastAsia="方正仿宋_GBK" w:cs="Times New Roman"/>
          <w:sz w:val="32"/>
          <w:szCs w:val="32"/>
          <w:highlight w:val="none"/>
          <w:lang w:val="en-US" w:eastAsia="zh-CN"/>
        </w:rPr>
        <w:fldChar w:fldCharType="separate"/>
      </w:r>
      <w:r>
        <w:rPr>
          <w:rFonts w:hint="eastAsia" w:ascii="Times New Roman" w:hAnsi="Times New Roman" w:eastAsia="方正仿宋_GBK" w:cs="Times New Roman"/>
          <w:sz w:val="32"/>
          <w:szCs w:val="32"/>
          <w:highlight w:val="none"/>
          <w:lang w:val="en-US" w:eastAsia="zh-CN"/>
        </w:rPr>
        <w:t>https://ggfw.rlsbj.cq.gov.cn/cqzyjsrcw/positional-portal-web/）</w:t>
      </w:r>
      <w:r>
        <w:rPr>
          <w:rFonts w:hint="eastAsia" w:ascii="Times New Roman" w:hAnsi="Times New Roman" w:eastAsia="方正仿宋_GBK" w:cs="Times New Roman"/>
          <w:sz w:val="32"/>
          <w:szCs w:val="32"/>
          <w:highlight w:val="none"/>
          <w:lang w:val="en-US" w:eastAsia="zh-CN"/>
        </w:rPr>
        <w:fldChar w:fldCharType="end"/>
      </w:r>
      <w:r>
        <w:rPr>
          <w:rFonts w:hint="eastAsia" w:ascii="Times New Roman" w:hAnsi="Times New Roman" w:eastAsia="方正仿宋_GBK" w:cs="Times New Roman"/>
          <w:sz w:val="32"/>
          <w:szCs w:val="32"/>
          <w:highlight w:val="none"/>
          <w:lang w:val="en-US" w:eastAsia="zh-CN"/>
        </w:rPr>
        <w:t>；3.通过重庆市人力社保局官网，专技人才专栏，点击“业务办理”登录（网址：</w:t>
      </w:r>
      <w:r>
        <w:rPr>
          <w:rFonts w:hint="eastAsia" w:ascii="Times New Roman" w:hAnsi="Times New Roman" w:eastAsia="方正仿宋_GBK" w:cs="Times New Roman"/>
          <w:sz w:val="32"/>
          <w:szCs w:val="32"/>
          <w:highlight w:val="none"/>
          <w:lang w:val="en-US" w:eastAsia="zh-CN"/>
        </w:rPr>
        <w:fldChar w:fldCharType="begin"/>
      </w:r>
      <w:r>
        <w:rPr>
          <w:rFonts w:hint="eastAsia" w:ascii="Times New Roman" w:hAnsi="Times New Roman" w:eastAsia="方正仿宋_GBK" w:cs="Times New Roman"/>
          <w:sz w:val="32"/>
          <w:szCs w:val="32"/>
          <w:highlight w:val="none"/>
          <w:lang w:val="en-US" w:eastAsia="zh-CN"/>
        </w:rPr>
        <w:instrText xml:space="preserve"> HYPERLINK "https://rlsbj.cq.gov.cn/ywzl/zjrc/）。" </w:instrText>
      </w:r>
      <w:r>
        <w:rPr>
          <w:rFonts w:hint="eastAsia" w:ascii="Times New Roman" w:hAnsi="Times New Roman" w:eastAsia="方正仿宋_GBK" w:cs="Times New Roman"/>
          <w:sz w:val="32"/>
          <w:szCs w:val="32"/>
          <w:highlight w:val="none"/>
          <w:lang w:val="en-US" w:eastAsia="zh-CN"/>
        </w:rPr>
        <w:fldChar w:fldCharType="separate"/>
      </w:r>
      <w:r>
        <w:rPr>
          <w:rFonts w:hint="eastAsia" w:ascii="Times New Roman" w:hAnsi="Times New Roman" w:eastAsia="方正仿宋_GBK" w:cs="Times New Roman"/>
          <w:sz w:val="32"/>
          <w:szCs w:val="32"/>
          <w:highlight w:val="none"/>
          <w:lang w:val="en-US" w:eastAsia="zh-CN"/>
        </w:rPr>
        <w:t>https://rlsbj.cq.gov.cn/ywzl/zjrc/）。</w:t>
      </w:r>
      <w:r>
        <w:rPr>
          <w:rFonts w:hint="eastAsia" w:ascii="Times New Roman" w:hAnsi="Times New Roman" w:eastAsia="方正仿宋_GBK" w:cs="Times New Roman"/>
          <w:sz w:val="32"/>
          <w:szCs w:val="32"/>
          <w:highlight w:val="none"/>
          <w:lang w:val="en-US" w:eastAsia="zh-CN"/>
        </w:rPr>
        <w:fldChar w:fldCharType="end"/>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楷体_GBK" w:cs="Times New Roman"/>
          <w:kern w:val="2"/>
          <w:sz w:val="32"/>
          <w:szCs w:val="24"/>
          <w:lang w:val="en-US" w:eastAsia="zh-CN" w:bidi="ar-SA"/>
        </w:rPr>
      </w:pPr>
      <w:r>
        <w:rPr>
          <w:rFonts w:hint="default" w:ascii="Times New Roman" w:hAnsi="Times New Roman" w:eastAsia="方正楷体_GBK" w:cs="Times New Roman"/>
          <w:kern w:val="2"/>
          <w:sz w:val="32"/>
          <w:szCs w:val="24"/>
          <w:lang w:val="en-US" w:eastAsia="zh-CN" w:bidi="ar-SA"/>
        </w:rPr>
        <w:t>（三）申报程序</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申报人按照职称管理权限向以下单位逐级上报材料，不得违规以兼职、挂靠、假冒等形式通过其他单位申报。</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1.区县属事业单位、国有企业人员：</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个人→所在单位→单位主管部门→区县人力社保（职改）部门→评委会。</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2.非公单位人员、流动人员、自主择业军队干部：</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eastAsia="方正仿宋_GBK" w:cs="Times New Roman"/>
          <w:color w:val="000000" w:themeColor="text1"/>
          <w:sz w:val="32"/>
          <w:szCs w:val="32"/>
          <w:lang w:val="en-US" w:eastAsia="zh-CN"/>
          <w14:textFill>
            <w14:solidFill>
              <w14:schemeClr w14:val="tx1"/>
            </w14:solidFill>
          </w14:textFill>
        </w:rPr>
        <w:t>a</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）档案在重庆的。个人→所在单位→人事代理机构→人事代理机构所在地区县人力社保（职改）部门→评委会。</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eastAsia="方正仿宋_GBK" w:cs="Times New Roman"/>
          <w:color w:val="000000" w:themeColor="text1"/>
          <w:sz w:val="32"/>
          <w:szCs w:val="32"/>
          <w:lang w:val="en-US" w:eastAsia="zh-CN"/>
          <w14:textFill>
            <w14:solidFill>
              <w14:schemeClr w14:val="tx1"/>
            </w14:solidFill>
          </w14:textFill>
        </w:rPr>
        <w:t>b</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）档案在异地的。个人（持异地查档记录）→所在单位→参保地区县人力社保（职改）部门→评委会。</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按照市人力社保局《关于做好我市流动人员职称申报评审工作有关事项的通知》（渝人社发〔2017〕235号）有关规定，其中，工作单位、档案存放均在重庆的，须有1年以上社保缴费记录（市内外可连续计算）；工作单位在重庆、档案在异地的，须在重庆工作1年以上（以社保参保记录为准）；工作单位在异地、档案在重庆的，须在重庆存档1年以上（以存档记录为准）。</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3.自由职业者：</w:t>
      </w:r>
    </w:p>
    <w:p>
      <w:pPr>
        <w:pStyle w:val="5"/>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个人→人事代理机构→人事代理机构所在地区县人力社保（职改）部门→评委会。其参保及存档时间要求，参照</w:t>
      </w:r>
      <w:r>
        <w:rPr>
          <w:rFonts w:hint="eastAsia" w:asci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执行。</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Times New Roman" w:eastAsia="方正仿宋_GBK" w:cs="Times New Roman"/>
          <w:color w:val="000000" w:themeColor="text1"/>
          <w:sz w:val="32"/>
          <w:szCs w:val="32"/>
          <w:lang w:val="en-US" w:eastAsia="zh-CN"/>
          <w14:textFill>
            <w14:solidFill>
              <w14:schemeClr w14:val="tx1"/>
            </w14:solidFill>
          </w14:textFill>
        </w:rPr>
        <w:t>央企或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市外单位驻渝人员：</w:t>
      </w:r>
    </w:p>
    <w:p>
      <w:pPr>
        <w:pStyle w:val="5"/>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个人（持具有职称评审权限的上级主管部门出具的委托评审函）→所在单位→单位驻重庆最高管理机构→评委会。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Times New Roman" w:hAnsi="Times New Roman" w:eastAsia="方正黑体_GBK" w:cs="Times New Roman"/>
          <w:sz w:val="32"/>
          <w:lang w:val="en-US" w:eastAsia="zh-CN"/>
        </w:rPr>
      </w:pPr>
      <w:r>
        <w:rPr>
          <w:rFonts w:hint="eastAsia" w:ascii="Times New Roman" w:hAnsi="Times New Roman" w:eastAsia="方正黑体_GBK" w:cs="Times New Roman"/>
          <w:sz w:val="32"/>
          <w:lang w:val="en-US" w:eastAsia="zh-CN"/>
        </w:rPr>
        <w:t>四、申报要求</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楷体_GBK" w:cs="Times New Roman"/>
          <w:kern w:val="2"/>
          <w:sz w:val="32"/>
          <w:szCs w:val="24"/>
          <w:lang w:val="en-US" w:eastAsia="zh-CN" w:bidi="ar-SA"/>
        </w:rPr>
      </w:pPr>
      <w:r>
        <w:rPr>
          <w:rFonts w:hint="default" w:ascii="Times New Roman" w:hAnsi="Times New Roman" w:eastAsia="方正楷体_GBK" w:cs="Times New Roman"/>
          <w:kern w:val="2"/>
          <w:sz w:val="32"/>
          <w:szCs w:val="24"/>
          <w:lang w:val="en-US" w:eastAsia="zh-CN" w:bidi="ar-SA"/>
        </w:rPr>
        <w:t>（一）用户注册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单位用户体系更新，新注册单位及主管部门的单位用户，统一使用“</w:t>
      </w:r>
      <w:r>
        <w:rPr>
          <w:rFonts w:hint="default" w:ascii="Times New Roman" w:hAnsi="Times New Roman" w:eastAsia="方正仿宋_GBK" w:cs="Times New Roman"/>
          <w:sz w:val="32"/>
          <w:szCs w:val="32"/>
          <w:highlight w:val="none"/>
        </w:rPr>
        <w:t>渝快办</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法人用户</w:t>
      </w:r>
      <w:r>
        <w:rPr>
          <w:rFonts w:hint="eastAsia" w:ascii="Times New Roman" w:hAnsi="Times New Roman" w:eastAsia="方正仿宋_GBK" w:cs="Times New Roman"/>
          <w:sz w:val="32"/>
          <w:szCs w:val="32"/>
          <w:highlight w:val="none"/>
          <w:lang w:eastAsia="zh-CN"/>
        </w:rPr>
        <w:t>登录</w:t>
      </w:r>
      <w:r>
        <w:rPr>
          <w:rFonts w:hint="default" w:ascii="Times New Roman" w:hAnsi="Times New Roman" w:eastAsia="方正仿宋_GBK" w:cs="Times New Roman"/>
          <w:sz w:val="32"/>
          <w:szCs w:val="32"/>
          <w:highlight w:val="none"/>
        </w:rPr>
        <w:t>。新增</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用户权限</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管理功能，可维护</w:t>
      </w:r>
      <w:r>
        <w:rPr>
          <w:rFonts w:hint="eastAsia" w:ascii="Times New Roman" w:hAnsi="Times New Roman" w:eastAsia="方正仿宋_GBK" w:cs="Times New Roman"/>
          <w:sz w:val="32"/>
          <w:szCs w:val="32"/>
          <w:highlight w:val="none"/>
          <w:lang w:eastAsia="zh-CN"/>
        </w:rPr>
        <w:t>授权</w:t>
      </w:r>
      <w:r>
        <w:rPr>
          <w:rFonts w:hint="default" w:ascii="Times New Roman" w:hAnsi="Times New Roman" w:eastAsia="方正仿宋_GBK" w:cs="Times New Roman"/>
          <w:sz w:val="32"/>
          <w:szCs w:val="32"/>
          <w:highlight w:val="none"/>
        </w:rPr>
        <w:t>本单位管理人员权限。支持单位和评委会</w:t>
      </w:r>
      <w:r>
        <w:rPr>
          <w:rFonts w:hint="eastAsia" w:ascii="Times New Roman" w:hAnsi="Times New Roman" w:eastAsia="方正仿宋_GBK" w:cs="Times New Roman"/>
          <w:sz w:val="32"/>
          <w:szCs w:val="32"/>
          <w:highlight w:val="none"/>
          <w:lang w:eastAsia="zh-CN"/>
        </w:rPr>
        <w:t>设置</w:t>
      </w:r>
      <w:r>
        <w:rPr>
          <w:rFonts w:hint="default" w:ascii="Times New Roman" w:hAnsi="Times New Roman" w:eastAsia="方正仿宋_GBK" w:cs="Times New Roman"/>
          <w:sz w:val="32"/>
          <w:szCs w:val="32"/>
          <w:highlight w:val="none"/>
        </w:rPr>
        <w:t>多个管理员经办业务</w:t>
      </w:r>
      <w:r>
        <w:rPr>
          <w:rFonts w:hint="eastAsia" w:ascii="Times New Roman" w:hAnsi="Times New Roman" w:eastAsia="方正仿宋_GBK" w:cs="Times New Roman"/>
          <w:sz w:val="32"/>
          <w:szCs w:val="32"/>
          <w:highlight w:val="none"/>
          <w:lang w:eastAsia="zh-CN"/>
        </w:rPr>
        <w:t>。原已通过个人用户</w:t>
      </w:r>
      <w:r>
        <w:rPr>
          <w:rFonts w:hint="default" w:ascii="Times New Roman" w:hAnsi="Times New Roman" w:eastAsia="方正仿宋_GBK" w:cs="Times New Roman"/>
          <w:sz w:val="32"/>
          <w:szCs w:val="32"/>
          <w:highlight w:val="none"/>
        </w:rPr>
        <w:t>在</w:t>
      </w:r>
      <w:r>
        <w:rPr>
          <w:rFonts w:hint="eastAsia" w:ascii="Times New Roman" w:hAnsi="Times New Roman" w:eastAsia="方正仿宋_GBK" w:cs="Times New Roman"/>
          <w:sz w:val="32"/>
          <w:szCs w:val="32"/>
          <w:highlight w:val="none"/>
          <w:lang w:eastAsia="zh-CN"/>
        </w:rPr>
        <w:t>专技</w:t>
      </w:r>
      <w:r>
        <w:rPr>
          <w:rFonts w:hint="eastAsia" w:ascii="Times New Roman" w:hAnsi="Times New Roman" w:eastAsia="方正仿宋_GBK" w:cs="Times New Roman"/>
          <w:sz w:val="32"/>
          <w:szCs w:val="32"/>
          <w:highlight w:val="none"/>
          <w:lang w:val="en-US" w:eastAsia="zh-CN"/>
        </w:rPr>
        <w:t>服务平台</w:t>
      </w:r>
      <w:r>
        <w:rPr>
          <w:rFonts w:hint="default" w:ascii="Times New Roman" w:hAnsi="Times New Roman" w:eastAsia="方正仿宋_GBK" w:cs="Times New Roman"/>
          <w:sz w:val="32"/>
          <w:szCs w:val="32"/>
          <w:highlight w:val="none"/>
        </w:rPr>
        <w:t>注册的</w:t>
      </w:r>
      <w:r>
        <w:rPr>
          <w:rFonts w:hint="eastAsia" w:ascii="Times New Roman" w:hAnsi="Times New Roman" w:eastAsia="方正仿宋_GBK" w:cs="Times New Roman"/>
          <w:sz w:val="32"/>
          <w:szCs w:val="32"/>
          <w:highlight w:val="none"/>
          <w:lang w:eastAsia="zh-CN"/>
        </w:rPr>
        <w:t>单位管理员</w:t>
      </w:r>
      <w:r>
        <w:rPr>
          <w:rFonts w:hint="default" w:ascii="Times New Roman" w:hAnsi="Times New Roman" w:eastAsia="方正仿宋_GBK" w:cs="Times New Roman"/>
          <w:sz w:val="32"/>
          <w:szCs w:val="32"/>
          <w:highlight w:val="none"/>
        </w:rPr>
        <w:t>，无需重复注册</w:t>
      </w:r>
      <w:r>
        <w:rPr>
          <w:rFonts w:hint="eastAsia" w:ascii="Times New Roman" w:hAnsi="Times New Roman" w:eastAsia="方正仿宋_GBK" w:cs="Times New Roman"/>
          <w:sz w:val="32"/>
          <w:szCs w:val="32"/>
          <w:highlight w:val="none"/>
          <w:lang w:eastAsia="zh-CN"/>
        </w:rPr>
        <w:t>，可继续</w:t>
      </w:r>
      <w:r>
        <w:rPr>
          <w:rFonts w:hint="default" w:ascii="Times New Roman" w:hAnsi="Times New Roman" w:eastAsia="方正仿宋_GBK" w:cs="Times New Roman"/>
          <w:sz w:val="32"/>
          <w:szCs w:val="32"/>
          <w:highlight w:val="none"/>
        </w:rPr>
        <w:t>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个人用户直接使用“</w:t>
      </w:r>
      <w:r>
        <w:rPr>
          <w:rFonts w:hint="default" w:ascii="Times New Roman" w:hAnsi="Times New Roman" w:eastAsia="方正仿宋_GBK" w:cs="Times New Roman"/>
          <w:sz w:val="32"/>
          <w:szCs w:val="32"/>
          <w:highlight w:val="none"/>
        </w:rPr>
        <w:t>渝快办</w:t>
      </w:r>
      <w:r>
        <w:rPr>
          <w:rFonts w:hint="eastAsia" w:ascii="Times New Roman" w:hAnsi="Times New Roman" w:eastAsia="方正仿宋_GBK" w:cs="Times New Roman"/>
          <w:sz w:val="32"/>
          <w:szCs w:val="32"/>
          <w:highlight w:val="none"/>
          <w:lang w:eastAsia="zh-CN"/>
        </w:rPr>
        <w:t>”个人用户登录。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逐级上报职称时，若无法选择单位或上级主管部门的，请联系相应机构</w:t>
      </w:r>
      <w:r>
        <w:rPr>
          <w:rFonts w:hint="eastAsia" w:ascii="Times New Roman" w:hAnsi="Times New Roman" w:eastAsia="方正仿宋_GBK" w:cs="Times New Roman"/>
          <w:sz w:val="32"/>
          <w:szCs w:val="32"/>
          <w:highlight w:val="none"/>
          <w:lang w:eastAsia="zh-CN"/>
        </w:rPr>
        <w:t>注册“</w:t>
      </w:r>
      <w:r>
        <w:rPr>
          <w:rFonts w:hint="default" w:ascii="Times New Roman" w:hAnsi="Times New Roman" w:eastAsia="方正仿宋_GBK" w:cs="Times New Roman"/>
          <w:sz w:val="32"/>
          <w:szCs w:val="32"/>
          <w:highlight w:val="none"/>
        </w:rPr>
        <w:t>渝快办</w:t>
      </w:r>
      <w:r>
        <w:rPr>
          <w:rFonts w:hint="eastAsia" w:ascii="Times New Roman" w:hAnsi="Times New Roman" w:eastAsia="方正仿宋_GBK" w:cs="Times New Roman"/>
          <w:sz w:val="32"/>
          <w:szCs w:val="32"/>
          <w:highlight w:val="none"/>
          <w:lang w:eastAsia="zh-CN"/>
        </w:rPr>
        <w:t>”法人用户</w:t>
      </w:r>
      <w:r>
        <w:rPr>
          <w:rFonts w:hint="default" w:ascii="Times New Roman" w:hAnsi="Times New Roman" w:eastAsia="方正仿宋_GBK" w:cs="Times New Roman"/>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黑体" w:hAnsi="黑体" w:eastAsia="方正仿宋_GBK" w:cs="黑体"/>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kern w:val="2"/>
          <w:sz w:val="32"/>
          <w:szCs w:val="24"/>
          <w:lang w:val="en-US" w:eastAsia="zh-CN" w:bidi="ar-SA"/>
        </w:rPr>
        <w:t>（二）个人申报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申报人应在规定期限内登录</w:t>
      </w:r>
      <w:r>
        <w:rPr>
          <w:rFonts w:hint="eastAsia" w:ascii="Times New Roman" w:hAnsi="Times New Roman" w:eastAsia="方正仿宋_GBK" w:cs="Times New Roman"/>
          <w:sz w:val="32"/>
          <w:szCs w:val="32"/>
          <w:highlight w:val="none"/>
          <w:lang w:val="en-US" w:eastAsia="zh-CN"/>
        </w:rPr>
        <w:t>服务平台，客观、真实、准确填写个人职称申报信息</w:t>
      </w:r>
      <w:r>
        <w:rPr>
          <w:rFonts w:hint="default" w:ascii="Times New Roman" w:hAnsi="Times New Roman" w:eastAsia="方正仿宋_GBK" w:cs="Times New Roman"/>
          <w:sz w:val="32"/>
          <w:szCs w:val="32"/>
          <w:highlight w:val="none"/>
        </w:rPr>
        <w:t>完成系统提交。所填业绩成果，均应在系统上传相应佐证材料，因未传佐证材料或佐证材料不符导致评审结果受影响的，责任自负。业绩成果如有涉密内容，请按保密规定进行脱密处理。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申请提交后，</w:t>
      </w:r>
      <w:r>
        <w:rPr>
          <w:rFonts w:hint="default" w:ascii="Times New Roman" w:hAnsi="Times New Roman" w:eastAsia="方正仿宋_GBK" w:cs="Times New Roman"/>
          <w:sz w:val="32"/>
          <w:szCs w:val="32"/>
          <w:highlight w:val="none"/>
        </w:rPr>
        <w:t>申报人可随时登录系统，通过“我的申请书”查看本人申请书审核进度及现阶段审核单位联系人和联系电话，提醒相关单位及时审核本人提交的申请书。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2"/>
          <w:sz w:val="32"/>
          <w:szCs w:val="24"/>
          <w:lang w:val="en-US" w:eastAsia="zh-CN" w:bidi="ar-SA"/>
        </w:rPr>
      </w:pPr>
      <w:r>
        <w:rPr>
          <w:rFonts w:hint="default" w:ascii="Times New Roman" w:hAnsi="Times New Roman" w:eastAsia="方正仿宋_GBK" w:cs="Times New Roman"/>
          <w:sz w:val="32"/>
          <w:szCs w:val="32"/>
          <w:highlight w:val="none"/>
        </w:rPr>
        <w:t>申报人要认真履行“诚信承诺”，一个年度内通过正常申报渠道只能申报一次职称（“绿色通道”评定</w:t>
      </w:r>
      <w:r>
        <w:rPr>
          <w:rFonts w:hint="eastAsia" w:ascii="Times New Roman" w:hAnsi="Times New Roman" w:eastAsia="方正仿宋_GBK" w:cs="Times New Roman"/>
          <w:sz w:val="32"/>
          <w:szCs w:val="32"/>
          <w:highlight w:val="none"/>
          <w:lang w:val="en-US" w:eastAsia="zh-CN"/>
        </w:rPr>
        <w:t>未通过的除外</w:t>
      </w:r>
      <w:r>
        <w:rPr>
          <w:rFonts w:hint="default" w:ascii="Times New Roman" w:hAnsi="Times New Roman" w:eastAsia="方正仿宋_GBK" w:cs="Times New Roman"/>
          <w:sz w:val="32"/>
          <w:szCs w:val="32"/>
          <w:highlight w:val="none"/>
        </w:rPr>
        <w:t>），且不得违规以兼职、挂靠、假冒等形式通过其他单位申报。</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楷体_GBK" w:cs="Times New Roman"/>
          <w:kern w:val="2"/>
          <w:sz w:val="32"/>
          <w:szCs w:val="24"/>
          <w:lang w:val="en-US" w:eastAsia="zh-CN" w:bidi="ar-SA"/>
        </w:rPr>
      </w:pPr>
      <w:r>
        <w:rPr>
          <w:rFonts w:hint="default" w:ascii="Times New Roman" w:hAnsi="Times New Roman" w:eastAsia="方正楷体_GBK" w:cs="Times New Roman"/>
          <w:kern w:val="2"/>
          <w:sz w:val="32"/>
          <w:szCs w:val="24"/>
          <w:lang w:val="en-US" w:eastAsia="zh-CN" w:bidi="ar-SA"/>
        </w:rPr>
        <w:t>（三）审核推荐</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1.单位审核推荐</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报人联系参保单位进行审核推荐。所在单位负责指导本单位人员申报，对申报人在服务平台中提交的材料认真审查核对，严格把关，确保材料真实、准确、齐备，并结合相应系列或专业、相应级别的职称申报条件进行推荐审查。</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对申报材料不完整、填写不清楚的，所在单位应通知申报人在限定时间内补充完善，申报人逾期未补充完善的，视为放弃申报。对不符合相应系列或专业、相应级别职称申报条件的，不得推荐上报。</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单位应结合申报人考核及履职情况择优确定推荐人选。有条件的单位可制定本单位职称申报条件（不低于全市基本条件）、规定和办法，进行择优推荐。拟推荐人员的《重庆市职称申报综合情况（公示）表》和有关材料在本单位公开场所集中公示不少于5个工作日，有条件的还应同时在单位办公平台公示，公示期间的问题受理渠道应包含本单位和上级主管部门两级联系方式。经公示无异议或经查实无问题的申报材料，在服务平台完成报送主管部门。</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2.主管部门（人事代理机构）审核推荐</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申报人联系主管部门（人事代理机构）进行审核。主管部门（人事代理机构）登录服务平台完成报送县职改部门。</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3.县职改部门审核。</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申报人联系县职改部门审核。经审核无误后，在服务平台报送各评委会。</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4.评委会审核受理</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委会组建单位完成首次审核。对不符合资格条件、不属于受理范围或未按规定程序报送的，不予受理；材料不完整或手续不齐备的，一次性告知并退回补正，逾期未补正的（未经公示的材料不得补报）视为放弃申报；未按要求补正资料，评委会再次退回，退回材料第3次提交评委会审核仍未不符合要求的，审核不通过，本次申报终止不予受理。</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楷体_GBK" w:cs="Times New Roman"/>
          <w:kern w:val="2"/>
          <w:sz w:val="32"/>
          <w:szCs w:val="24"/>
          <w:lang w:val="en-US" w:eastAsia="zh-CN" w:bidi="ar-SA"/>
        </w:rPr>
      </w:pPr>
      <w:r>
        <w:rPr>
          <w:rFonts w:hint="default" w:ascii="Times New Roman" w:hAnsi="Times New Roman" w:eastAsia="方正楷体_GBK" w:cs="Times New Roman"/>
          <w:kern w:val="2"/>
          <w:sz w:val="32"/>
          <w:szCs w:val="24"/>
          <w:lang w:val="en-US" w:eastAsia="zh-CN" w:bidi="ar-SA"/>
        </w:rPr>
        <w:t>（四）评审材料归档</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职称资格确认通知下发后1个月内，呈报单位将职称确认通知转发申报单位，申报人登录系统，打印评审表（查看评审结果及专家意见）。系统导出的职称评审表，评审结果页自带评委会、核准机构电子签章，其他不带电子签章的栏目由申报人送相应机构进行补盖鲜章。完善签章的评审表，1份须存入申报人人事档案、1份存入单位文书档案。</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楷体_GBK" w:cs="Times New Roman"/>
          <w:kern w:val="2"/>
          <w:sz w:val="32"/>
          <w:szCs w:val="24"/>
          <w:lang w:val="en-US" w:eastAsia="zh-CN" w:bidi="ar-SA"/>
        </w:rPr>
      </w:pPr>
      <w:r>
        <w:rPr>
          <w:rFonts w:hint="default" w:ascii="Times New Roman" w:hAnsi="Times New Roman" w:eastAsia="方正楷体_GBK" w:cs="Times New Roman"/>
          <w:kern w:val="2"/>
          <w:sz w:val="32"/>
          <w:szCs w:val="24"/>
          <w:lang w:val="en-US" w:eastAsia="zh-CN" w:bidi="ar-SA"/>
        </w:rPr>
        <w:t>（五）职称证书办理</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全面启用职称电子证书，不再办理纸质证书。申报人可通过服务平台直接下载打印职称电子证书。</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五、纪律要求</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对违反有关规定的申报人、所在工作单位有关人员、评审专家或评审办事机构工作人员，按《职称评审</w:t>
      </w:r>
      <w:r>
        <w:rPr>
          <w:rFonts w:hint="eastAsia" w:ascii="Times New Roman" w:eastAsia="方正仿宋_GBK" w:cs="Times New Roman"/>
          <w:color w:val="000000" w:themeColor="text1"/>
          <w:sz w:val="32"/>
          <w:szCs w:val="32"/>
          <w:lang w:val="en-US" w:eastAsia="zh-CN"/>
          <w14:textFill>
            <w14:solidFill>
              <w14:schemeClr w14:val="tx1"/>
            </w14:solidFill>
          </w14:textFill>
        </w:rPr>
        <w:t>监管暂行办法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》（人社</w:t>
      </w:r>
      <w:r>
        <w:rPr>
          <w:rFonts w:hint="eastAsia" w:ascii="Times New Roman" w:eastAsia="方正仿宋_GBK" w:cs="Times New Roman"/>
          <w:color w:val="000000" w:themeColor="text1"/>
          <w:sz w:val="32"/>
          <w:szCs w:val="32"/>
          <w:lang w:val="en-US" w:eastAsia="zh-CN"/>
          <w14:textFill>
            <w14:solidFill>
              <w14:schemeClr w14:val="tx1"/>
            </w14:solidFill>
          </w14:textFill>
        </w:rPr>
        <w:t>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发〔202</w:t>
      </w:r>
      <w:r>
        <w:rPr>
          <w:rFonts w:hint="eastAsia" w:asci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eastAsia="方正仿宋_GBK" w:cs="Times New Roman"/>
          <w:color w:val="000000" w:themeColor="text1"/>
          <w:sz w:val="32"/>
          <w:szCs w:val="32"/>
          <w:lang w:val="en-US" w:eastAsia="zh-CN"/>
          <w14:textFill>
            <w14:solidFill>
              <w14:schemeClr w14:val="tx1"/>
            </w14:solidFill>
          </w14:textFill>
        </w:rPr>
        <w:t>56</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号）和《重庆市职称评审管理办法》（渝人社发〔2021〕25号）进行处理。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六</w:t>
      </w:r>
      <w:r>
        <w:rPr>
          <w:rFonts w:hint="eastAsia" w:eastAsia="方正黑体_GBK" w:cs="Times New Roman"/>
          <w:sz w:val="32"/>
          <w:lang w:val="en-US" w:eastAsia="zh-CN"/>
        </w:rPr>
        <w:t>、</w:t>
      </w:r>
      <w:r>
        <w:rPr>
          <w:rFonts w:hint="default" w:ascii="Times New Roman" w:hAnsi="Times New Roman" w:eastAsia="方正黑体_GBK" w:cs="Times New Roman"/>
          <w:sz w:val="32"/>
          <w:lang w:val="en-US" w:eastAsia="zh-CN"/>
        </w:rPr>
        <w:t>注意事项</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按照数字重庆建设总体部署，通过最大化数据共享，最大程度减少个人填报、单位比对验证事项，职称申报系统已共享实现个人基本信息、社保缴费单位、档案存放机构、现有资格、继续教育公需科目完成情况、事业单位岗位空缺情况自动填报或比对。系统自动验证通过的人员，无需另行上传佐证材料，系统自动验证未通过的人员，须上传佐证材料提交人工审核。</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（二）申报人工作时间、任职时间计算截至202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年12月31日。</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（三）根据《丰都县人力资源和社会保障局关于开展202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年度专业技术人员继续教育公需科目</w:t>
      </w:r>
      <w:r>
        <w:rPr>
          <w:rFonts w:hint="eastAsia" w:ascii="Times New Roman" w:eastAsia="方正仿宋_GBK" w:cs="Times New Roman"/>
          <w:color w:val="000000" w:themeColor="text1"/>
          <w:sz w:val="32"/>
          <w:szCs w:val="32"/>
          <w:lang w:val="en-US" w:eastAsia="zh-CN"/>
          <w14:textFill>
            <w14:solidFill>
              <w14:schemeClr w14:val="tx1"/>
            </w14:solidFill>
          </w14:textFill>
        </w:rPr>
        <w:t>网络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培训的通知》（丰人社发〔202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eastAsia="方正仿宋_GBK" w:cs="Times New Roman"/>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号）专业技术人员应按要求参加继续教育并填写《重庆市专业技术人员继续教育登记卡》（附件4），每年累计应不少于90学时，其中公需科目学习应不少于30学时，专业科目学习应不少于60学时。</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（四）申报所提供的业绩成果须为取得现职称以后且与申报专业（学科）相关，取得现职称前的业绩成果不能用于申报评审高一级职称。相关业绩成果证明需提供相关资料：</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1.工作业绩需提供合同、协议、项目报告等节选内容。</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2.科研项目（课题）需提供立项审批表、结题报告等节选内容。</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3.论文需提供封面、论文页及论文检索证明等，著作需提供封面、前言及出版社证明等。</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4.学术技术报告需提供邀请函。</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5.获奖成果需提供获奖证书、奖励文件等。</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6.专利需提供专利证书，软件著作权需提供软件著作权登记证书。</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7.标准规范需提供封面、前言等内容。 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五</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对于工程系列各专业职称申报条件中“</w:t>
      </w:r>
      <w:r>
        <w:rPr>
          <w:rFonts w:hint="default" w:ascii="Times New Roman" w:hAnsi="Times New Roman" w:eastAsia="方正仿宋_GBK" w:cs="Times New Roman"/>
          <w:sz w:val="32"/>
          <w:szCs w:val="32"/>
          <w:highlight w:val="none"/>
        </w:rPr>
        <w:t>获得工程类专业学位的工程技术人才，可提前1年参加相应专业职称评审。”</w:t>
      </w:r>
      <w:r>
        <w:rPr>
          <w:rFonts w:hint="eastAsia" w:ascii="Times New Roman" w:hAnsi="Times New Roman" w:eastAsia="方正仿宋_GBK" w:cs="Times New Roman"/>
          <w:sz w:val="32"/>
          <w:szCs w:val="32"/>
          <w:highlight w:val="none"/>
          <w:lang w:eastAsia="zh-CN"/>
        </w:rPr>
        <w:t>其中“工程类专业学位”为获得工程类别专业学位的专业硕士，工程专业学术学位不适用。</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eastAsia="方正仿宋_GBK" w:cs="Times New Roman"/>
          <w:color w:val="000000" w:themeColor="text1"/>
          <w:sz w:val="32"/>
          <w:szCs w:val="32"/>
          <w:lang w:val="en-US" w:eastAsia="zh-CN"/>
          <w14:textFill>
            <w14:solidFill>
              <w14:schemeClr w14:val="tx1"/>
            </w14:solidFill>
          </w14:textFill>
        </w:rPr>
        <w:t>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严格执行市物价局、市财政局《关于调整我市专业技术职务资格评审费标准及有关问题的通知》（渝价〔2015〕123号）相关规定，高、中、初级职称评审费分别为420元/人、240元/人，120元/人。评委会组建单位不得另外以答辩费、培训费、资料费、档案保管费等名目，扩大或提高缴费范围和标准。具体缴费时间及方式以各评委会通知为准。申报丰都县评审的人员请于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年11月</w:t>
      </w:r>
      <w:r>
        <w:rPr>
          <w:rFonts w:hint="eastAsia" w:ascii="Times New Roman" w:eastAsia="方正仿宋_GBK"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日至</w:t>
      </w:r>
      <w:r>
        <w:rPr>
          <w:rFonts w:hint="eastAsia" w:ascii="Times New Roman" w:eastAsia="方正仿宋_GBK" w:cs="Times New Roman"/>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日关注“丰都财政”公众号——点开“公共缴费”——进入“丰都公共缴费平台”——输入“身份证号码”——进入微信支付系统支付。</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Times New Roman" w:hAnsi="Times New Roman" w:eastAsia="方正黑体_GBK" w:cs="Times New Roman"/>
          <w:sz w:val="32"/>
          <w:lang w:val="en-US" w:eastAsia="zh-CN"/>
        </w:rPr>
      </w:pPr>
      <w:r>
        <w:rPr>
          <w:rFonts w:hint="eastAsia" w:ascii="Times New Roman" w:hAnsi="Times New Roman" w:eastAsia="方正黑体_GBK" w:cs="Times New Roman"/>
          <w:sz w:val="32"/>
          <w:lang w:val="en-US" w:eastAsia="zh-CN"/>
        </w:rPr>
        <w:t>七、联系方式</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联系人：华老师，联系电话：023-70605625</w:t>
      </w:r>
      <w:r>
        <w:rPr>
          <w:rFonts w:hint="eastAsia" w:ascii="Times New Roman" w:eastAsia="方正仿宋_GBK" w:cs="Times New Roman"/>
          <w:color w:val="000000" w:themeColor="text1"/>
          <w:sz w:val="32"/>
          <w:szCs w:val="32"/>
          <w:lang w:val="en-US" w:eastAsia="zh-CN"/>
          <w14:textFill>
            <w14:solidFill>
              <w14:schemeClr w14:val="tx1"/>
            </w14:solidFill>
          </w14:textFill>
        </w:rPr>
        <w:t>、18325019711</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sectPr>
          <w:headerReference r:id="rId3" w:type="default"/>
          <w:footerReference r:id="rId4" w:type="default"/>
          <w:footerReference r:id="rId5" w:type="even"/>
          <w:pgSz w:w="11907" w:h="16840"/>
          <w:pgMar w:top="2098" w:right="1474" w:bottom="1985" w:left="1588" w:header="851" w:footer="992" w:gutter="0"/>
          <w:pgNumType w:fmt="decimal"/>
          <w:cols w:space="720" w:num="1"/>
          <w:docGrid w:linePitch="312" w:charSpace="0"/>
        </w:sectPr>
      </w:pPr>
    </w:p>
    <w:p>
      <w:pPr>
        <w:pStyle w:val="5"/>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附件：1.202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年重庆市高级职称申报评审工作计划</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1600" w:firstLineChars="5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2.重庆市事业单位职称评审申报数量备案表</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1600" w:firstLineChars="5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3.丰都县职称申报材料要求</w:t>
      </w:r>
    </w:p>
    <w:p>
      <w:pPr>
        <w:pStyle w:val="5"/>
        <w:keepNext w:val="0"/>
        <w:keepLines w:val="0"/>
        <w:pageBreakBefore w:val="0"/>
        <w:widowControl w:val="0"/>
        <w:kinsoku/>
        <w:wordWrap/>
        <w:overflowPunct/>
        <w:topLinePunct w:val="0"/>
        <w:autoSpaceDE/>
        <w:autoSpaceDN/>
        <w:bidi w:val="0"/>
        <w:adjustRightInd/>
        <w:snapToGrid/>
        <w:spacing w:after="0" w:line="580" w:lineRule="exact"/>
        <w:ind w:firstLine="1600" w:firstLineChars="5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4.重庆市专业技术人员继续教育登记卡</w:t>
      </w:r>
    </w:p>
    <w:p>
      <w:pPr>
        <w:pStyle w:val="5"/>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丰都县职称改革办公室</w:t>
      </w:r>
    </w:p>
    <w:p>
      <w:pPr>
        <w:pStyle w:val="5"/>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eastAsia" w:asci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eastAsia" w:asci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sectPr>
          <w:footerReference r:id="rId6" w:type="default"/>
          <w:footerReference r:id="rId7" w:type="even"/>
          <w:pgSz w:w="11907" w:h="16840"/>
          <w:pgMar w:top="2098" w:right="1474" w:bottom="1985" w:left="1588" w:header="851" w:footer="992" w:gutter="0"/>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附件1</w:t>
      </w:r>
    </w:p>
    <w:p>
      <w:pPr>
        <w:keepNext w:val="0"/>
        <w:keepLines w:val="0"/>
        <w:pageBreakBefore w:val="0"/>
        <w:kinsoku/>
        <w:overflowPunct/>
        <w:topLinePunct w:val="0"/>
        <w:autoSpaceDN/>
        <w:bidi w:val="0"/>
        <w:spacing w:line="560" w:lineRule="exact"/>
        <w:jc w:val="center"/>
        <w:rPr>
          <w:rFonts w:hint="eastAsia" w:ascii="Times New Roman" w:hAnsi="Times New Roman" w:eastAsia="方正小标宋_GBK" w:cs="Times New Roman"/>
          <w:i w:val="0"/>
          <w:iCs w:val="0"/>
          <w:caps w:val="0"/>
          <w:color w:val="333333"/>
          <w:spacing w:val="0"/>
          <w:sz w:val="44"/>
          <w:szCs w:val="44"/>
          <w:highlight w:val="none"/>
          <w:shd w:val="clear" w:color="auto" w:fill="FFFFFF"/>
          <w:lang w:val="en-US" w:eastAsia="zh-CN"/>
        </w:rPr>
      </w:pPr>
      <w:r>
        <w:rPr>
          <w:rFonts w:hint="eastAsia" w:ascii="Times New Roman" w:hAnsi="Times New Roman" w:eastAsia="方正小标宋_GBK" w:cs="Times New Roman"/>
          <w:i w:val="0"/>
          <w:iCs w:val="0"/>
          <w:caps w:val="0"/>
          <w:color w:val="333333"/>
          <w:spacing w:val="0"/>
          <w:sz w:val="44"/>
          <w:szCs w:val="44"/>
          <w:highlight w:val="none"/>
          <w:shd w:val="clear" w:color="auto" w:fill="FFFFFF"/>
          <w:lang w:val="en-US" w:eastAsia="zh-CN"/>
        </w:rPr>
        <w:t>2025年重庆市高级职称申报评审工作计划</w:t>
      </w:r>
    </w:p>
    <w:tbl>
      <w:tblPr>
        <w:tblStyle w:val="13"/>
        <w:tblW w:w="5582" w:type="pct"/>
        <w:tblInd w:w="-10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3145"/>
        <w:gridCol w:w="2355"/>
        <w:gridCol w:w="2161"/>
        <w:gridCol w:w="949"/>
        <w:gridCol w:w="1099"/>
        <w:gridCol w:w="1613"/>
        <w:gridCol w:w="871"/>
        <w:gridCol w:w="839"/>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序号</w:t>
            </w:r>
          </w:p>
        </w:tc>
        <w:tc>
          <w:tcPr>
            <w:tcW w:w="1085"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评委会名称</w:t>
            </w:r>
          </w:p>
        </w:tc>
        <w:tc>
          <w:tcPr>
            <w:tcW w:w="812"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组建单位</w:t>
            </w:r>
          </w:p>
        </w:tc>
        <w:tc>
          <w:tcPr>
            <w:tcW w:w="745"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评审系列（专业）</w:t>
            </w:r>
          </w:p>
        </w:tc>
        <w:tc>
          <w:tcPr>
            <w:tcW w:w="32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kern w:val="0"/>
                <w:sz w:val="24"/>
                <w:szCs w:val="24"/>
                <w:highlight w:val="none"/>
                <w:u w:val="none"/>
                <w:lang w:val="en-US" w:eastAsia="zh-CN" w:bidi="ar"/>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评审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范围</w:t>
            </w:r>
          </w:p>
        </w:tc>
        <w:tc>
          <w:tcPr>
            <w:tcW w:w="379"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kern w:val="0"/>
                <w:sz w:val="24"/>
                <w:szCs w:val="24"/>
                <w:highlight w:val="none"/>
                <w:u w:val="none"/>
                <w:lang w:val="en-US" w:eastAsia="zh-CN" w:bidi="ar"/>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评审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层级</w:t>
            </w:r>
          </w:p>
        </w:tc>
        <w:tc>
          <w:tcPr>
            <w:tcW w:w="556"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2"/>
                <w:szCs w:val="22"/>
                <w:highlight w:val="none"/>
                <w:u w:val="none"/>
              </w:rPr>
            </w:pPr>
            <w:r>
              <w:rPr>
                <w:rFonts w:hint="eastAsia" w:ascii="方正黑体_GBK" w:hAnsi="方正黑体_GBK" w:eastAsia="方正黑体_GBK" w:cs="方正黑体_GBK"/>
                <w:i w:val="0"/>
                <w:iCs w:val="0"/>
                <w:color w:val="auto"/>
                <w:kern w:val="0"/>
                <w:sz w:val="22"/>
                <w:szCs w:val="22"/>
                <w:highlight w:val="none"/>
                <w:u w:val="none"/>
                <w:lang w:val="en-US" w:eastAsia="zh-CN" w:bidi="ar"/>
              </w:rPr>
              <w:t>咨询电话</w:t>
            </w:r>
          </w:p>
        </w:tc>
        <w:tc>
          <w:tcPr>
            <w:tcW w:w="890"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2"/>
                <w:szCs w:val="22"/>
                <w:highlight w:val="none"/>
                <w:u w:val="none"/>
                <w:lang w:val="en" w:eastAsia="zh-CN"/>
              </w:rPr>
            </w:pPr>
            <w:r>
              <w:rPr>
                <w:rFonts w:hint="eastAsia" w:ascii="方正黑体_GBK" w:hAnsi="方正黑体_GBK" w:eastAsia="方正黑体_GBK" w:cs="方正黑体_GBK"/>
                <w:i w:val="0"/>
                <w:iCs w:val="0"/>
                <w:color w:val="auto"/>
                <w:sz w:val="22"/>
                <w:szCs w:val="22"/>
                <w:highlight w:val="none"/>
                <w:u w:val="none"/>
                <w:lang w:val="en" w:eastAsia="zh-CN"/>
              </w:rPr>
              <w:t>时间安排（以申报系统设定时间为准）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085" w:type="pct"/>
            <w:vMerge w:val="continue"/>
            <w:tcBorders>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812" w:type="pct"/>
            <w:vMerge w:val="continue"/>
            <w:tcBorders>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745" w:type="pct"/>
            <w:vMerge w:val="continue"/>
            <w:tcBorders>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327" w:type="pct"/>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379" w:type="pct"/>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556" w:type="pct"/>
            <w:vMerge w:val="continue"/>
            <w:tcBorders>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300"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i w:val="0"/>
                <w:iCs w:val="0"/>
                <w:color w:val="auto"/>
                <w:kern w:val="2"/>
                <w:sz w:val="22"/>
                <w:szCs w:val="22"/>
                <w:highlight w:val="none"/>
                <w:u w:val="none"/>
                <w:lang w:val="en-US" w:eastAsia="zh-CN" w:bidi="ar-SA"/>
              </w:rPr>
            </w:pPr>
            <w:r>
              <w:rPr>
                <w:rFonts w:hint="eastAsia" w:ascii="方正黑体_GBK" w:hAnsi="方正黑体_GBK" w:eastAsia="方正黑体_GBK" w:cs="方正黑体_GBK"/>
                <w:i w:val="0"/>
                <w:iCs w:val="0"/>
                <w:color w:val="auto"/>
                <w:kern w:val="0"/>
                <w:sz w:val="22"/>
                <w:szCs w:val="22"/>
                <w:highlight w:val="none"/>
                <w:u w:val="none"/>
                <w:lang w:val="en-US" w:eastAsia="zh-CN" w:bidi="ar"/>
              </w:rPr>
              <w:t>申报时间</w:t>
            </w:r>
          </w:p>
        </w:tc>
        <w:tc>
          <w:tcPr>
            <w:tcW w:w="289"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i w:val="0"/>
                <w:iCs w:val="0"/>
                <w:color w:val="auto"/>
                <w:kern w:val="2"/>
                <w:sz w:val="22"/>
                <w:szCs w:val="22"/>
                <w:highlight w:val="none"/>
                <w:u w:val="none"/>
                <w:lang w:val="en-US" w:eastAsia="zh-CN" w:bidi="ar-SA"/>
              </w:rPr>
            </w:pPr>
            <w:r>
              <w:rPr>
                <w:rFonts w:hint="eastAsia" w:ascii="方正黑体_GBK" w:hAnsi="方正黑体_GBK" w:eastAsia="方正黑体_GBK" w:cs="方正黑体_GBK"/>
                <w:i w:val="0"/>
                <w:iCs w:val="0"/>
                <w:color w:val="auto"/>
                <w:kern w:val="0"/>
                <w:sz w:val="22"/>
                <w:szCs w:val="22"/>
                <w:highlight w:val="none"/>
                <w:u w:val="none"/>
                <w:lang w:val="en-US" w:eastAsia="zh-CN" w:bidi="ar"/>
              </w:rPr>
              <w:t>审核时间</w:t>
            </w:r>
          </w:p>
        </w:tc>
        <w:tc>
          <w:tcPr>
            <w:tcW w:w="300" w:type="pct"/>
            <w:tcBorders>
              <w:top w:val="single" w:color="auto"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i w:val="0"/>
                <w:iCs w:val="0"/>
                <w:color w:val="auto"/>
                <w:kern w:val="2"/>
                <w:sz w:val="22"/>
                <w:szCs w:val="22"/>
                <w:highlight w:val="none"/>
                <w:u w:val="none"/>
                <w:lang w:val="en-US" w:eastAsia="zh-CN" w:bidi="ar-SA"/>
              </w:rPr>
            </w:pPr>
            <w:r>
              <w:rPr>
                <w:rFonts w:hint="eastAsia" w:ascii="方正黑体_GBK" w:hAnsi="方正黑体_GBK" w:eastAsia="方正黑体_GBK" w:cs="方正黑体_GBK"/>
                <w:i w:val="0"/>
                <w:iCs w:val="0"/>
                <w:color w:val="auto"/>
                <w:kern w:val="0"/>
                <w:sz w:val="22"/>
                <w:szCs w:val="22"/>
                <w:highlight w:val="none"/>
                <w:u w:val="none"/>
                <w:lang w:val="en-US" w:eastAsia="zh-CN" w:bidi="ar"/>
              </w:rPr>
              <w:t>缴费时间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085"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重庆市工程技术网信专业副高级职称评审委员会</w:t>
            </w:r>
          </w:p>
        </w:tc>
        <w:tc>
          <w:tcPr>
            <w:tcW w:w="812"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中共重庆市委网络安全和信息化委员会办公室</w:t>
            </w:r>
          </w:p>
        </w:tc>
        <w:tc>
          <w:tcPr>
            <w:tcW w:w="745" w:type="pct"/>
            <w:tcBorders>
              <w:top w:val="single" w:color="auto"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工程系列（网信）</w:t>
            </w:r>
          </w:p>
        </w:tc>
        <w:tc>
          <w:tcPr>
            <w:tcW w:w="32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auto"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63151507</w:t>
            </w:r>
          </w:p>
        </w:tc>
        <w:tc>
          <w:tcPr>
            <w:tcW w:w="300"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9.22</w:t>
            </w:r>
          </w:p>
        </w:tc>
        <w:tc>
          <w:tcPr>
            <w:tcW w:w="289"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10.31</w:t>
            </w:r>
          </w:p>
        </w:tc>
        <w:tc>
          <w:tcPr>
            <w:tcW w:w="300" w:type="pct"/>
            <w:tcBorders>
              <w:top w:val="single" w:color="auto"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重庆市出版专业高级职称评审委员会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中国共产党重庆市委员会宣传部</w:t>
            </w:r>
          </w:p>
        </w:tc>
        <w:tc>
          <w:tcPr>
            <w:tcW w:w="745"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出版系列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63896203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23"/>
                <w:rFonts w:hint="default" w:ascii="Times New Roman" w:hAnsi="Times New Roman" w:eastAsia="方正仿宋_GBK" w:cs="Times New Roman"/>
                <w:highlight w:val="none"/>
                <w:lang w:val="en-US" w:eastAsia="zh-CN" w:bidi="ar"/>
              </w:rPr>
              <w:t>月</w:t>
            </w:r>
            <w:r>
              <w:rPr>
                <w:rFonts w:hint="default" w:ascii="Times New Roman" w:hAnsi="Times New Roman" w:eastAsia="方正仿宋_GBK" w:cs="Times New Roman"/>
                <w:i w:val="0"/>
                <w:iCs w:val="0"/>
                <w:color w:val="000000"/>
                <w:kern w:val="0"/>
                <w:sz w:val="24"/>
                <w:szCs w:val="24"/>
                <w:highlight w:val="none"/>
                <w:u w:val="none"/>
                <w:lang w:val="en-US" w:eastAsia="zh-CN" w:bidi="ar"/>
              </w:rPr>
              <w:t>31</w:t>
            </w:r>
            <w:r>
              <w:rPr>
                <w:rStyle w:val="23"/>
                <w:rFonts w:hint="default" w:ascii="Times New Roman" w:hAnsi="Times New Roman" w:eastAsia="方正仿宋_GBK" w:cs="Times New Roman"/>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重庆市新闻专业高级职称评审委员会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中国共产党重庆市委员会宣传部</w:t>
            </w:r>
          </w:p>
        </w:tc>
        <w:tc>
          <w:tcPr>
            <w:tcW w:w="745"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新闻系列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63895229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23"/>
                <w:rFonts w:hint="default" w:ascii="Times New Roman" w:hAnsi="Times New Roman" w:eastAsia="方正仿宋_GBK" w:cs="Times New Roman"/>
                <w:highlight w:val="none"/>
                <w:lang w:val="en-US" w:eastAsia="zh-CN" w:bidi="ar"/>
              </w:rPr>
              <w:t>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重庆市中小学正高级教师职称评审委员会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中小学教师系列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重庆市中小学教师（文科类）高级职称评审委员会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中小学教师系列（文科）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重庆市中小学教师（理科类）高级职称评审委员会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中小学教师系列（理科）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重庆市实验技术高级职称评审委员会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实验技术系列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重庆市中等职业学校教师正高级职称评审委员会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中等职业学校教师系列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w:t>
            </w:r>
          </w:p>
        </w:tc>
        <w:tc>
          <w:tcPr>
            <w:tcW w:w="556"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重庆市中等职业学校教师副高级职称评审委员会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中等职业学校教师系列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重庆市自然科学研究系列高级职称评审委员会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重庆市科学技术局</w:t>
            </w:r>
          </w:p>
        </w:tc>
        <w:tc>
          <w:tcPr>
            <w:tcW w:w="745"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nil"/>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67512957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重庆市自然科学研究系列科学传播专业高级职称评审委员会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自然科学研究系列（科学传播）</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67512957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重庆市技术经纪专业高级职称评审委员会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重庆市科学技术局</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（技术经纪）</w:t>
            </w:r>
            <w:r>
              <w:rPr>
                <w:rFonts w:hint="default"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自然科学研究系列（技术经纪）</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67512957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重庆市工艺美术专业高级职称评审委员会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重庆市经济和信息化委员会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工艺美术系列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60338065</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17830802138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9.19-</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11.17</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11.18-11.21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11.24-11.28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重庆市工程技术工业设计专业副高级职称评审委员会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重庆市经济和信息化委员会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（工业设计）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60338065</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13618236685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9.19-</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11.17</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11.18-11.21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11.24-11.28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重庆市工程技术绿色低碳专业副高级评审委员会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重庆市经济和信息化委员会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（绿色低碳）</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60332622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10.14-10.31</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10.14-11.</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重庆市工程技术工业互联网与智能制造专业副高级评审委员会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重庆市经济和信息化委员会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（工业互联网与智能制造）</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60332622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10.14-10.31</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10.14-11.</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重庆市司法鉴定专业高级职称评审委员会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重庆市司法局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公共法律服务系列（司法鉴定）</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67080028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重庆市律师专业高级职称评审委员会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重庆市司法局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公共法律服务系列（律师）</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67566335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重庆市公证专业高级职称评审委员会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重庆市司法局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公共法律服务系列（公证）</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67086127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9.30-</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重庆市会计专业正高级职称评审委员会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重庆市财政局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会计系列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67575453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10.16</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重庆市会计专业副高级职称评审委员会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重庆市财政局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会计系列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63216192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10.16</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重庆市工程技术正高级职称评审委员会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重庆市人力资源和社会保障局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w:t>
            </w:r>
          </w:p>
        </w:tc>
        <w:tc>
          <w:tcPr>
            <w:tcW w:w="55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86867385</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86868568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10.30</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重庆市人力资源和社会保障局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经济系列</w:t>
            </w:r>
          </w:p>
        </w:tc>
        <w:tc>
          <w:tcPr>
            <w:tcW w:w="32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86867385</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86868568</w:t>
            </w:r>
          </w:p>
        </w:tc>
        <w:tc>
          <w:tcPr>
            <w:tcW w:w="3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10.30</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重庆市技工院校教师高级职称评审委员会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重庆市人力资源和社会保障局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技工院校教师系列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auto"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88152255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重庆市工程技术自然资源专业副高级职称评审委员会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重庆市规划和自然资源局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（自然资源）</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63158530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11.03-11.07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重庆市工程技术规划测绘专业副高级职称评审委员会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重庆市规划和自然资源局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（规划测绘）</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63158530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11.03-11.07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重庆市工程技术生态环境专业副高级职称评审委员会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重庆市生态环境局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（生态环境）</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89181830</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89181953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9.08-</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10.24</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重庆市工程技术建设专业副高级职称评审委员会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重庆市住房和城乡建设委员会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（建设）</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63670536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10.18</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10.25-10.28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重庆市工程技术风景园林专业副高级职称评审委员会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重庆市城市管理局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（风景园林）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65868541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10.23-10.31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重庆市工程技术市政维护专业副高级职称评审委员会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重庆市城市管理局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（市政维护）</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65868541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10.23</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重庆市内河船舶专业副高级职称评审委员会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重庆市交通运输委员会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船舶系列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67995320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10.01-</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w:t>
            </w:r>
            <w:r>
              <w:rPr>
                <w:rFonts w:hint="eastAsia" w:ascii="Times New Roman" w:hAnsi="Times New Roman" w:cs="Times New Roman"/>
                <w:i w:val="0"/>
                <w:iCs w:val="0"/>
                <w:color w:val="000000"/>
                <w:kern w:val="0"/>
                <w:sz w:val="24"/>
                <w:szCs w:val="24"/>
                <w:highlight w:val="none"/>
                <w:u w:val="none"/>
                <w:lang w:val="en-US" w:eastAsia="zh-CN" w:bidi="ar"/>
              </w:rPr>
              <w:t>12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Fonts w:hint="eastAsia" w:ascii="Times New Roman" w:hAnsi="Times New Roman" w:cs="Times New Roman"/>
                <w:i w:val="0"/>
                <w:iCs w:val="0"/>
                <w:color w:val="000000"/>
                <w:kern w:val="0"/>
                <w:sz w:val="24"/>
                <w:szCs w:val="24"/>
                <w:highlight w:val="none"/>
                <w:u w:val="none"/>
                <w:lang w:val="en-US" w:eastAsia="zh-CN" w:bidi="ar"/>
              </w:rPr>
              <w:t>13</w:t>
            </w:r>
            <w:r>
              <w:rPr>
                <w:rFonts w:hint="default" w:ascii="Times New Roman" w:hAnsi="Times New Roman" w:eastAsia="宋体"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11.10</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重庆市工程技术交通运输专业副高级职称评审委员会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重庆市交通运输委员会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（交通运输）</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89183143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9.20</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6-</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11.10</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重庆市工程技术水利电力专业副高级职称评审委员会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重庆市水利局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（水利水电</w:t>
            </w:r>
            <w:r>
              <w:rPr>
                <w:rFonts w:hint="default" w:ascii="方正仿宋_GBK" w:hAnsi="方正仿宋_GBK" w:eastAsia="方正仿宋_GBK" w:cs="方正仿宋_GBK"/>
                <w:i w:val="0"/>
                <w:iCs w:val="0"/>
                <w:color w:val="000000"/>
                <w:kern w:val="0"/>
                <w:sz w:val="24"/>
                <w:szCs w:val="24"/>
                <w:highlight w:val="none"/>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18580065614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9.30</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重庆市畜牧兽医技术高级职称评审委员会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重庆市农业农村委员会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（畜牧、兽医）</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89133139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重庆市农业技术推广研究员职称评审委员会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重庆市农业农村委员会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（农业系列推广）</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89133139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重庆市农业技术高级职称评审委员会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重庆市农业农村委员会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农业系列（农艺）</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89133139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重庆市农业系列（基层定向）副高级职称评审委员会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重庆市农业农村委员会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（基层定向）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89133139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重庆市艺术专业高级职称评审委员会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重庆市文化和旅游发展委员会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艺术系列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63011639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39</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重庆市图书资料专业高级职称评审委员会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重庆市文化和旅游发展委员会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图书资料系列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63011639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重庆市群众文化专业高级职称评审委员会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重庆市文化和旅游发展委员会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群众文化</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63011639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4"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重庆市文物博物专业高级职称评审委员会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重庆市文化和旅游发展委员会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文物博物系列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63011639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highlight w:val="none"/>
                <w:lang w:val="en-US" w:eastAsia="zh-CN" w:bidi="ar"/>
              </w:rPr>
            </w:pPr>
            <w:r>
              <w:rPr>
                <w:rStyle w:val="23"/>
                <w:rFonts w:hint="default" w:ascii="Times New Roman" w:hAnsi="Times New Roman" w:eastAsia="方正仿宋_GBK" w:cs="Times New Roman"/>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42</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重庆市卫生技术（中医药）高级职称评审委员会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卫生系列（中医药）</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43</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重庆市卫生技术（药护技）高级职称评审委员会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（医技药护）</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重庆市卫生技术（综合）高级职称评审委员会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卫生系列（综合）</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重庆市卫生技术（基层）高级职称评审委员会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卫生系列（基层）</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重庆市卫生技术（内科）高级职称评审委员会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卫生系列（内科）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47</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重庆市卫生技术（外科）高级职称评审委员会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卫生系列（外科）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48</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重庆市卫生技术（公共卫生）高级职称评审委员会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（公共卫生）</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重庆市工程技术应急专业副高级职称评审委员会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重庆市应急管理局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工程系列（应急）</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63218537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重庆市审计专业高级职称评审委员会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重庆市审计局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审计系列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67538094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9.21</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.23</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10.27-11.7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重庆市翻译专业高级职称评审委员会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重庆市人民政府外事办公室</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翻译系列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63213232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重庆市工程技术质量专业副高级职称评审委员会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重庆市市场监督管理局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工程系列（质量）</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63719655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11月7日前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53</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重庆市体育教练专业副高级职称评审委员会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重庆市体育局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体育系列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（体育教练）</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61665122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54</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重庆市统计专业高级职称评审委员会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重庆市统计局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统计系列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67637230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55</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重庆市工程技术大数据智能化专业副高级职称评审委员会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重庆市大数据应用发展管理局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（大数据智能化）</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67724358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重庆市工程技术能源专业副高级职称评审委员会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重庆市能源局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工程系列（能源）</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67575941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57</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重庆市工程技术林业专业副高级职称评审委员会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重庆市林业局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工程系列（林业）</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61528963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11.03-11.07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58</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重庆市卫生技术药学（生产、流通）专业高级职称评审委员会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重庆市药品监督管理局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（药学（生产、流通））</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60353674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59</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重庆市工程技术药品和医疗器械专业副高级职称评审委员会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重庆市药品监督管理局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（药品和医疗器械）</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60353674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重庆市播音专业高级职称评审委员会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重庆市广播电视局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播音系列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67116959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61</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重庆市工程技术广播电视专业副高级职称评审委员会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重庆广播电视集团（总台）</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（广播电视）</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63853565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重庆市哲学社会科学研究高级职称评审委员会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重庆社会科学院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哲学社会科学研究系列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67992392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10.25-11.14</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11.17-11.20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重庆市工程技术地质专业副高级职称评审委员会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重庆市地质矿产勘查开发局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工程系列（地质）</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63023830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.15</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10.15</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64</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重庆市工程技术通信专业副高级职称评审委员会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重庆市通信管理局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工程系列（通信）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68585826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.24</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11.03-11.06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重庆市工程技术快递工程专业副高级职称评审委员会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重庆市邮政管理局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（快递工程）</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86886916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10.20-11.14</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11.17-11.28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66</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重庆市档案专业高级职称评审委员会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重庆市档案局</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档案系列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63898848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重庆市艺术专业（新文艺群体）高级职称评审委员会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重庆市文学艺术界联合会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艺术系列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（新文艺群体）</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67722368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重庆市文学创作专业高级职称评审委员会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重庆市作家协会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文学创作专业</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63302781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69</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重庆市工程技术电子信息专业副高级职称评审委员会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重庆邮电大学</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（电子信息）</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62461388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11.03-11.07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70</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重庆市工程技术材料专业副高级职称评审委员会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重庆文理学院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工程系列（材料）</w:t>
            </w:r>
          </w:p>
        </w:tc>
        <w:tc>
          <w:tcPr>
            <w:tcW w:w="32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13350322194</w:t>
            </w:r>
          </w:p>
        </w:tc>
        <w:tc>
          <w:tcPr>
            <w:tcW w:w="3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11.15</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12月5日前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12.06-12.12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71</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重庆市老年教育学校教师高级职称评审委员会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重庆市渝中区山城老年大学</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老年教育学校教师系列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auto"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63825508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11月28日前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72</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重庆市工程技术冶金专业副高级职称评审委员会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重庆钢铁（集团）有限责任公司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工程系列（冶金）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68846154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.20</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10.22</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73</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重庆市工程技术化工专业副高级职称评审委员会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重庆化医控股（集团）公司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工程系列（化工）</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63210329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.24</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10.27</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74</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重庆市工程技术机械电气专业副高级职称评审委员会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重庆机电控股（集团）公司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（机械电气）</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63075691</w:t>
            </w:r>
          </w:p>
        </w:tc>
        <w:tc>
          <w:tcPr>
            <w:tcW w:w="3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.17</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11.03-11.</w:t>
            </w:r>
            <w:r>
              <w:rPr>
                <w:rStyle w:val="23"/>
                <w:rFonts w:hint="eastAsia" w:ascii="Times New Roman" w:hAnsi="Times New Roman" w:eastAsia="方正仿宋_GBK" w:cs="Times New Roman"/>
                <w:sz w:val="24"/>
                <w:szCs w:val="24"/>
                <w:highlight w:val="none"/>
                <w:lang w:val="en-US" w:eastAsia="zh-CN" w:bidi="ar"/>
              </w:rPr>
              <w:t>0</w:t>
            </w:r>
            <w:r>
              <w:rPr>
                <w:rStyle w:val="23"/>
                <w:rFonts w:hint="default" w:ascii="Times New Roman" w:hAnsi="Times New Roman" w:eastAsia="方正仿宋_GBK" w:cs="Times New Roman"/>
                <w:sz w:val="24"/>
                <w:szCs w:val="24"/>
                <w:highlight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75</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重庆市工程技术数字技术专业副高级职称评审委员会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重庆市人才交流服务中心</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（数字技术）</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65721275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.25</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10.25-11.3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76</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重庆市工程技术仪器仪表专业副高级职称评审委员会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中国四联仪器仪表集团有限公司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（仪器仪表）</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68860105</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67032795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77</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重庆市党校系统教师高级职称评审委员会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中共重庆市委党校重庆行政学院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党校系统教师系列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68031065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10月18日前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eastAsia" w:ascii="Times New Roman" w:hAnsi="Times New Roman" w:eastAsia="宋体" w:cs="Times New Roman"/>
                <w:i w:val="0"/>
                <w:iCs w:val="0"/>
                <w:color w:val="000000"/>
                <w:kern w:val="2"/>
                <w:sz w:val="24"/>
                <w:szCs w:val="24"/>
                <w:highlight w:val="none"/>
                <w:u w:val="none"/>
                <w:lang w:val="en-US" w:eastAsia="zh-CN" w:bidi="ar-SA"/>
              </w:rPr>
              <w:t>78</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重庆市工程技术副高级职称社会人才评审委员会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重庆市人才交流服务中心</w:t>
            </w:r>
          </w:p>
        </w:tc>
        <w:tc>
          <w:tcPr>
            <w:tcW w:w="745"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市人才中心档案托管人员</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88956629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w:t>
            </w:r>
            <w:r>
              <w:rPr>
                <w:rFonts w:hint="eastAsia" w:ascii="Times New Roman" w:hAnsi="Times New Roman" w:cs="Times New Roman"/>
                <w:i w:val="0"/>
                <w:iCs w:val="0"/>
                <w:color w:val="000000"/>
                <w:kern w:val="0"/>
                <w:sz w:val="24"/>
                <w:szCs w:val="24"/>
                <w:highlight w:val="none"/>
                <w:u w:val="none"/>
                <w:lang w:val="en-US" w:eastAsia="zh-CN" w:bidi="ar"/>
              </w:rPr>
              <w:t>28</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11月28日前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12.</w:t>
            </w:r>
            <w:r>
              <w:rPr>
                <w:rStyle w:val="23"/>
                <w:rFonts w:hint="eastAsia" w:ascii="Times New Roman" w:hAnsi="Times New Roman" w:eastAsia="方正仿宋_GBK" w:cs="Times New Roman"/>
                <w:sz w:val="24"/>
                <w:szCs w:val="24"/>
                <w:highlight w:val="none"/>
                <w:lang w:val="en-US" w:eastAsia="zh-CN" w:bidi="ar"/>
              </w:rPr>
              <w:t>0</w:t>
            </w:r>
            <w:r>
              <w:rPr>
                <w:rStyle w:val="23"/>
                <w:rFonts w:hint="default" w:ascii="Times New Roman" w:hAnsi="Times New Roman" w:eastAsia="方正仿宋_GBK" w:cs="Times New Roman"/>
                <w:sz w:val="24"/>
                <w:szCs w:val="24"/>
                <w:highlight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12.</w:t>
            </w:r>
            <w:r>
              <w:rPr>
                <w:rStyle w:val="23"/>
                <w:rFonts w:hint="eastAsia" w:ascii="Times New Roman" w:hAnsi="Times New Roman" w:eastAsia="方正仿宋_GBK" w:cs="Times New Roman"/>
                <w:sz w:val="24"/>
                <w:szCs w:val="24"/>
                <w:highlight w:val="none"/>
                <w:lang w:val="en-US" w:eastAsia="zh-CN" w:bidi="ar"/>
              </w:rPr>
              <w:t>0</w:t>
            </w:r>
            <w:r>
              <w:rPr>
                <w:rStyle w:val="23"/>
                <w:rFonts w:hint="default" w:ascii="Times New Roman" w:hAnsi="Times New Roman" w:eastAsia="方正仿宋_GBK" w:cs="Times New Roman"/>
                <w:sz w:val="24"/>
                <w:szCs w:val="24"/>
                <w:highlight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eastAsia" w:ascii="Times New Roman" w:hAnsi="Times New Roman" w:eastAsia="宋体" w:cs="Times New Roman"/>
                <w:i w:val="0"/>
                <w:iCs w:val="0"/>
                <w:color w:val="000000"/>
                <w:kern w:val="2"/>
                <w:sz w:val="24"/>
                <w:szCs w:val="24"/>
                <w:highlight w:val="none"/>
                <w:u w:val="none"/>
                <w:lang w:val="en-US" w:eastAsia="zh-CN" w:bidi="ar-SA"/>
              </w:rPr>
              <w:t>79</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重庆市非公中小企业工程技术副高级职称评审委员会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重庆市经济和信息化委员会</w:t>
            </w:r>
          </w:p>
        </w:tc>
        <w:tc>
          <w:tcPr>
            <w:tcW w:w="745"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全市非公中小企业</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60332622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9.26-</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9.26-</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11.11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11.13-11.20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80</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重庆市工程技术副高级职称市工程师协会评审委员会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重庆市工程师协会</w:t>
            </w:r>
          </w:p>
        </w:tc>
        <w:tc>
          <w:tcPr>
            <w:tcW w:w="745"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全市非公企业会员单位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63616287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9.22-</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11.14</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81</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重庆市工商联工程技术副高级职称评审委员会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重庆市工商业联合会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全市非公企业</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67516732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82</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重庆市教育系统社会科学研究高级职称评审委员会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社会科学研究系列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本系统</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10.01</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10.20</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83</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重庆市教育系统自然科学研究高级职称评审委员会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本系统</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1</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28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10.20</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84</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重庆市卫生管理研究专业高级职称评审委员会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社会科学研究系列（卫生管理研究）</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本系统</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两江新区工程技术副高级职称评审委员会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两江新区职改办</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本辖区</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65626430</w:t>
            </w:r>
            <w:r>
              <w:rPr>
                <w:rStyle w:val="23"/>
                <w:highlight w:val="none"/>
                <w:lang w:val="en-US" w:eastAsia="zh-CN"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63200623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86</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重庆高新区工程技术副高级职称评审委员会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重庆高新区职改办</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本辖区</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68600935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11.04-11.07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87</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重庆医科大学附属第一医院卫生技术副高级职称评审委员会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重庆医科大学附属第一医院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89012693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88</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重庆医科大学附属第二医院卫生技术副高级职称评审委员会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重庆医科大学附属第二医院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62888203</w:t>
            </w:r>
          </w:p>
        </w:tc>
        <w:tc>
          <w:tcPr>
            <w:tcW w:w="300"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89</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重庆医科大学附属口腔医院卫生技术副高级职称评审委员会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重庆医科大学附属口腔医院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88602360</w:t>
            </w:r>
          </w:p>
        </w:tc>
        <w:tc>
          <w:tcPr>
            <w:tcW w:w="300"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重庆医科大学附属儿童医院卫生技术副高级职称评审委员会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重庆医科大学附属儿童医院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63318050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91</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重庆医科大学附属永川医院卫生技术副高级职称评审委员会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重庆医科大学附属永川医院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85381611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92</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重庆市人民医院卫生技术副高级职称评审委员会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重庆市人民医院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63390061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93</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67114545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94</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重庆大学附属肿瘤医院卫生技术副高级职称评审委员会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重庆大学附属肿瘤医院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65079127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95</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陆军军医大学第二附属医院卫生技术副高级职称评审委员会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陆军军医大学第二附属医院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68774947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96</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陆军军医大学第一附属医院卫生技术副高级职称评审委员会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陆军军医大学第一附属医院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68754142</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68754144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97</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陆军特色医学中心卫生技术副高级职称评审委员会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中国人民解放军陆军特色医学中心</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68757294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98</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重庆市科学技术研究院自然科学研究副高级职称评审委员会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重庆市科学技术研究院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67301338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10.31-11.15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99</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重庆市科学技术研究院工程技术副高级职称评审委员会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重庆市科学技术研究院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67301338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10.31-11.15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重庆市农业科学院农业技术副高级职称评审委员会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重庆市农业科学院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68076211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10.01-11.15</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101</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重庆市农业科学院自然科学研究副高级职称评审委员会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重庆市农业科学院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68076211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10.01-11.15</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10.21-11.08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102</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重庆市畜牧科学院自然科学研究副高级职称评审委员会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重庆市畜牧科学院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46791959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.16</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103</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重庆市畜牧科学院畜牧兽医技术副高级职称评审委员会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重庆市畜牧科学院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（畜牧、兽医）</w:t>
            </w:r>
          </w:p>
        </w:tc>
        <w:tc>
          <w:tcPr>
            <w:tcW w:w="327"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46791959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.16</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104</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重庆机场集团工程技术副高级职称评审委员会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重庆机场集团有限公司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nil"/>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67153346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9.16</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105</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重庆水务环境集团工程技术副高级职称评审委员会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重庆水务环境控股集团有限公司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63998667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106</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重庆城投集团工程技术副高级职称评审委员会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重庆市城市建设投资（集团）有限公司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63729419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107</w:t>
            </w:r>
          </w:p>
        </w:tc>
        <w:tc>
          <w:tcPr>
            <w:tcW w:w="1085" w:type="pc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重庆市地产集团工程技术副高级职称评审委员会</w:t>
            </w:r>
          </w:p>
        </w:tc>
        <w:tc>
          <w:tcPr>
            <w:tcW w:w="812" w:type="pc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重庆市地产集团有限公司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67199285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10月31日前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11月10日前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108</w:t>
            </w:r>
          </w:p>
        </w:tc>
        <w:tc>
          <w:tcPr>
            <w:tcW w:w="1085" w:type="pc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重庆投资咨询集团工程技术副高级职称评审委员会</w:t>
            </w:r>
          </w:p>
        </w:tc>
        <w:tc>
          <w:tcPr>
            <w:tcW w:w="812" w:type="pc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重庆国际投资咨询集团</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67706791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9.08</w:t>
            </w:r>
            <w:r>
              <w:rPr>
                <w:rStyle w:val="23"/>
                <w:rFonts w:hint="eastAsia" w:ascii="Times New Roman" w:hAnsi="Times New Roman" w:eastAsia="方正仿宋_GBK" w:cs="Times New Roman"/>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10</w:t>
            </w:r>
            <w:r>
              <w:rPr>
                <w:rStyle w:val="23"/>
                <w:rFonts w:hint="default" w:ascii="Times New Roman" w:hAnsi="Times New Roman" w:eastAsia="方正仿宋_GBK" w:cs="Times New Roman"/>
                <w:sz w:val="24"/>
                <w:szCs w:val="24"/>
                <w:highlight w:val="none"/>
                <w:lang w:val="en-US" w:eastAsia="zh-CN" w:bidi="ar"/>
              </w:rPr>
              <w:t>.24</w:t>
            </w:r>
          </w:p>
        </w:tc>
        <w:tc>
          <w:tcPr>
            <w:tcW w:w="300"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default"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11月20日前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109</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重庆设计集团工程技术副高级职称评审委员会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重庆设计集团有限公司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68503156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10.01</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11.01-11.20</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default" w:ascii="Times New Roman" w:hAnsi="Times New Roman" w:eastAsia="方正仿宋_GBK" w:cs="Times New Roman"/>
                <w:sz w:val="24"/>
                <w:szCs w:val="24"/>
                <w:highlight w:val="none"/>
                <w:lang w:val="en-US" w:eastAsia="zh-CN" w:bidi="ar"/>
              </w:rPr>
              <w:t>11月30日前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110</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招商局交通科技（重庆）有限公司工程技术副高级职称评审委员会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招商局交通科技（重庆）有限公司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62653016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111</w:t>
            </w:r>
          </w:p>
        </w:tc>
        <w:tc>
          <w:tcPr>
            <w:tcW w:w="10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金凤实验室实验技术系列高级职称评审委员会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金凤实验室</w:t>
            </w:r>
          </w:p>
        </w:tc>
        <w:tc>
          <w:tcPr>
            <w:tcW w:w="7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实验技术系列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68059905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112</w:t>
            </w:r>
          </w:p>
        </w:tc>
        <w:tc>
          <w:tcPr>
            <w:tcW w:w="1085" w:type="pct"/>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金凤实验室自然科学研究系列高级职称评审委员会</w:t>
            </w:r>
          </w:p>
        </w:tc>
        <w:tc>
          <w:tcPr>
            <w:tcW w:w="812" w:type="pct"/>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金凤实验室</w:t>
            </w:r>
          </w:p>
        </w:tc>
        <w:tc>
          <w:tcPr>
            <w:tcW w:w="745" w:type="pct"/>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68059905</w:t>
            </w:r>
          </w:p>
        </w:tc>
        <w:tc>
          <w:tcPr>
            <w:tcW w:w="30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c>
          <w:tcPr>
            <w:tcW w:w="300" w:type="pct"/>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3"/>
                <w:rFonts w:hint="eastAsia" w:ascii="Times New Roman" w:hAnsi="Times New Roman" w:eastAsia="方正仿宋_GBK" w:cs="Times New Roman"/>
                <w:sz w:val="24"/>
                <w:szCs w:val="24"/>
                <w:highlight w:val="none"/>
                <w:lang w:val="en-US" w:eastAsia="zh-CN" w:bidi="ar"/>
              </w:rPr>
            </w:pPr>
            <w:r>
              <w:rPr>
                <w:rStyle w:val="23"/>
                <w:rFonts w:hint="eastAsia" w:ascii="Times New Roman" w:hAnsi="Times New Roman" w:eastAsia="方正仿宋_GBK" w:cs="Times New Roman"/>
                <w:sz w:val="24"/>
                <w:szCs w:val="24"/>
                <w:highlight w:val="none"/>
                <w:lang w:val="en-US" w:eastAsia="zh-CN" w:bidi="ar"/>
              </w:rPr>
              <w:t>另行通知</w:t>
            </w:r>
          </w:p>
        </w:tc>
      </w:tr>
    </w:tbl>
    <w:p>
      <w:pPr>
        <w:rPr>
          <w:rFonts w:hint="default"/>
        </w:rPr>
        <w:sectPr>
          <w:footerReference r:id="rId8" w:type="default"/>
          <w:footerReference r:id="rId9" w:type="even"/>
          <w:pgSz w:w="16840" w:h="11907" w:orient="landscape"/>
          <w:pgMar w:top="1588" w:right="2098" w:bottom="1474" w:left="1985" w:header="851" w:footer="992" w:gutter="0"/>
          <w:pgNumType w:fmt="decimal"/>
          <w:cols w:space="720" w:num="1"/>
          <w:docGrid w:linePitch="312" w:charSpace="0"/>
        </w:sectPr>
      </w:pPr>
      <w:r>
        <w:rPr>
          <w:rFonts w:hint="default"/>
        </w:rPr>
        <w:br w:type="page"/>
      </w:r>
    </w:p>
    <w:p>
      <w:pPr>
        <w:pStyle w:val="2"/>
        <w:jc w:val="left"/>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附件2</w:t>
      </w:r>
    </w:p>
    <w:p>
      <w:pPr>
        <w:spacing w:line="520" w:lineRule="exact"/>
        <w:jc w:val="center"/>
        <w:rPr>
          <w:rFonts w:hint="default" w:ascii="Times New Roman" w:hAnsi="Times New Roman" w:eastAsia="方正小标宋_GBK" w:cs="Times New Roman"/>
          <w:kern w:val="0"/>
          <w:sz w:val="44"/>
          <w:szCs w:val="44"/>
          <w:shd w:val="clear" w:color="auto" w:fill="FFFFFF"/>
          <w:lang w:bidi="ar"/>
        </w:rPr>
      </w:pPr>
      <w:r>
        <w:rPr>
          <w:rFonts w:hint="default" w:ascii="Times New Roman" w:hAnsi="Times New Roman" w:eastAsia="方正小标宋_GBK" w:cs="Times New Roman"/>
          <w:kern w:val="0"/>
          <w:sz w:val="44"/>
          <w:szCs w:val="44"/>
          <w:shd w:val="clear" w:color="auto" w:fill="FFFFFF"/>
          <w:lang w:bidi="ar"/>
        </w:rPr>
        <w:t>重庆市事业单位职称评审申报数量备案表</w:t>
      </w:r>
    </w:p>
    <w:p>
      <w:pPr>
        <w:spacing w:line="560" w:lineRule="exact"/>
        <w:rPr>
          <w:rFonts w:hint="default" w:ascii="Times New Roman" w:hAnsi="Times New Roman" w:eastAsia="方正仿宋_GBK" w:cs="Times New Roman"/>
          <w:kern w:val="0"/>
          <w:sz w:val="24"/>
          <w:shd w:val="clear" w:color="auto" w:fill="FFFFFF"/>
          <w:lang w:bidi="ar"/>
        </w:rPr>
      </w:pPr>
      <w:r>
        <w:rPr>
          <w:rFonts w:hint="default" w:ascii="Times New Roman" w:hAnsi="Times New Roman" w:eastAsia="方正仿宋_GBK" w:cs="Times New Roman"/>
        </w:rPr>
        <w:t xml:space="preserve"> </w:t>
      </w:r>
      <w:r>
        <w:rPr>
          <w:rFonts w:hint="default" w:ascii="Times New Roman" w:hAnsi="Times New Roman" w:eastAsia="方正仿宋_GBK" w:cs="Times New Roman"/>
          <w:sz w:val="24"/>
        </w:rPr>
        <w:t>填报单位（盖章）：                       填报人：               联系电话：                 填报时间：</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32"/>
        <w:gridCol w:w="1716"/>
        <w:gridCol w:w="1845"/>
        <w:gridCol w:w="1740"/>
        <w:gridCol w:w="2220"/>
        <w:gridCol w:w="1575"/>
        <w:gridCol w:w="141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3944" w:type="dxa"/>
            <w:gridSpan w:val="3"/>
            <w:tcBorders>
              <w:right w:val="single" w:color="000000" w:sz="4" w:space="0"/>
            </w:tcBorders>
            <w:noWrap w:val="0"/>
            <w:vAlign w:val="center"/>
          </w:tcPr>
          <w:p>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24"/>
              </w:rPr>
              <w:t>编制数</w:t>
            </w:r>
          </w:p>
        </w:tc>
        <w:tc>
          <w:tcPr>
            <w:tcW w:w="1845" w:type="dxa"/>
            <w:tcBorders>
              <w:right w:val="single" w:color="000000" w:sz="4" w:space="0"/>
            </w:tcBorders>
            <w:noWrap w:val="0"/>
            <w:vAlign w:val="center"/>
          </w:tcPr>
          <w:p>
            <w:pPr>
              <w:widowControl/>
              <w:jc w:val="center"/>
              <w:rPr>
                <w:rFonts w:hint="eastAsia" w:ascii="方正仿宋_GBK" w:hAnsi="方正仿宋_GBK" w:eastAsia="方正仿宋_GBK" w:cs="方正仿宋_GBK"/>
                <w:kern w:val="0"/>
                <w:sz w:val="24"/>
              </w:rPr>
            </w:pPr>
          </w:p>
        </w:tc>
        <w:tc>
          <w:tcPr>
            <w:tcW w:w="1740" w:type="dxa"/>
            <w:tcBorders>
              <w:left w:val="single" w:color="000000" w:sz="4" w:space="0"/>
            </w:tcBorders>
            <w:noWrap w:val="0"/>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在编人数</w:t>
            </w:r>
          </w:p>
        </w:tc>
        <w:tc>
          <w:tcPr>
            <w:tcW w:w="2220" w:type="dxa"/>
            <w:noWrap w:val="0"/>
            <w:vAlign w:val="center"/>
          </w:tcPr>
          <w:p>
            <w:pPr>
              <w:widowControl/>
              <w:jc w:val="center"/>
              <w:rPr>
                <w:rFonts w:hint="eastAsia" w:ascii="方正仿宋_GBK" w:hAnsi="方正仿宋_GBK" w:eastAsia="方正仿宋_GBK" w:cs="方正仿宋_GBK"/>
                <w:kern w:val="0"/>
                <w:sz w:val="24"/>
              </w:rPr>
            </w:pPr>
          </w:p>
        </w:tc>
        <w:tc>
          <w:tcPr>
            <w:tcW w:w="1575" w:type="dxa"/>
            <w:tcBorders>
              <w:right w:val="single" w:color="000000" w:sz="4" w:space="0"/>
            </w:tcBorders>
            <w:noWrap w:val="0"/>
            <w:vAlign w:val="center"/>
          </w:tcPr>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岗位设置方案核准文号</w:t>
            </w:r>
          </w:p>
        </w:tc>
        <w:tc>
          <w:tcPr>
            <w:tcW w:w="1410" w:type="dxa"/>
            <w:tcBorders>
              <w:left w:val="single" w:color="000000" w:sz="4" w:space="0"/>
            </w:tcBorders>
            <w:noWrap w:val="0"/>
            <w:vAlign w:val="center"/>
          </w:tcPr>
          <w:p>
            <w:pPr>
              <w:widowControl/>
              <w:jc w:val="center"/>
              <w:rPr>
                <w:rFonts w:hint="eastAsia" w:ascii="方正仿宋_GBK" w:hAnsi="方正仿宋_GBK" w:eastAsia="方正仿宋_GBK" w:cs="方正仿宋_GBK"/>
                <w:kern w:val="0"/>
                <w:sz w:val="24"/>
              </w:rPr>
            </w:pPr>
          </w:p>
        </w:tc>
        <w:tc>
          <w:tcPr>
            <w:tcW w:w="1875" w:type="dxa"/>
            <w:tcBorders>
              <w:left w:val="single" w:color="000000" w:sz="4" w:space="0"/>
            </w:tcBorders>
            <w:noWrap w:val="0"/>
            <w:vAlign w:val="center"/>
          </w:tcPr>
          <w:p>
            <w:pPr>
              <w:widowControl/>
              <w:jc w:val="center"/>
              <w:rPr>
                <w:rFonts w:hint="eastAsia"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6" w:type="dxa"/>
            <w:vMerge w:val="restart"/>
            <w:noWrap w:val="0"/>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岗位</w:t>
            </w:r>
            <w:r>
              <w:rPr>
                <w:rFonts w:hint="eastAsia" w:ascii="方正仿宋_GBK" w:hAnsi="方正仿宋_GBK" w:eastAsia="方正仿宋_GBK" w:cs="方正仿宋_GBK"/>
                <w:kern w:val="0"/>
                <w:sz w:val="24"/>
              </w:rPr>
              <w:br w:type="textWrapping"/>
            </w:r>
            <w:r>
              <w:rPr>
                <w:rFonts w:hint="eastAsia" w:ascii="方正仿宋_GBK" w:hAnsi="方正仿宋_GBK" w:eastAsia="方正仿宋_GBK" w:cs="方正仿宋_GBK"/>
                <w:kern w:val="0"/>
                <w:sz w:val="24"/>
              </w:rPr>
              <w:br w:type="textWrapping"/>
            </w:r>
            <w:r>
              <w:rPr>
                <w:rFonts w:hint="eastAsia" w:ascii="方正仿宋_GBK" w:hAnsi="方正仿宋_GBK" w:eastAsia="方正仿宋_GBK" w:cs="方正仿宋_GBK"/>
                <w:kern w:val="0"/>
                <w:sz w:val="24"/>
              </w:rPr>
              <w:t>情况</w:t>
            </w:r>
          </w:p>
        </w:tc>
        <w:tc>
          <w:tcPr>
            <w:tcW w:w="3148" w:type="dxa"/>
            <w:gridSpan w:val="2"/>
            <w:noWrap w:val="0"/>
            <w:vAlign w:val="center"/>
          </w:tcPr>
          <w:p>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24"/>
              </w:rPr>
              <w:t>等级</w:t>
            </w:r>
          </w:p>
        </w:tc>
        <w:tc>
          <w:tcPr>
            <w:tcW w:w="1845" w:type="dxa"/>
            <w:noWrap w:val="0"/>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正高级</w:t>
            </w:r>
          </w:p>
        </w:tc>
        <w:tc>
          <w:tcPr>
            <w:tcW w:w="1740" w:type="dxa"/>
            <w:noWrap w:val="0"/>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副高级</w:t>
            </w:r>
          </w:p>
        </w:tc>
        <w:tc>
          <w:tcPr>
            <w:tcW w:w="2220" w:type="dxa"/>
            <w:noWrap w:val="0"/>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中级</w:t>
            </w:r>
          </w:p>
        </w:tc>
        <w:tc>
          <w:tcPr>
            <w:tcW w:w="1575" w:type="dxa"/>
            <w:noWrap w:val="0"/>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初级</w:t>
            </w:r>
          </w:p>
        </w:tc>
        <w:tc>
          <w:tcPr>
            <w:tcW w:w="1410" w:type="dxa"/>
            <w:noWrap w:val="0"/>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总数</w:t>
            </w:r>
          </w:p>
        </w:tc>
        <w:tc>
          <w:tcPr>
            <w:tcW w:w="1875" w:type="dxa"/>
            <w:noWrap w:val="0"/>
            <w:vAlign w:val="center"/>
          </w:tcPr>
          <w:p>
            <w:pPr>
              <w:widowControl/>
              <w:jc w:val="center"/>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6" w:type="dxa"/>
            <w:vMerge w:val="continue"/>
            <w:noWrap w:val="0"/>
            <w:vAlign w:val="center"/>
          </w:tcPr>
          <w:p>
            <w:pPr>
              <w:rPr>
                <w:rFonts w:hint="eastAsia" w:ascii="方正仿宋_GBK" w:hAnsi="方正仿宋_GBK" w:eastAsia="方正仿宋_GBK" w:cs="方正仿宋_GBK"/>
              </w:rPr>
            </w:pPr>
          </w:p>
        </w:tc>
        <w:tc>
          <w:tcPr>
            <w:tcW w:w="3148" w:type="dxa"/>
            <w:gridSpan w:val="2"/>
            <w:noWrap w:val="0"/>
            <w:vAlign w:val="center"/>
          </w:tcPr>
          <w:p>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24"/>
              </w:rPr>
              <w:t>核准岗位</w:t>
            </w:r>
          </w:p>
        </w:tc>
        <w:tc>
          <w:tcPr>
            <w:tcW w:w="1845" w:type="dxa"/>
            <w:noWrap w:val="0"/>
            <w:vAlign w:val="center"/>
          </w:tcPr>
          <w:p>
            <w:pPr>
              <w:widowControl/>
              <w:jc w:val="center"/>
              <w:rPr>
                <w:rFonts w:hint="eastAsia" w:ascii="方正仿宋_GBK" w:hAnsi="方正仿宋_GBK" w:eastAsia="方正仿宋_GBK" w:cs="方正仿宋_GBK"/>
                <w:kern w:val="0"/>
                <w:sz w:val="24"/>
              </w:rPr>
            </w:pPr>
          </w:p>
        </w:tc>
        <w:tc>
          <w:tcPr>
            <w:tcW w:w="1740" w:type="dxa"/>
            <w:noWrap w:val="0"/>
            <w:vAlign w:val="center"/>
          </w:tcPr>
          <w:p>
            <w:pPr>
              <w:widowControl/>
              <w:jc w:val="center"/>
              <w:rPr>
                <w:rFonts w:hint="eastAsia" w:ascii="方正仿宋_GBK" w:hAnsi="方正仿宋_GBK" w:eastAsia="方正仿宋_GBK" w:cs="方正仿宋_GBK"/>
                <w:kern w:val="0"/>
                <w:sz w:val="24"/>
              </w:rPr>
            </w:pPr>
          </w:p>
        </w:tc>
        <w:tc>
          <w:tcPr>
            <w:tcW w:w="2220" w:type="dxa"/>
            <w:noWrap w:val="0"/>
            <w:vAlign w:val="center"/>
          </w:tcPr>
          <w:p>
            <w:pPr>
              <w:widowControl/>
              <w:jc w:val="center"/>
              <w:rPr>
                <w:rFonts w:hint="eastAsia" w:ascii="方正仿宋_GBK" w:hAnsi="方正仿宋_GBK" w:eastAsia="方正仿宋_GBK" w:cs="方正仿宋_GBK"/>
                <w:kern w:val="0"/>
                <w:sz w:val="24"/>
              </w:rPr>
            </w:pPr>
          </w:p>
        </w:tc>
        <w:tc>
          <w:tcPr>
            <w:tcW w:w="1575" w:type="dxa"/>
            <w:noWrap w:val="0"/>
            <w:vAlign w:val="center"/>
          </w:tcPr>
          <w:p>
            <w:pPr>
              <w:widowControl/>
              <w:jc w:val="center"/>
              <w:rPr>
                <w:rFonts w:hint="eastAsia" w:ascii="方正仿宋_GBK" w:hAnsi="方正仿宋_GBK" w:eastAsia="方正仿宋_GBK" w:cs="方正仿宋_GBK"/>
                <w:kern w:val="0"/>
                <w:sz w:val="24"/>
              </w:rPr>
            </w:pPr>
          </w:p>
        </w:tc>
        <w:tc>
          <w:tcPr>
            <w:tcW w:w="1410" w:type="dxa"/>
            <w:noWrap w:val="0"/>
            <w:vAlign w:val="center"/>
          </w:tcPr>
          <w:p>
            <w:pPr>
              <w:widowControl/>
              <w:jc w:val="center"/>
              <w:rPr>
                <w:rFonts w:hint="eastAsia" w:ascii="方正仿宋_GBK" w:hAnsi="方正仿宋_GBK" w:eastAsia="方正仿宋_GBK" w:cs="方正仿宋_GBK"/>
                <w:kern w:val="0"/>
                <w:sz w:val="24"/>
              </w:rPr>
            </w:pPr>
          </w:p>
        </w:tc>
        <w:tc>
          <w:tcPr>
            <w:tcW w:w="1875" w:type="dxa"/>
            <w:noWrap w:val="0"/>
            <w:vAlign w:val="center"/>
          </w:tcPr>
          <w:p>
            <w:pPr>
              <w:widowControl/>
              <w:jc w:val="center"/>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96" w:type="dxa"/>
            <w:vMerge w:val="continue"/>
            <w:noWrap w:val="0"/>
            <w:vAlign w:val="center"/>
          </w:tcPr>
          <w:p>
            <w:pPr>
              <w:rPr>
                <w:rFonts w:hint="eastAsia" w:ascii="方正仿宋_GBK" w:hAnsi="方正仿宋_GBK" w:eastAsia="方正仿宋_GBK" w:cs="方正仿宋_GBK"/>
              </w:rPr>
            </w:pPr>
          </w:p>
        </w:tc>
        <w:tc>
          <w:tcPr>
            <w:tcW w:w="3148" w:type="dxa"/>
            <w:gridSpan w:val="2"/>
            <w:noWrap w:val="0"/>
            <w:vAlign w:val="center"/>
          </w:tcPr>
          <w:p>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24"/>
              </w:rPr>
              <w:t>现聘人数</w:t>
            </w:r>
          </w:p>
        </w:tc>
        <w:tc>
          <w:tcPr>
            <w:tcW w:w="1845" w:type="dxa"/>
            <w:noWrap w:val="0"/>
            <w:vAlign w:val="center"/>
          </w:tcPr>
          <w:p>
            <w:pPr>
              <w:widowControl/>
              <w:jc w:val="center"/>
              <w:rPr>
                <w:rFonts w:hint="eastAsia" w:ascii="方正仿宋_GBK" w:hAnsi="方正仿宋_GBK" w:eastAsia="方正仿宋_GBK" w:cs="方正仿宋_GBK"/>
                <w:kern w:val="0"/>
                <w:sz w:val="24"/>
              </w:rPr>
            </w:pPr>
          </w:p>
        </w:tc>
        <w:tc>
          <w:tcPr>
            <w:tcW w:w="1740" w:type="dxa"/>
            <w:noWrap w:val="0"/>
            <w:vAlign w:val="center"/>
          </w:tcPr>
          <w:p>
            <w:pPr>
              <w:widowControl/>
              <w:jc w:val="center"/>
              <w:rPr>
                <w:rFonts w:hint="eastAsia" w:ascii="方正仿宋_GBK" w:hAnsi="方正仿宋_GBK" w:eastAsia="方正仿宋_GBK" w:cs="方正仿宋_GBK"/>
                <w:kern w:val="0"/>
                <w:sz w:val="24"/>
              </w:rPr>
            </w:pPr>
          </w:p>
        </w:tc>
        <w:tc>
          <w:tcPr>
            <w:tcW w:w="2220" w:type="dxa"/>
            <w:noWrap w:val="0"/>
            <w:vAlign w:val="center"/>
          </w:tcPr>
          <w:p>
            <w:pPr>
              <w:widowControl/>
              <w:jc w:val="center"/>
              <w:rPr>
                <w:rFonts w:hint="eastAsia" w:ascii="方正仿宋_GBK" w:hAnsi="方正仿宋_GBK" w:eastAsia="方正仿宋_GBK" w:cs="方正仿宋_GBK"/>
                <w:kern w:val="0"/>
                <w:sz w:val="24"/>
              </w:rPr>
            </w:pPr>
          </w:p>
        </w:tc>
        <w:tc>
          <w:tcPr>
            <w:tcW w:w="1575" w:type="dxa"/>
            <w:noWrap w:val="0"/>
            <w:vAlign w:val="center"/>
          </w:tcPr>
          <w:p>
            <w:pPr>
              <w:widowControl/>
              <w:jc w:val="center"/>
              <w:rPr>
                <w:rFonts w:hint="eastAsia" w:ascii="方正仿宋_GBK" w:hAnsi="方正仿宋_GBK" w:eastAsia="方正仿宋_GBK" w:cs="方正仿宋_GBK"/>
                <w:kern w:val="0"/>
                <w:sz w:val="24"/>
              </w:rPr>
            </w:pPr>
          </w:p>
        </w:tc>
        <w:tc>
          <w:tcPr>
            <w:tcW w:w="1410" w:type="dxa"/>
            <w:noWrap w:val="0"/>
            <w:vAlign w:val="center"/>
          </w:tcPr>
          <w:p>
            <w:pPr>
              <w:widowControl/>
              <w:jc w:val="center"/>
              <w:rPr>
                <w:rFonts w:hint="eastAsia" w:ascii="方正仿宋_GBK" w:hAnsi="方正仿宋_GBK" w:eastAsia="方正仿宋_GBK" w:cs="方正仿宋_GBK"/>
                <w:kern w:val="0"/>
                <w:sz w:val="24"/>
              </w:rPr>
            </w:pPr>
          </w:p>
        </w:tc>
        <w:tc>
          <w:tcPr>
            <w:tcW w:w="1875" w:type="dxa"/>
            <w:noWrap w:val="0"/>
            <w:vAlign w:val="center"/>
          </w:tcPr>
          <w:p>
            <w:pPr>
              <w:widowControl/>
              <w:jc w:val="center"/>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96" w:type="dxa"/>
            <w:vMerge w:val="continue"/>
            <w:noWrap w:val="0"/>
            <w:vAlign w:val="center"/>
          </w:tcPr>
          <w:p>
            <w:pPr>
              <w:rPr>
                <w:rFonts w:hint="eastAsia" w:ascii="方正仿宋_GBK" w:hAnsi="方正仿宋_GBK" w:eastAsia="方正仿宋_GBK" w:cs="方正仿宋_GBK"/>
              </w:rPr>
            </w:pPr>
          </w:p>
        </w:tc>
        <w:tc>
          <w:tcPr>
            <w:tcW w:w="3148" w:type="dxa"/>
            <w:gridSpan w:val="2"/>
            <w:noWrap w:val="0"/>
            <w:vAlign w:val="center"/>
          </w:tcPr>
          <w:p>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24"/>
              </w:rPr>
              <w:t>空缺岗位</w:t>
            </w:r>
          </w:p>
        </w:tc>
        <w:tc>
          <w:tcPr>
            <w:tcW w:w="1845" w:type="dxa"/>
            <w:noWrap w:val="0"/>
            <w:vAlign w:val="center"/>
          </w:tcPr>
          <w:p>
            <w:pPr>
              <w:widowControl/>
              <w:jc w:val="center"/>
              <w:rPr>
                <w:rFonts w:hint="eastAsia" w:ascii="方正仿宋_GBK" w:hAnsi="方正仿宋_GBK" w:eastAsia="方正仿宋_GBK" w:cs="方正仿宋_GBK"/>
                <w:kern w:val="0"/>
                <w:sz w:val="24"/>
              </w:rPr>
            </w:pPr>
          </w:p>
        </w:tc>
        <w:tc>
          <w:tcPr>
            <w:tcW w:w="1740" w:type="dxa"/>
            <w:noWrap w:val="0"/>
            <w:vAlign w:val="center"/>
          </w:tcPr>
          <w:p>
            <w:pPr>
              <w:widowControl/>
              <w:jc w:val="center"/>
              <w:rPr>
                <w:rFonts w:hint="eastAsia" w:ascii="方正仿宋_GBK" w:hAnsi="方正仿宋_GBK" w:eastAsia="方正仿宋_GBK" w:cs="方正仿宋_GBK"/>
                <w:kern w:val="0"/>
                <w:sz w:val="24"/>
              </w:rPr>
            </w:pPr>
          </w:p>
        </w:tc>
        <w:tc>
          <w:tcPr>
            <w:tcW w:w="2220" w:type="dxa"/>
            <w:noWrap w:val="0"/>
            <w:vAlign w:val="center"/>
          </w:tcPr>
          <w:p>
            <w:pPr>
              <w:widowControl/>
              <w:jc w:val="center"/>
              <w:rPr>
                <w:rFonts w:hint="eastAsia" w:ascii="方正仿宋_GBK" w:hAnsi="方正仿宋_GBK" w:eastAsia="方正仿宋_GBK" w:cs="方正仿宋_GBK"/>
                <w:kern w:val="0"/>
                <w:sz w:val="24"/>
              </w:rPr>
            </w:pPr>
          </w:p>
        </w:tc>
        <w:tc>
          <w:tcPr>
            <w:tcW w:w="1575" w:type="dxa"/>
            <w:noWrap w:val="0"/>
            <w:vAlign w:val="center"/>
          </w:tcPr>
          <w:p>
            <w:pPr>
              <w:widowControl/>
              <w:jc w:val="center"/>
              <w:rPr>
                <w:rFonts w:hint="eastAsia" w:ascii="方正仿宋_GBK" w:hAnsi="方正仿宋_GBK" w:eastAsia="方正仿宋_GBK" w:cs="方正仿宋_GBK"/>
                <w:kern w:val="0"/>
                <w:sz w:val="24"/>
              </w:rPr>
            </w:pPr>
          </w:p>
        </w:tc>
        <w:tc>
          <w:tcPr>
            <w:tcW w:w="1410" w:type="dxa"/>
            <w:noWrap w:val="0"/>
            <w:vAlign w:val="center"/>
          </w:tcPr>
          <w:p>
            <w:pPr>
              <w:widowControl/>
              <w:jc w:val="center"/>
              <w:rPr>
                <w:rFonts w:hint="eastAsia" w:ascii="方正仿宋_GBK" w:hAnsi="方正仿宋_GBK" w:eastAsia="方正仿宋_GBK" w:cs="方正仿宋_GBK"/>
                <w:kern w:val="0"/>
                <w:sz w:val="24"/>
              </w:rPr>
            </w:pPr>
          </w:p>
        </w:tc>
        <w:tc>
          <w:tcPr>
            <w:tcW w:w="1875" w:type="dxa"/>
            <w:noWrap w:val="0"/>
            <w:vAlign w:val="center"/>
          </w:tcPr>
          <w:p>
            <w:pPr>
              <w:widowControl/>
              <w:jc w:val="center"/>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944" w:type="dxa"/>
            <w:gridSpan w:val="3"/>
            <w:noWrap w:val="0"/>
            <w:vAlign w:val="center"/>
          </w:tcPr>
          <w:p>
            <w:pPr>
              <w:widowControl/>
              <w:jc w:val="center"/>
              <w:rPr>
                <w:rFonts w:hint="eastAsia" w:ascii="方正仿宋_GBK" w:hAnsi="方正仿宋_GBK" w:eastAsia="方正仿宋_GBK" w:cs="方正仿宋_GBK"/>
                <w:kern w:val="0"/>
                <w:sz w:val="15"/>
                <w:szCs w:val="15"/>
              </w:rPr>
            </w:pPr>
            <w:r>
              <w:rPr>
                <w:rFonts w:hint="default" w:ascii="Times New Roman" w:hAnsi="Times New Roman" w:eastAsia="方正仿宋_GBK" w:cs="Times New Roman"/>
                <w:kern w:val="0"/>
                <w:sz w:val="24"/>
              </w:rPr>
              <w:t>202</w:t>
            </w:r>
            <w:r>
              <w:rPr>
                <w:rFonts w:hint="eastAsia" w:eastAsia="方正仿宋_GBK" w:cs="Times New Roman"/>
                <w:kern w:val="0"/>
                <w:sz w:val="24"/>
                <w:lang w:val="en-US" w:eastAsia="zh-CN"/>
              </w:rPr>
              <w:t>5</w:t>
            </w:r>
            <w:r>
              <w:rPr>
                <w:rFonts w:hint="default" w:ascii="Times New Roman" w:hAnsi="Times New Roman" w:eastAsia="方正仿宋_GBK" w:cs="Times New Roman"/>
                <w:kern w:val="0"/>
                <w:sz w:val="24"/>
              </w:rPr>
              <w:t>年</w:t>
            </w:r>
            <w:r>
              <w:rPr>
                <w:rFonts w:hint="eastAsia" w:ascii="方正仿宋_GBK" w:hAnsi="方正仿宋_GBK" w:eastAsia="方正仿宋_GBK" w:cs="方正仿宋_GBK"/>
                <w:kern w:val="0"/>
                <w:sz w:val="24"/>
              </w:rPr>
              <w:t>职称评审申报数量</w:t>
            </w:r>
          </w:p>
        </w:tc>
        <w:tc>
          <w:tcPr>
            <w:tcW w:w="1845" w:type="dxa"/>
            <w:noWrap w:val="0"/>
            <w:vAlign w:val="center"/>
          </w:tcPr>
          <w:p>
            <w:pPr>
              <w:widowControl/>
              <w:jc w:val="center"/>
              <w:rPr>
                <w:rFonts w:hint="eastAsia" w:ascii="方正仿宋_GBK" w:hAnsi="方正仿宋_GBK" w:eastAsia="方正仿宋_GBK" w:cs="方正仿宋_GBK"/>
                <w:kern w:val="0"/>
                <w:sz w:val="24"/>
              </w:rPr>
            </w:pPr>
          </w:p>
        </w:tc>
        <w:tc>
          <w:tcPr>
            <w:tcW w:w="1740" w:type="dxa"/>
            <w:noWrap w:val="0"/>
            <w:vAlign w:val="center"/>
          </w:tcPr>
          <w:p>
            <w:pPr>
              <w:widowControl/>
              <w:jc w:val="center"/>
              <w:rPr>
                <w:rFonts w:hint="eastAsia" w:ascii="方正仿宋_GBK" w:hAnsi="方正仿宋_GBK" w:eastAsia="方正仿宋_GBK" w:cs="方正仿宋_GBK"/>
                <w:kern w:val="0"/>
                <w:sz w:val="24"/>
              </w:rPr>
            </w:pPr>
          </w:p>
        </w:tc>
        <w:tc>
          <w:tcPr>
            <w:tcW w:w="2220" w:type="dxa"/>
            <w:noWrap w:val="0"/>
            <w:vAlign w:val="center"/>
          </w:tcPr>
          <w:p>
            <w:pPr>
              <w:widowControl/>
              <w:jc w:val="center"/>
              <w:rPr>
                <w:rFonts w:hint="eastAsia" w:ascii="方正仿宋_GBK" w:hAnsi="方正仿宋_GBK" w:eastAsia="方正仿宋_GBK" w:cs="方正仿宋_GBK"/>
                <w:kern w:val="0"/>
                <w:sz w:val="24"/>
              </w:rPr>
            </w:pPr>
          </w:p>
        </w:tc>
        <w:tc>
          <w:tcPr>
            <w:tcW w:w="1575" w:type="dxa"/>
            <w:noWrap w:val="0"/>
            <w:vAlign w:val="center"/>
          </w:tcPr>
          <w:p>
            <w:pPr>
              <w:widowControl/>
              <w:jc w:val="center"/>
              <w:rPr>
                <w:rFonts w:hint="eastAsia" w:ascii="方正仿宋_GBK" w:hAnsi="方正仿宋_GBK" w:eastAsia="方正仿宋_GBK" w:cs="方正仿宋_GBK"/>
                <w:kern w:val="0"/>
                <w:sz w:val="24"/>
              </w:rPr>
            </w:pPr>
          </w:p>
        </w:tc>
        <w:tc>
          <w:tcPr>
            <w:tcW w:w="1410" w:type="dxa"/>
            <w:noWrap w:val="0"/>
            <w:vAlign w:val="center"/>
          </w:tcPr>
          <w:p>
            <w:pPr>
              <w:widowControl/>
              <w:jc w:val="center"/>
              <w:rPr>
                <w:rFonts w:hint="eastAsia" w:ascii="方正仿宋_GBK" w:hAnsi="方正仿宋_GBK" w:eastAsia="方正仿宋_GBK" w:cs="方正仿宋_GBK"/>
                <w:kern w:val="0"/>
                <w:sz w:val="24"/>
              </w:rPr>
            </w:pPr>
          </w:p>
        </w:tc>
        <w:tc>
          <w:tcPr>
            <w:tcW w:w="1875" w:type="dxa"/>
            <w:noWrap w:val="0"/>
            <w:vAlign w:val="center"/>
          </w:tcPr>
          <w:p>
            <w:pPr>
              <w:widowControl/>
              <w:jc w:val="center"/>
              <w:rPr>
                <w:rFonts w:hint="eastAsia"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228" w:type="dxa"/>
            <w:gridSpan w:val="2"/>
            <w:tcBorders>
              <w:right w:val="single" w:color="000000" w:sz="4" w:space="0"/>
            </w:tcBorders>
            <w:noWrap w:val="0"/>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主管部门备案意见</w:t>
            </w:r>
          </w:p>
        </w:tc>
        <w:tc>
          <w:tcPr>
            <w:tcW w:w="5301" w:type="dxa"/>
            <w:gridSpan w:val="3"/>
            <w:tcBorders>
              <w:left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4"/>
                <w:lang w:val="en-US" w:eastAsia="zh-CN"/>
              </w:rPr>
            </w:pPr>
          </w:p>
          <w:p>
            <w:pPr>
              <w:widowControl/>
              <w:jc w:val="center"/>
              <w:rPr>
                <w:rFonts w:hint="eastAsia" w:ascii="方正仿宋_GBK" w:hAnsi="方正仿宋_GBK" w:eastAsia="方正仿宋_GBK" w:cs="方正仿宋_GBK"/>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after="120" w:line="240" w:lineRule="exact"/>
              <w:ind w:firstLine="9360" w:firstLineChars="3900"/>
              <w:rPr>
                <w:rFonts w:hint="eastAsia" w:ascii="方正仿宋_GBK" w:hAnsi="方正仿宋_GBK" w:eastAsia="方正仿宋_GBK" w:cs="方正仿宋_GBK"/>
                <w:color w:val="auto"/>
                <w:kern w:val="0"/>
                <w:sz w:val="24"/>
                <w:szCs w:val="24"/>
                <w:lang w:eastAsia="zh-CN"/>
              </w:rPr>
            </w:pPr>
            <w:r>
              <w:rPr>
                <w:rFonts w:hint="eastAsia" w:ascii="方正仿宋_GBK" w:hAnsi="方正仿宋_GBK" w:eastAsia="方正仿宋_GBK" w:cs="方正仿宋_GBK"/>
                <w:kern w:val="0"/>
                <w:sz w:val="24"/>
                <w:lang w:val="en-US" w:eastAsia="zh-CN"/>
              </w:rPr>
              <w:t xml:space="preserve">     负责人签字：              </w:t>
            </w:r>
            <w:r>
              <w:rPr>
                <w:rFonts w:hint="eastAsia" w:ascii="方正仿宋_GBK" w:hAnsi="方正仿宋_GBK" w:eastAsia="方正仿宋_GBK" w:cs="方正仿宋_GBK"/>
                <w:color w:val="auto"/>
                <w:kern w:val="0"/>
                <w:sz w:val="24"/>
                <w:szCs w:val="24"/>
              </w:rPr>
              <w:t>（盖章）</w:t>
            </w:r>
            <w:r>
              <w:rPr>
                <w:rFonts w:hint="eastAsia" w:ascii="方正仿宋_GBK" w:hAnsi="方正仿宋_GBK" w:eastAsia="方正仿宋_GBK" w:cs="方正仿宋_GBK"/>
                <w:color w:val="auto"/>
                <w:kern w:val="0"/>
                <w:sz w:val="24"/>
                <w:szCs w:val="24"/>
                <w:lang w:eastAsia="zh-CN"/>
              </w:rPr>
              <w:t>：</w:t>
            </w:r>
          </w:p>
          <w:p>
            <w:pPr>
              <w:widowControl/>
              <w:ind w:firstLine="3360" w:firstLineChars="1400"/>
              <w:jc w:val="left"/>
              <w:rPr>
                <w:rFonts w:hint="eastAsia" w:ascii="方正仿宋_GBK" w:hAnsi="方正仿宋_GBK" w:eastAsia="方正仿宋_GBK" w:cs="方正仿宋_GBK"/>
                <w:kern w:val="0"/>
                <w:sz w:val="24"/>
                <w:lang w:val="en-US"/>
              </w:rPr>
            </w:pPr>
            <w:r>
              <w:rPr>
                <w:rFonts w:hint="eastAsia" w:ascii="方正仿宋_GBK" w:hAnsi="方正仿宋_GBK" w:eastAsia="方正仿宋_GBK" w:cs="方正仿宋_GBK"/>
                <w:color w:val="auto"/>
                <w:kern w:val="0"/>
                <w:sz w:val="24"/>
                <w:szCs w:val="24"/>
              </w:rPr>
              <w:t>年 月 日</w:t>
            </w:r>
          </w:p>
        </w:tc>
        <w:tc>
          <w:tcPr>
            <w:tcW w:w="2220" w:type="dxa"/>
            <w:tcBorders>
              <w:left w:val="single" w:color="000000"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人事权限管理部门备案意见</w:t>
            </w:r>
          </w:p>
        </w:tc>
        <w:tc>
          <w:tcPr>
            <w:tcW w:w="4860" w:type="dxa"/>
            <w:gridSpan w:val="3"/>
            <w:tcBorders>
              <w:left w:val="single" w:color="000000" w:sz="4" w:space="0"/>
            </w:tcBorders>
            <w:noWrap w:val="0"/>
            <w:vAlign w:val="center"/>
          </w:tcPr>
          <w:p>
            <w:pPr>
              <w:widowControl/>
              <w:jc w:val="center"/>
              <w:rPr>
                <w:rFonts w:hint="eastAsia" w:ascii="方正仿宋_GBK" w:hAnsi="方正仿宋_GBK" w:eastAsia="方正仿宋_GBK" w:cs="方正仿宋_GBK"/>
                <w:kern w:val="0"/>
                <w:sz w:val="24"/>
              </w:rPr>
            </w:pPr>
          </w:p>
        </w:tc>
      </w:tr>
    </w:tbl>
    <w:p>
      <w:pPr>
        <w:spacing w:line="3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注：1.该表格为事业单位推荐人员申报职称评审时填写，作为单位推荐佐证材料使用；</w:t>
      </w:r>
    </w:p>
    <w:p>
      <w:pPr>
        <w:spacing w:line="400" w:lineRule="exact"/>
        <w:ind w:firstLine="48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2</w:t>
      </w:r>
      <w:r>
        <w:rPr>
          <w:rFonts w:hint="default" w:ascii="Times New Roman" w:hAnsi="Times New Roman" w:eastAsia="方正仿宋_GBK" w:cs="Times New Roman"/>
          <w:sz w:val="24"/>
        </w:rPr>
        <w:t>.有关岗位和人员数据统计时间截止202</w:t>
      </w:r>
      <w:r>
        <w:rPr>
          <w:rFonts w:hint="eastAsia" w:eastAsia="方正仿宋_GBK" w:cs="Times New Roman"/>
          <w:sz w:val="24"/>
          <w:lang w:val="en-US" w:eastAsia="zh-CN"/>
        </w:rPr>
        <w:t>5</w:t>
      </w:r>
      <w:r>
        <w:rPr>
          <w:rFonts w:hint="default" w:ascii="Times New Roman" w:hAnsi="Times New Roman" w:eastAsia="方正仿宋_GBK" w:cs="Times New Roman"/>
          <w:sz w:val="24"/>
        </w:rPr>
        <w:t>年1</w:t>
      </w:r>
      <w:r>
        <w:rPr>
          <w:rFonts w:hint="eastAsia" w:ascii="Times New Roman" w:hAnsi="Times New Roman" w:eastAsia="方正仿宋_GBK" w:cs="Times New Roman"/>
          <w:sz w:val="24"/>
          <w:lang w:val="en-US" w:eastAsia="zh-CN"/>
        </w:rPr>
        <w:t>2</w:t>
      </w:r>
      <w:r>
        <w:rPr>
          <w:rFonts w:hint="default" w:ascii="Times New Roman" w:hAnsi="Times New Roman" w:eastAsia="方正仿宋_GBK" w:cs="Times New Roman"/>
          <w:sz w:val="24"/>
        </w:rPr>
        <w:t>月3</w:t>
      </w:r>
      <w:r>
        <w:rPr>
          <w:rFonts w:hint="eastAsia" w:ascii="Times New Roman" w:hAnsi="Times New Roman" w:eastAsia="方正仿宋_GBK" w:cs="Times New Roman"/>
          <w:sz w:val="24"/>
          <w:lang w:val="en-US" w:eastAsia="zh-CN"/>
        </w:rPr>
        <w:t>1</w:t>
      </w:r>
      <w:r>
        <w:rPr>
          <w:rFonts w:hint="default" w:ascii="Times New Roman" w:hAnsi="Times New Roman" w:eastAsia="方正仿宋_GBK" w:cs="Times New Roman"/>
          <w:sz w:val="24"/>
        </w:rPr>
        <w:t>日；</w:t>
      </w:r>
    </w:p>
    <w:p>
      <w:pPr>
        <w:ind w:firstLine="480" w:firstLineChars="200"/>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val="en-US" w:eastAsia="zh-CN"/>
        </w:rPr>
        <w:t>3</w:t>
      </w:r>
      <w:r>
        <w:rPr>
          <w:rFonts w:hint="default" w:ascii="Times New Roman" w:hAnsi="Times New Roman" w:eastAsia="方正仿宋_GBK" w:cs="Times New Roman"/>
          <w:sz w:val="24"/>
        </w:rPr>
        <w:t>.此表</w:t>
      </w:r>
      <w:r>
        <w:rPr>
          <w:rFonts w:hint="eastAsia" w:ascii="Times New Roman" w:hAnsi="Times New Roman" w:eastAsia="方正仿宋_GBK" w:cs="Times New Roman"/>
          <w:sz w:val="24"/>
          <w:lang w:val="en-US" w:eastAsia="zh-CN"/>
        </w:rPr>
        <w:t>一两份式</w:t>
      </w:r>
      <w:r>
        <w:rPr>
          <w:rFonts w:hint="default" w:ascii="Times New Roman" w:hAnsi="Times New Roman" w:eastAsia="方正仿宋_GBK" w:cs="Times New Roman"/>
          <w:sz w:val="24"/>
        </w:rPr>
        <w:t>由各主管部门收集后统一上报</w:t>
      </w:r>
      <w:r>
        <w:rPr>
          <w:rFonts w:hint="eastAsia" w:ascii="Times New Roman" w:hAnsi="Times New Roman" w:eastAsia="方正仿宋_GBK" w:cs="Times New Roman"/>
          <w:sz w:val="24"/>
          <w:lang w:eastAsia="zh-CN"/>
        </w:rPr>
        <w:t>。</w:t>
      </w:r>
    </w:p>
    <w:p>
      <w:pPr>
        <w:pStyle w:val="2"/>
        <w:rPr>
          <w:rFonts w:hint="eastAsia" w:ascii="Times New Roman" w:hAnsi="Times New Roman" w:eastAsia="方正仿宋_GBK" w:cs="Times New Roman"/>
          <w:sz w:val="24"/>
          <w:lang w:eastAsia="zh-CN"/>
        </w:rPr>
        <w:sectPr>
          <w:pgSz w:w="16840" w:h="11907" w:orient="landscape"/>
          <w:pgMar w:top="1588" w:right="2098" w:bottom="1474" w:left="1985" w:header="851" w:footer="992" w:gutter="0"/>
          <w:pgNumType w:fmt="decimal"/>
          <w:cols w:space="720" w:num="1"/>
          <w:docGrid w:linePitch="312" w:charSpace="0"/>
        </w:sectPr>
      </w:pPr>
    </w:p>
    <w:p>
      <w:pPr>
        <w:ind w:left="141" w:leftChars="67" w:firstLine="1"/>
        <w:rPr>
          <w:rFonts w:hint="default" w:ascii="方正小标宋_GBK" w:hAnsi="微软雅黑" w:eastAsia="方正小标宋_GBK" w:cs="微软雅黑"/>
          <w:sz w:val="40"/>
          <w:szCs w:val="36"/>
          <w:lang w:val="en-US"/>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kern w:val="0"/>
          <w:sz w:val="32"/>
          <w:szCs w:val="32"/>
          <w:lang w:val="en-US" w:eastAsia="zh-CN"/>
        </w:rPr>
        <w:t>3</w:t>
      </w:r>
    </w:p>
    <w:p>
      <w:pPr>
        <w:jc w:val="center"/>
        <w:rPr>
          <w:rFonts w:ascii="方正小标宋_GBK" w:hAnsi="微软雅黑" w:eastAsia="方正小标宋_GBK" w:cs="微软雅黑"/>
          <w:sz w:val="44"/>
          <w:szCs w:val="44"/>
        </w:rPr>
      </w:pPr>
      <w:r>
        <w:rPr>
          <w:rFonts w:hint="eastAsia" w:ascii="方正小标宋_GBK" w:hAnsi="微软雅黑" w:eastAsia="方正小标宋_GBK" w:cs="微软雅黑"/>
          <w:sz w:val="44"/>
          <w:szCs w:val="44"/>
          <w:lang w:val="en-US" w:eastAsia="zh-CN"/>
        </w:rPr>
        <w:t>丰都县</w:t>
      </w:r>
      <w:r>
        <w:rPr>
          <w:rFonts w:hint="eastAsia" w:ascii="方正小标宋_GBK" w:hAnsi="微软雅黑" w:eastAsia="方正小标宋_GBK" w:cs="微软雅黑"/>
          <w:sz w:val="44"/>
          <w:szCs w:val="44"/>
        </w:rPr>
        <w:t>职称申报材料要求</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26"/>
        <w:gridCol w:w="1966"/>
        <w:gridCol w:w="465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 w:hRule="atLeast"/>
          <w:jc w:val="center"/>
        </w:trPr>
        <w:tc>
          <w:tcPr>
            <w:tcW w:w="626" w:type="dxa"/>
            <w:vAlign w:val="center"/>
          </w:tcPr>
          <w:p>
            <w:pPr>
              <w:pStyle w:val="6"/>
              <w:autoSpaceDN w:val="0"/>
              <w:spacing w:line="360" w:lineRule="exact"/>
              <w:ind w:left="-126" w:right="-66"/>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序号</w:t>
            </w:r>
          </w:p>
        </w:tc>
        <w:tc>
          <w:tcPr>
            <w:tcW w:w="1966" w:type="dxa"/>
            <w:vAlign w:val="center"/>
          </w:tcPr>
          <w:p>
            <w:pPr>
              <w:pStyle w:val="6"/>
              <w:autoSpaceDN w:val="0"/>
              <w:spacing w:line="360" w:lineRule="exact"/>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种  类</w:t>
            </w:r>
          </w:p>
        </w:tc>
        <w:tc>
          <w:tcPr>
            <w:tcW w:w="4650" w:type="dxa"/>
            <w:vAlign w:val="center"/>
          </w:tcPr>
          <w:p>
            <w:pPr>
              <w:pStyle w:val="6"/>
              <w:autoSpaceDN w:val="0"/>
              <w:spacing w:line="360" w:lineRule="exact"/>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要   求</w:t>
            </w:r>
          </w:p>
        </w:tc>
        <w:tc>
          <w:tcPr>
            <w:tcW w:w="1818" w:type="dxa"/>
            <w:vAlign w:val="center"/>
          </w:tcPr>
          <w:p>
            <w:pPr>
              <w:pStyle w:val="6"/>
              <w:autoSpaceDN w:val="0"/>
              <w:spacing w:line="360" w:lineRule="exact"/>
              <w:jc w:val="center"/>
              <w:rPr>
                <w:rFonts w:ascii="Times New Roman" w:hAnsi="Times New Roman" w:cs="Times New Roman"/>
                <w:b/>
                <w:bCs/>
                <w:spacing w:val="-12"/>
                <w:sz w:val="28"/>
                <w:szCs w:val="28"/>
              </w:rPr>
            </w:pPr>
            <w:r>
              <w:rPr>
                <w:rFonts w:hint="eastAsia" w:ascii="Times New Roman" w:hAnsi="Times New Roman" w:cs="Times New Roman"/>
                <w:b/>
                <w:bCs/>
                <w:spacing w:val="-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61" w:hRule="atLeast"/>
          <w:jc w:val="center"/>
        </w:trPr>
        <w:tc>
          <w:tcPr>
            <w:tcW w:w="626" w:type="dxa"/>
            <w:vAlign w:val="center"/>
          </w:tcPr>
          <w:p>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1</w:t>
            </w:r>
          </w:p>
        </w:tc>
        <w:tc>
          <w:tcPr>
            <w:tcW w:w="1966" w:type="dxa"/>
            <w:vAlign w:val="center"/>
          </w:tcPr>
          <w:p>
            <w:pPr>
              <w:pStyle w:val="6"/>
              <w:autoSpaceDN w:val="0"/>
              <w:spacing w:line="360" w:lineRule="exact"/>
              <w:rPr>
                <w:rFonts w:ascii="Times New Roman" w:hAnsi="Times New Roman" w:eastAsia="方正仿宋_GBK" w:cs="Times New Roman"/>
                <w:spacing w:val="-12"/>
                <w:sz w:val="24"/>
              </w:rPr>
            </w:pPr>
            <w:r>
              <w:rPr>
                <w:rFonts w:ascii="Times New Roman" w:hAnsi="Times New Roman" w:eastAsia="方正仿宋_GBK" w:cs="Times New Roman"/>
                <w:spacing w:val="-12"/>
                <w:sz w:val="24"/>
              </w:rPr>
              <w:t>《重庆市职称申报评审表》</w:t>
            </w:r>
          </w:p>
        </w:tc>
        <w:tc>
          <w:tcPr>
            <w:tcW w:w="4650" w:type="dxa"/>
          </w:tcPr>
          <w:p>
            <w:pPr>
              <w:spacing w:line="360" w:lineRule="exact"/>
              <w:rPr>
                <w:rFonts w:ascii="Times New Roman" w:hAnsi="Times New Roman" w:eastAsia="方正仿宋_GBK" w:cs="Times New Roman"/>
                <w:spacing w:val="-12"/>
                <w:sz w:val="24"/>
                <w:szCs w:val="24"/>
              </w:rPr>
            </w:pPr>
            <w:r>
              <w:rPr>
                <w:rFonts w:hint="eastAsia" w:ascii="Times New Roman" w:hAnsi="Times New Roman" w:eastAsia="方正仿宋_GBK" w:cs="Times New Roman"/>
                <w:spacing w:val="-12"/>
                <w:kern w:val="2"/>
                <w:sz w:val="24"/>
                <w:szCs w:val="24"/>
                <w:lang w:val="en-US" w:eastAsia="zh-CN" w:bidi="ar-SA"/>
              </w:rPr>
              <w:t>职称评审结果通知下发后1个月内，申报人登录系统，打印评审表（一式2份）。系统导出的职称评审表将部分生成电子签章，其他不带电子签章的栏目由申报人送相应机构进行补盖鲜章。完善签章的评审表，1份存入申报人人事档案，1份存入单位文书档案。</w:t>
            </w:r>
          </w:p>
        </w:tc>
        <w:tc>
          <w:tcPr>
            <w:tcW w:w="1818" w:type="dxa"/>
            <w:vAlign w:val="center"/>
          </w:tcPr>
          <w:p>
            <w:pPr>
              <w:spacing w:line="360" w:lineRule="exact"/>
              <w:rPr>
                <w:rFonts w:ascii="Times New Roman" w:hAnsi="Times New Roman" w:eastAsia="方正仿宋_GBK" w:cs="Times New Roman"/>
                <w:spacing w:val="-12"/>
                <w:sz w:val="24"/>
                <w:szCs w:val="24"/>
              </w:rPr>
            </w:pPr>
            <w:r>
              <w:rPr>
                <w:rFonts w:hint="eastAsia" w:ascii="Times New Roman" w:hAnsi="Times New Roman" w:eastAsia="方正仿宋_GBK" w:cs="Times New Roman"/>
                <w:spacing w:val="-12"/>
                <w:sz w:val="24"/>
                <w:szCs w:val="24"/>
              </w:rPr>
              <w:t>评审结束前无需提交纸质材料。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26" w:type="dxa"/>
            <w:vAlign w:val="center"/>
          </w:tcPr>
          <w:p>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2</w:t>
            </w:r>
          </w:p>
        </w:tc>
        <w:tc>
          <w:tcPr>
            <w:tcW w:w="1966" w:type="dxa"/>
            <w:vAlign w:val="center"/>
          </w:tcPr>
          <w:p>
            <w:pPr>
              <w:pStyle w:val="6"/>
              <w:autoSpaceDN w:val="0"/>
              <w:spacing w:line="360" w:lineRule="exact"/>
              <w:rPr>
                <w:rFonts w:ascii="Times New Roman" w:hAnsi="Times New Roman" w:eastAsia="方正仿宋_GBK" w:cs="Times New Roman"/>
                <w:spacing w:val="-12"/>
                <w:sz w:val="24"/>
              </w:rPr>
            </w:pPr>
            <w:r>
              <w:rPr>
                <w:rFonts w:ascii="Times New Roman" w:hAnsi="Times New Roman" w:eastAsia="方正仿宋_GBK" w:cs="Times New Roman"/>
                <w:spacing w:val="-12"/>
                <w:sz w:val="24"/>
              </w:rPr>
              <w:t>《重庆市职称申报综合情况（公示）表》</w:t>
            </w:r>
          </w:p>
        </w:tc>
        <w:tc>
          <w:tcPr>
            <w:tcW w:w="4650" w:type="dxa"/>
          </w:tcPr>
          <w:p>
            <w:pPr>
              <w:pStyle w:val="6"/>
              <w:autoSpaceDN w:val="0"/>
              <w:spacing w:line="360" w:lineRule="exact"/>
              <w:rPr>
                <w:rFonts w:hint="eastAsia" w:ascii="Times New Roman" w:hAnsi="Times New Roman" w:eastAsia="方正仿宋_GBK" w:cs="Times New Roman"/>
                <w:spacing w:val="-12"/>
                <w:sz w:val="24"/>
                <w:lang w:eastAsia="zh-CN"/>
              </w:rPr>
            </w:pPr>
            <w:r>
              <w:rPr>
                <w:rFonts w:hint="eastAsia" w:ascii="Times New Roman" w:hAnsi="Times New Roman" w:eastAsia="方正仿宋_GBK" w:cs="Times New Roman"/>
                <w:spacing w:val="-12"/>
                <w:sz w:val="24"/>
              </w:rPr>
              <w:t>从申报人申请书填写内容中提取，单位审核通过后，由单位下载打印公示表，并公示5个工作日</w:t>
            </w:r>
            <w:r>
              <w:rPr>
                <w:rFonts w:hint="eastAsia" w:ascii="Times New Roman" w:hAnsi="Times New Roman" w:eastAsia="方正仿宋_GBK" w:cs="Times New Roman"/>
                <w:spacing w:val="-12"/>
                <w:sz w:val="24"/>
                <w:lang w:eastAsia="zh-CN"/>
              </w:rPr>
              <w:t>。</w:t>
            </w:r>
          </w:p>
        </w:tc>
        <w:tc>
          <w:tcPr>
            <w:tcW w:w="1818" w:type="dxa"/>
            <w:vAlign w:val="center"/>
          </w:tcPr>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无需提供纸质材料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43" w:hRule="atLeast"/>
          <w:jc w:val="center"/>
        </w:trPr>
        <w:tc>
          <w:tcPr>
            <w:tcW w:w="626" w:type="dxa"/>
            <w:vAlign w:val="center"/>
          </w:tcPr>
          <w:p>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3</w:t>
            </w:r>
          </w:p>
        </w:tc>
        <w:tc>
          <w:tcPr>
            <w:tcW w:w="1966" w:type="dxa"/>
            <w:vAlign w:val="center"/>
          </w:tcPr>
          <w:p>
            <w:pPr>
              <w:pStyle w:val="6"/>
              <w:autoSpaceDN w:val="0"/>
              <w:spacing w:line="360" w:lineRule="exact"/>
              <w:jc w:val="both"/>
              <w:rPr>
                <w:rFonts w:ascii="Times New Roman" w:hAnsi="Times New Roman" w:eastAsia="方正仿宋_GBK" w:cs="Times New Roman"/>
                <w:spacing w:val="-12"/>
                <w:sz w:val="24"/>
              </w:rPr>
            </w:pPr>
            <w:r>
              <w:rPr>
                <w:rFonts w:ascii="Times New Roman" w:hAnsi="Times New Roman" w:eastAsia="方正仿宋_GBK" w:cs="Times New Roman"/>
                <w:spacing w:val="-12"/>
                <w:sz w:val="24"/>
              </w:rPr>
              <w:t>取得现职称以来的思想和工作总结</w:t>
            </w:r>
          </w:p>
        </w:tc>
        <w:tc>
          <w:tcPr>
            <w:tcW w:w="4650" w:type="dxa"/>
            <w:vAlign w:val="center"/>
          </w:tcPr>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本人在落款处手写签名</w:t>
            </w:r>
            <w:r>
              <w:rPr>
                <w:rFonts w:hint="eastAsia" w:ascii="Times New Roman" w:hAnsi="Times New Roman" w:eastAsia="方正仿宋_GBK" w:cs="Times New Roman"/>
                <w:spacing w:val="-12"/>
                <w:sz w:val="24"/>
                <w:lang w:eastAsia="zh-CN"/>
              </w:rPr>
              <w:t>，</w:t>
            </w:r>
            <w:r>
              <w:rPr>
                <w:rFonts w:hint="eastAsia" w:ascii="Times New Roman" w:hAnsi="Times New Roman" w:eastAsia="方正仿宋_GBK" w:cs="Times New Roman"/>
                <w:spacing w:val="-12"/>
                <w:sz w:val="24"/>
                <w:lang w:val="en-US" w:eastAsia="zh-CN"/>
              </w:rPr>
              <w:t>单位盖章</w:t>
            </w:r>
            <w:r>
              <w:rPr>
                <w:rFonts w:hint="eastAsia" w:ascii="Times New Roman" w:hAnsi="Times New Roman" w:eastAsia="方正仿宋_GBK" w:cs="Times New Roman"/>
                <w:spacing w:val="-12"/>
                <w:sz w:val="24"/>
              </w:rPr>
              <w:t>后上传</w:t>
            </w:r>
          </w:p>
        </w:tc>
        <w:tc>
          <w:tcPr>
            <w:tcW w:w="1818" w:type="dxa"/>
            <w:vAlign w:val="center"/>
          </w:tcPr>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任现职以来从事申报专业技术工作实际工作总结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5" w:hRule="atLeast"/>
          <w:jc w:val="center"/>
        </w:trPr>
        <w:tc>
          <w:tcPr>
            <w:tcW w:w="626" w:type="dxa"/>
            <w:vAlign w:val="center"/>
          </w:tcPr>
          <w:p>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4</w:t>
            </w:r>
          </w:p>
        </w:tc>
        <w:tc>
          <w:tcPr>
            <w:tcW w:w="1966" w:type="dxa"/>
            <w:vAlign w:val="center"/>
          </w:tcPr>
          <w:p>
            <w:pPr>
              <w:pStyle w:val="6"/>
              <w:autoSpaceDN w:val="0"/>
              <w:spacing w:line="360" w:lineRule="exact"/>
              <w:rPr>
                <w:rFonts w:ascii="Times New Roman" w:hAnsi="Times New Roman" w:eastAsia="方正仿宋_GBK" w:cs="Times New Roman"/>
                <w:spacing w:val="-12"/>
                <w:sz w:val="24"/>
              </w:rPr>
            </w:pPr>
            <w:r>
              <w:rPr>
                <w:rFonts w:ascii="Times New Roman" w:hAnsi="Times New Roman" w:eastAsia="方正仿宋_GBK" w:cs="Times New Roman"/>
                <w:spacing w:val="-12"/>
                <w:sz w:val="24"/>
              </w:rPr>
              <w:t>专业技术资格证书</w:t>
            </w:r>
            <w:r>
              <w:rPr>
                <w:rFonts w:hint="eastAsia" w:ascii="Times New Roman" w:hAnsi="Times New Roman" w:eastAsia="方正仿宋_GBK" w:cs="Times New Roman"/>
                <w:spacing w:val="-12"/>
                <w:sz w:val="24"/>
              </w:rPr>
              <w:t>、职业资格证书</w:t>
            </w:r>
          </w:p>
        </w:tc>
        <w:tc>
          <w:tcPr>
            <w:tcW w:w="4650" w:type="dxa"/>
            <w:vAlign w:val="center"/>
          </w:tcPr>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（电子）职称证书、职业资格证书复印件经单位盖章后上传</w:t>
            </w:r>
          </w:p>
          <w:p>
            <w:pPr>
              <w:pStyle w:val="6"/>
              <w:autoSpaceDN w:val="0"/>
              <w:spacing w:line="360" w:lineRule="exact"/>
              <w:ind w:firstLine="464"/>
              <w:rPr>
                <w:rFonts w:ascii="Times New Roman" w:hAnsi="Times New Roman" w:eastAsia="方正仿宋_GBK" w:cs="Times New Roman"/>
                <w:spacing w:val="-12"/>
                <w:sz w:val="24"/>
              </w:rPr>
            </w:pPr>
          </w:p>
        </w:tc>
        <w:tc>
          <w:tcPr>
            <w:tcW w:w="1818" w:type="dxa"/>
            <w:vAlign w:val="center"/>
          </w:tcPr>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以职业资格申报各级职称的需在“其他附件”处上传资格证书网络查询结果截图。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jc w:val="center"/>
        </w:trPr>
        <w:tc>
          <w:tcPr>
            <w:tcW w:w="626" w:type="dxa"/>
            <w:vAlign w:val="center"/>
          </w:tcPr>
          <w:p>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5</w:t>
            </w:r>
          </w:p>
        </w:tc>
        <w:tc>
          <w:tcPr>
            <w:tcW w:w="1966" w:type="dxa"/>
            <w:vAlign w:val="center"/>
          </w:tcPr>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继续教育学时、</w:t>
            </w:r>
            <w:r>
              <w:rPr>
                <w:rFonts w:ascii="Times New Roman" w:hAnsi="Times New Roman" w:eastAsia="方正仿宋_GBK" w:cs="Times New Roman"/>
                <w:spacing w:val="-12"/>
                <w:sz w:val="24"/>
              </w:rPr>
              <w:t>公需科目考试合格成绩单</w:t>
            </w:r>
          </w:p>
        </w:tc>
        <w:tc>
          <w:tcPr>
            <w:tcW w:w="4650" w:type="dxa"/>
            <w:vAlign w:val="center"/>
          </w:tcPr>
          <w:p>
            <w:pPr>
              <w:pStyle w:val="6"/>
              <w:autoSpaceDN w:val="0"/>
              <w:spacing w:line="360" w:lineRule="exact"/>
              <w:rPr>
                <w:rFonts w:hint="eastAsia" w:ascii="Times New Roman" w:hAnsi="Times New Roman" w:eastAsia="方正仿宋_GBK" w:cs="Times New Roman"/>
                <w:spacing w:val="-12"/>
                <w:sz w:val="24"/>
                <w:lang w:eastAsia="zh-CN"/>
              </w:rPr>
            </w:pPr>
            <w:r>
              <w:rPr>
                <w:rFonts w:hint="eastAsia" w:ascii="Times New Roman" w:hAnsi="Times New Roman" w:eastAsia="方正仿宋_GBK" w:cs="Times New Roman"/>
                <w:spacing w:val="-12"/>
                <w:sz w:val="24"/>
                <w:lang w:eastAsia="zh-CN"/>
              </w:rPr>
              <w:t>系统自动比对</w:t>
            </w:r>
          </w:p>
        </w:tc>
        <w:tc>
          <w:tcPr>
            <w:tcW w:w="1818" w:type="dxa"/>
            <w:vAlign w:val="center"/>
          </w:tcPr>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color w:val="000000" w:themeColor="text1"/>
                <w:spacing w:val="-12"/>
                <w:sz w:val="24"/>
                <w14:textFill>
                  <w14:solidFill>
                    <w14:schemeClr w14:val="tx1"/>
                  </w14:solidFill>
                </w14:textFill>
              </w:rPr>
              <w:t>验证</w:t>
            </w:r>
            <w:r>
              <w:rPr>
                <w:rFonts w:hint="eastAsia" w:ascii="Times New Roman" w:hAnsi="Times New Roman" w:eastAsia="方正仿宋_GBK" w:cs="Times New Roman"/>
                <w:color w:val="000000" w:themeColor="text1"/>
                <w:spacing w:val="-12"/>
                <w:sz w:val="24"/>
                <w:lang w:eastAsia="zh-CN"/>
                <w14:textFill>
                  <w14:solidFill>
                    <w14:schemeClr w14:val="tx1"/>
                  </w14:solidFill>
                </w14:textFill>
              </w:rPr>
              <w:t>未</w:t>
            </w:r>
            <w:r>
              <w:rPr>
                <w:rFonts w:hint="eastAsia" w:ascii="Times New Roman" w:hAnsi="Times New Roman" w:eastAsia="方正仿宋_GBK" w:cs="Times New Roman"/>
                <w:color w:val="000000" w:themeColor="text1"/>
                <w:spacing w:val="-12"/>
                <w:sz w:val="24"/>
                <w14:textFill>
                  <w14:solidFill>
                    <w14:schemeClr w14:val="tx1"/>
                  </w14:solidFill>
                </w14:textFill>
              </w:rPr>
              <w:t>通过者，请</w:t>
            </w:r>
            <w:r>
              <w:rPr>
                <w:rFonts w:hint="eastAsia" w:ascii="Times New Roman" w:hAnsi="Times New Roman" w:eastAsia="方正仿宋_GBK" w:cs="Times New Roman"/>
                <w:color w:val="000000" w:themeColor="text1"/>
                <w:spacing w:val="-12"/>
                <w:sz w:val="24"/>
                <w:lang w:eastAsia="zh-CN"/>
                <w14:textFill>
                  <w14:solidFill>
                    <w14:schemeClr w14:val="tx1"/>
                  </w14:solidFill>
                </w14:textFill>
              </w:rPr>
              <w:t>盖章</w:t>
            </w:r>
            <w:r>
              <w:rPr>
                <w:rFonts w:hint="eastAsia" w:ascii="Times New Roman" w:hAnsi="Times New Roman" w:eastAsia="方正仿宋_GBK" w:cs="Times New Roman"/>
                <w:color w:val="000000" w:themeColor="text1"/>
                <w:spacing w:val="-12"/>
                <w:sz w:val="24"/>
                <w14:textFill>
                  <w14:solidFill>
                    <w14:schemeClr w14:val="tx1"/>
                  </w14:solidFill>
                </w14:textFill>
              </w:rPr>
              <w:t>上传至“其他附件”处，不再</w:t>
            </w:r>
            <w:r>
              <w:rPr>
                <w:rFonts w:ascii="Times New Roman" w:hAnsi="Times New Roman" w:eastAsia="方正仿宋_GBK" w:cs="Times New Roman"/>
                <w:color w:val="000000" w:themeColor="text1"/>
                <w:spacing w:val="-12"/>
                <w:sz w:val="24"/>
                <w14:textFill>
                  <w14:solidFill>
                    <w14:schemeClr w14:val="tx1"/>
                  </w14:solidFill>
                </w14:textFill>
              </w:rPr>
              <w:t>提交纸质材料</w:t>
            </w:r>
            <w:r>
              <w:rPr>
                <w:rFonts w:hint="eastAsia" w:ascii="Times New Roman" w:hAnsi="Times New Roman" w:eastAsia="方正仿宋_GBK" w:cs="Times New Roman"/>
                <w:color w:val="000000" w:themeColor="text1"/>
                <w:spacing w:val="-12"/>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26" w:type="dxa"/>
            <w:vAlign w:val="center"/>
          </w:tcPr>
          <w:p>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6</w:t>
            </w:r>
          </w:p>
        </w:tc>
        <w:tc>
          <w:tcPr>
            <w:tcW w:w="1966" w:type="dxa"/>
            <w:vAlign w:val="center"/>
          </w:tcPr>
          <w:p>
            <w:pPr>
              <w:pStyle w:val="6"/>
              <w:autoSpaceDN w:val="0"/>
              <w:spacing w:line="360" w:lineRule="exact"/>
              <w:rPr>
                <w:rFonts w:hint="default" w:ascii="Times New Roman" w:hAnsi="Times New Roman" w:eastAsia="方正仿宋_GBK" w:cs="Times New Roman"/>
                <w:spacing w:val="-12"/>
                <w:sz w:val="24"/>
                <w:lang w:val="en-US" w:eastAsia="zh-CN"/>
              </w:rPr>
            </w:pPr>
            <w:r>
              <w:rPr>
                <w:rFonts w:hint="eastAsia" w:ascii="Times New Roman" w:hAnsi="Times New Roman" w:eastAsia="方正仿宋_GBK" w:cs="Times New Roman"/>
                <w:spacing w:val="-12"/>
                <w:sz w:val="24"/>
                <w:lang w:val="en-US" w:eastAsia="zh-CN"/>
              </w:rPr>
              <w:t>相关业绩成果证明材料</w:t>
            </w:r>
          </w:p>
        </w:tc>
        <w:tc>
          <w:tcPr>
            <w:tcW w:w="4650" w:type="dxa"/>
            <w:vAlign w:val="center"/>
          </w:tcPr>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lang w:eastAsia="zh-CN"/>
              </w:rPr>
              <w:t>工作业绩需提供合同、协议、项目报告等节选内容。科研项目（课题）需提供立项审批表、结题报告等节选内容。论文需提供封面、论文页及论文检索证明等，著作需提供封面、前言及出版社证明等。学术技术报告需提供邀请函。获奖成果需提供获奖证书、奖励文件等。专利需提供专利证书，软件著作权需提供软件著作权登记证书。标准规范需提供封面、前言等内容。 </w:t>
            </w:r>
          </w:p>
        </w:tc>
        <w:tc>
          <w:tcPr>
            <w:tcW w:w="1818" w:type="dxa"/>
            <w:vAlign w:val="center"/>
          </w:tcPr>
          <w:p>
            <w:pPr>
              <w:pStyle w:val="6"/>
              <w:autoSpaceDN w:val="0"/>
              <w:spacing w:line="360" w:lineRule="exact"/>
              <w:rPr>
                <w:rFonts w:hint="default" w:ascii="Times New Roman" w:hAnsi="Times New Roman" w:eastAsia="方正仿宋_GBK" w:cs="Times New Roman"/>
                <w:spacing w:val="-12"/>
                <w:sz w:val="24"/>
                <w:lang w:val="en-US" w:eastAsia="zh-CN"/>
              </w:rPr>
            </w:pPr>
            <w:r>
              <w:rPr>
                <w:rFonts w:hint="eastAsia" w:ascii="Times New Roman" w:hAnsi="Times New Roman" w:eastAsia="方正仿宋_GBK" w:cs="Times New Roman"/>
                <w:spacing w:val="-12"/>
                <w:sz w:val="24"/>
              </w:rPr>
              <w:t>原件扫描</w:t>
            </w:r>
            <w:r>
              <w:rPr>
                <w:rFonts w:hint="eastAsia" w:ascii="Times New Roman" w:hAnsi="Times New Roman" w:eastAsia="方正仿宋_GBK" w:cs="Times New Roman"/>
                <w:spacing w:val="-12"/>
                <w:sz w:val="24"/>
                <w:lang w:val="en-US" w:eastAsia="zh-CN"/>
              </w:rPr>
              <w:t>后</w:t>
            </w:r>
            <w:r>
              <w:rPr>
                <w:rFonts w:hint="eastAsia" w:ascii="Times New Roman" w:hAnsi="Times New Roman" w:eastAsia="方正仿宋_GBK" w:cs="Times New Roman"/>
                <w:spacing w:val="-12"/>
                <w:sz w:val="24"/>
              </w:rPr>
              <w:t>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44" w:hRule="atLeast"/>
          <w:jc w:val="center"/>
        </w:trPr>
        <w:tc>
          <w:tcPr>
            <w:tcW w:w="626" w:type="dxa"/>
            <w:vAlign w:val="center"/>
          </w:tcPr>
          <w:p>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7</w:t>
            </w:r>
          </w:p>
        </w:tc>
        <w:tc>
          <w:tcPr>
            <w:tcW w:w="1966" w:type="dxa"/>
          </w:tcPr>
          <w:p>
            <w:pPr>
              <w:pStyle w:val="6"/>
              <w:autoSpaceDN w:val="0"/>
              <w:spacing w:line="360" w:lineRule="exact"/>
              <w:rPr>
                <w:rFonts w:ascii="Times New Roman" w:hAnsi="Times New Roman" w:eastAsia="方正仿宋_GBK" w:cs="Times New Roman"/>
                <w:spacing w:val="-12"/>
                <w:sz w:val="24"/>
              </w:rPr>
            </w:pPr>
          </w:p>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社保缴费记录</w:t>
            </w:r>
          </w:p>
        </w:tc>
        <w:tc>
          <w:tcPr>
            <w:tcW w:w="4650" w:type="dxa"/>
            <w:vAlign w:val="center"/>
          </w:tcPr>
          <w:p>
            <w:pPr>
              <w:pStyle w:val="6"/>
              <w:autoSpaceDN w:val="0"/>
              <w:spacing w:line="360" w:lineRule="exact"/>
              <w:rPr>
                <w:rFonts w:hint="default" w:ascii="Times New Roman" w:hAnsi="Times New Roman" w:eastAsia="方正仿宋_GBK" w:cs="Times New Roman"/>
                <w:spacing w:val="-12"/>
                <w:sz w:val="24"/>
                <w:lang w:val="en-US" w:eastAsia="zh-CN"/>
              </w:rPr>
            </w:pPr>
            <w:r>
              <w:rPr>
                <w:rFonts w:hint="eastAsia" w:ascii="Times New Roman" w:hAnsi="Times New Roman" w:eastAsia="方正仿宋_GBK" w:cs="Times New Roman"/>
                <w:spacing w:val="-12"/>
                <w:sz w:val="24"/>
                <w:lang w:eastAsia="zh-CN"/>
              </w:rPr>
              <w:t>系统</w:t>
            </w:r>
            <w:r>
              <w:rPr>
                <w:rFonts w:hint="eastAsia" w:ascii="Times New Roman" w:hAnsi="Times New Roman" w:eastAsia="方正仿宋_GBK" w:cs="Times New Roman"/>
                <w:spacing w:val="-12"/>
                <w:sz w:val="24"/>
                <w:lang w:val="en-US" w:eastAsia="zh-CN"/>
              </w:rPr>
              <w:t>仅</w:t>
            </w:r>
            <w:r>
              <w:rPr>
                <w:rFonts w:hint="eastAsia" w:ascii="Times New Roman" w:hAnsi="Times New Roman" w:eastAsia="方正仿宋_GBK" w:cs="Times New Roman"/>
                <w:spacing w:val="-12"/>
                <w:sz w:val="24"/>
                <w:lang w:eastAsia="zh-CN"/>
              </w:rPr>
              <w:t>自动比对</w:t>
            </w:r>
            <w:r>
              <w:rPr>
                <w:rFonts w:hint="eastAsia" w:ascii="Times New Roman" w:hAnsi="Times New Roman" w:eastAsia="方正仿宋_GBK" w:cs="Times New Roman"/>
                <w:spacing w:val="-12"/>
                <w:sz w:val="24"/>
                <w:lang w:val="en-US" w:eastAsia="zh-CN"/>
              </w:rPr>
              <w:t>缴费单位</w:t>
            </w:r>
          </w:p>
        </w:tc>
        <w:tc>
          <w:tcPr>
            <w:tcW w:w="1818" w:type="dxa"/>
            <w:vAlign w:val="center"/>
          </w:tcPr>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color w:val="000000" w:themeColor="text1"/>
                <w:spacing w:val="-12"/>
                <w:sz w:val="24"/>
                <w:lang w:val="en-US" w:eastAsia="zh-CN"/>
                <w14:textFill>
                  <w14:solidFill>
                    <w14:schemeClr w14:val="tx1"/>
                  </w14:solidFill>
                </w14:textFill>
              </w:rPr>
              <w:t>一年缴费记录仍需</w:t>
            </w:r>
            <w:r>
              <w:rPr>
                <w:rFonts w:hint="eastAsia" w:ascii="Times New Roman" w:hAnsi="Times New Roman" w:eastAsia="方正仿宋_GBK" w:cs="Times New Roman"/>
                <w:color w:val="000000" w:themeColor="text1"/>
                <w:spacing w:val="-12"/>
                <w:sz w:val="24"/>
                <w14:textFill>
                  <w14:solidFill>
                    <w14:schemeClr w14:val="tx1"/>
                  </w14:solidFill>
                </w14:textFill>
              </w:rPr>
              <w:t>上传至“其他附件”处，不再</w:t>
            </w:r>
            <w:r>
              <w:rPr>
                <w:rFonts w:ascii="Times New Roman" w:hAnsi="Times New Roman" w:eastAsia="方正仿宋_GBK" w:cs="Times New Roman"/>
                <w:color w:val="000000" w:themeColor="text1"/>
                <w:spacing w:val="-12"/>
                <w:sz w:val="24"/>
                <w14:textFill>
                  <w14:solidFill>
                    <w14:schemeClr w14:val="tx1"/>
                  </w14:solidFill>
                </w14:textFill>
              </w:rPr>
              <w:t>提交纸质材料</w:t>
            </w:r>
            <w:r>
              <w:rPr>
                <w:rFonts w:hint="eastAsia" w:ascii="Times New Roman" w:hAnsi="Times New Roman" w:eastAsia="方正仿宋_GBK" w:cs="Times New Roman"/>
                <w:color w:val="000000" w:themeColor="text1"/>
                <w:spacing w:val="-12"/>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44" w:hRule="atLeast"/>
          <w:jc w:val="center"/>
        </w:trPr>
        <w:tc>
          <w:tcPr>
            <w:tcW w:w="626" w:type="dxa"/>
            <w:vAlign w:val="center"/>
          </w:tcPr>
          <w:p>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8</w:t>
            </w:r>
          </w:p>
        </w:tc>
        <w:tc>
          <w:tcPr>
            <w:tcW w:w="1966" w:type="dxa"/>
            <w:vAlign w:val="center"/>
          </w:tcPr>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委托评审函</w:t>
            </w:r>
          </w:p>
        </w:tc>
        <w:tc>
          <w:tcPr>
            <w:tcW w:w="4650" w:type="dxa"/>
            <w:vAlign w:val="center"/>
          </w:tcPr>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仅市外单位驻渝人员委托评审使用，其余人员无需提供。</w:t>
            </w:r>
          </w:p>
        </w:tc>
        <w:tc>
          <w:tcPr>
            <w:tcW w:w="1818" w:type="dxa"/>
            <w:vAlign w:val="center"/>
          </w:tcPr>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原件扫描后上传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44" w:hRule="atLeast"/>
          <w:jc w:val="center"/>
        </w:trPr>
        <w:tc>
          <w:tcPr>
            <w:tcW w:w="626" w:type="dxa"/>
            <w:vAlign w:val="center"/>
          </w:tcPr>
          <w:p>
            <w:pPr>
              <w:pStyle w:val="6"/>
              <w:autoSpaceDN w:val="0"/>
              <w:spacing w:line="360" w:lineRule="exact"/>
              <w:jc w:val="center"/>
              <w:rPr>
                <w:rFonts w:ascii="Times New Roman" w:hAnsi="Times New Roman" w:cs="Times New Roman"/>
                <w:spacing w:val="-12"/>
                <w:sz w:val="24"/>
              </w:rPr>
            </w:pPr>
            <w:r>
              <w:rPr>
                <w:rFonts w:hint="eastAsia" w:ascii="Times New Roman" w:hAnsi="Times New Roman" w:cs="Times New Roman"/>
                <w:spacing w:val="-12"/>
                <w:sz w:val="24"/>
              </w:rPr>
              <w:t>9</w:t>
            </w:r>
          </w:p>
        </w:tc>
        <w:tc>
          <w:tcPr>
            <w:tcW w:w="1966" w:type="dxa"/>
            <w:vAlign w:val="center"/>
          </w:tcPr>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查档情况</w:t>
            </w:r>
          </w:p>
        </w:tc>
        <w:tc>
          <w:tcPr>
            <w:tcW w:w="4650" w:type="dxa"/>
            <w:vAlign w:val="center"/>
          </w:tcPr>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档案存放于市外人员上传，查档情况需载明档案存放地、学历学位、职业资格、职称情况并加盖存档机构鲜章。</w:t>
            </w:r>
          </w:p>
        </w:tc>
        <w:tc>
          <w:tcPr>
            <w:tcW w:w="1818" w:type="dxa"/>
            <w:vAlign w:val="center"/>
          </w:tcPr>
          <w:p>
            <w:pPr>
              <w:pStyle w:val="6"/>
              <w:autoSpaceDN w:val="0"/>
              <w:spacing w:line="360" w:lineRule="exact"/>
              <w:rPr>
                <w:rFonts w:ascii="Times New Roman" w:hAnsi="Times New Roman" w:eastAsia="方正仿宋_GBK" w:cs="Times New Roman"/>
                <w:spacing w:val="-12"/>
                <w:sz w:val="24"/>
              </w:rPr>
            </w:pPr>
            <w:r>
              <w:rPr>
                <w:rFonts w:hint="eastAsia" w:ascii="Times New Roman" w:hAnsi="Times New Roman" w:eastAsia="方正仿宋_GBK" w:cs="Times New Roman"/>
                <w:spacing w:val="-12"/>
                <w:sz w:val="24"/>
              </w:rPr>
              <w:t>原件扫描后上传</w:t>
            </w:r>
          </w:p>
        </w:tc>
      </w:tr>
    </w:tbl>
    <w:p>
      <w:pPr>
        <w:rPr>
          <w:rFonts w:hint="eastAsia"/>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p>
    <w:p>
      <w:pPr>
        <w:snapToGrid w:val="0"/>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附件</w:t>
      </w:r>
      <w:r>
        <w:rPr>
          <w:rFonts w:hint="eastAsia" w:ascii="Times New Roman" w:hAnsi="Times New Roman" w:eastAsia="方正黑体_GBK" w:cs="Times New Roman"/>
          <w:sz w:val="32"/>
          <w:lang w:val="en-US" w:eastAsia="zh-CN"/>
        </w:rPr>
        <w:t>4</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重庆市专业技术人员继续教育登记卡</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5</w:t>
      </w:r>
      <w:r>
        <w:rPr>
          <w:rFonts w:hint="default" w:ascii="Times New Roman" w:hAnsi="Times New Roman" w:eastAsia="方正小标宋_GBK" w:cs="Times New Roman"/>
          <w:sz w:val="44"/>
          <w:szCs w:val="44"/>
        </w:rPr>
        <w:t>版）</w:t>
      </w:r>
    </w:p>
    <w:p>
      <w:pPr>
        <w:spacing w:line="600" w:lineRule="exac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工作单位（盖章）：</w:t>
      </w:r>
    </w:p>
    <w:tbl>
      <w:tblPr>
        <w:tblStyle w:val="13"/>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
        <w:gridCol w:w="648"/>
        <w:gridCol w:w="525"/>
        <w:gridCol w:w="810"/>
        <w:gridCol w:w="795"/>
        <w:gridCol w:w="825"/>
        <w:gridCol w:w="743"/>
        <w:gridCol w:w="1360"/>
        <w:gridCol w:w="960"/>
        <w:gridCol w:w="2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性别 </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身份号码</w:t>
            </w:r>
          </w:p>
        </w:tc>
        <w:tc>
          <w:tcPr>
            <w:tcW w:w="21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 称</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年度</w:t>
            </w:r>
          </w:p>
        </w:tc>
        <w:tc>
          <w:tcPr>
            <w:tcW w:w="3698"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w:t>
            </w:r>
          </w:p>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方式</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 时</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学习成绩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560" w:type="dxa"/>
            <w:gridSpan w:val="2"/>
            <w:vMerge w:val="restart"/>
            <w:tcBorders>
              <w:top w:val="single" w:color="auto" w:sz="4" w:space="0"/>
              <w:left w:val="single" w:color="auto" w:sz="4" w:space="0"/>
              <w:right w:val="single" w:color="auto" w:sz="4" w:space="0"/>
            </w:tcBorders>
            <w:noWrap w:val="0"/>
            <w:vAlign w:val="top"/>
          </w:tcPr>
          <w:p>
            <w:pPr>
              <w:adjustRightInd w:val="0"/>
              <w:snapToGrid w:val="0"/>
              <w:spacing w:line="400" w:lineRule="exact"/>
              <w:rPr>
                <w:rFonts w:hint="default" w:ascii="Times New Roman" w:hAnsi="Times New Roman" w:eastAsia="方正仿宋_GBK" w:cs="Times New Roman"/>
                <w:sz w:val="24"/>
                <w:szCs w:val="24"/>
              </w:rPr>
            </w:pPr>
          </w:p>
          <w:p>
            <w:pPr>
              <w:adjustRightInd w:val="0"/>
              <w:snapToGrid w:val="0"/>
              <w:spacing w:line="400" w:lineRule="exact"/>
              <w:rPr>
                <w:rFonts w:hint="default" w:ascii="Times New Roman" w:hAnsi="Times New Roman" w:eastAsia="方正仿宋_GBK" w:cs="Times New Roman"/>
                <w:sz w:val="24"/>
                <w:szCs w:val="24"/>
                <w:lang w:val="en-US" w:eastAsia="zh-CN"/>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Times New Roman" w:hAnsi="Times New Roman" w:eastAsia="方正仿宋_GBK" w:cs="Times New Roman"/>
                <w:sz w:val="24"/>
                <w:szCs w:val="24"/>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560" w:type="dxa"/>
            <w:gridSpan w:val="2"/>
            <w:vMerge w:val="continue"/>
            <w:tcBorders>
              <w:left w:val="single" w:color="auto" w:sz="4" w:space="0"/>
              <w:right w:val="single" w:color="auto" w:sz="4" w:space="0"/>
            </w:tcBorders>
            <w:noWrap w:val="0"/>
            <w:vAlign w:val="top"/>
          </w:tcPr>
          <w:p>
            <w:pPr>
              <w:adjustRightInd w:val="0"/>
              <w:snapToGrid w:val="0"/>
              <w:spacing w:line="400" w:lineRule="exact"/>
              <w:rPr>
                <w:rFonts w:hint="default" w:ascii="Times New Roman" w:hAnsi="Times New Roman" w:eastAsia="方正仿宋_GBK" w:cs="Times New Roman"/>
                <w:sz w:val="24"/>
                <w:szCs w:val="24"/>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Times New Roman" w:hAnsi="Times New Roman" w:eastAsia="方正仿宋_GBK" w:cs="Times New Roman"/>
                <w:sz w:val="24"/>
                <w:szCs w:val="24"/>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3" w:hRule="atLeast"/>
        </w:trPr>
        <w:tc>
          <w:tcPr>
            <w:tcW w:w="9579"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考核验证意见：                               </w:t>
            </w:r>
          </w:p>
          <w:p>
            <w:pPr>
              <w:pStyle w:val="4"/>
              <w:spacing w:line="400" w:lineRule="exact"/>
              <w:ind w:left="0" w:leftChars="0"/>
              <w:rPr>
                <w:rFonts w:hint="default" w:ascii="Times New Roman" w:hAnsi="Times New Roman" w:eastAsia="方正仿宋_GBK" w:cs="Times New Roman"/>
                <w:sz w:val="24"/>
              </w:rPr>
            </w:pPr>
          </w:p>
          <w:p>
            <w:pPr>
              <w:pStyle w:val="5"/>
              <w:rPr>
                <w:rFonts w:hint="default" w:ascii="Times New Roman" w:hAnsi="Times New Roman" w:cs="Times New Roman"/>
              </w:rPr>
            </w:pPr>
          </w:p>
          <w:p>
            <w:pPr>
              <w:pStyle w:val="5"/>
              <w:rPr>
                <w:rFonts w:hint="default" w:ascii="Times New Roman" w:hAnsi="Times New Roman" w:cs="Times New Roman"/>
              </w:rPr>
            </w:pPr>
          </w:p>
          <w:p>
            <w:pPr>
              <w:adjustRightInd w:val="0"/>
              <w:snapToGrid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（验证单位盖章）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年度</w:t>
            </w:r>
          </w:p>
        </w:tc>
        <w:tc>
          <w:tcPr>
            <w:tcW w:w="3698"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w:t>
            </w:r>
          </w:p>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方式</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 时</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学习成绩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560" w:type="dxa"/>
            <w:gridSpan w:val="2"/>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Times New Roman" w:hAnsi="Times New Roman" w:eastAsia="方正仿宋_GBK" w:cs="Times New Roman"/>
                <w:sz w:val="24"/>
                <w:szCs w:val="24"/>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560" w:type="dxa"/>
            <w:gridSpan w:val="2"/>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3698" w:type="dxa"/>
            <w:gridSpan w:val="5"/>
            <w:tcBorders>
              <w:top w:val="single" w:color="auto" w:sz="4" w:space="0"/>
              <w:left w:val="single" w:color="auto" w:sz="4" w:space="0"/>
              <w:bottom w:val="single" w:color="auto" w:sz="4" w:space="0"/>
              <w:right w:val="single" w:color="auto" w:sz="4" w:space="0"/>
            </w:tcBorders>
            <w:noWrap w:val="0"/>
            <w:vAlign w:val="center"/>
          </w:tcPr>
          <w:p>
            <w:pPr>
              <w:pStyle w:val="5"/>
              <w:spacing w:line="400" w:lineRule="exact"/>
              <w:jc w:val="left"/>
              <w:rPr>
                <w:rFonts w:hint="default" w:ascii="Times New Roman" w:hAnsi="Times New Roman" w:eastAsia="方正仿宋_GBK" w:cs="Times New Roman"/>
                <w:b w:val="0"/>
                <w:color w:val="auto"/>
                <w:sz w:val="24"/>
                <w:szCs w:val="24"/>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9579"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考核验证意见：                               </w:t>
            </w:r>
          </w:p>
          <w:p>
            <w:pPr>
              <w:spacing w:line="400" w:lineRule="exact"/>
              <w:jc w:val="both"/>
              <w:rPr>
                <w:rFonts w:hint="default" w:ascii="Times New Roman" w:hAnsi="Times New Roman" w:eastAsia="方正仿宋_GBK" w:cs="Times New Roman"/>
                <w:sz w:val="24"/>
                <w:szCs w:val="24"/>
              </w:rPr>
            </w:pPr>
          </w:p>
          <w:p>
            <w:pPr>
              <w:pStyle w:val="5"/>
              <w:rPr>
                <w:rFonts w:hint="default" w:ascii="Times New Roman" w:hAnsi="Times New Roman" w:eastAsia="方正仿宋_GBK" w:cs="Times New Roman"/>
                <w:sz w:val="24"/>
                <w:szCs w:val="24"/>
              </w:rPr>
            </w:pPr>
          </w:p>
          <w:p>
            <w:pPr>
              <w:pStyle w:val="4"/>
              <w:rPr>
                <w:rFonts w:hint="default" w:ascii="Times New Roman" w:hAnsi="Times New Roman" w:cs="Times New Roman"/>
              </w:rPr>
            </w:pPr>
          </w:p>
          <w:p>
            <w:pPr>
              <w:pStyle w:val="5"/>
              <w:rPr>
                <w:rFonts w:hint="default" w:ascii="Times New Roman" w:hAnsi="Times New Roman" w:cs="Times New Roman"/>
              </w:rPr>
            </w:pPr>
          </w:p>
          <w:p>
            <w:pPr>
              <w:pStyle w:val="4"/>
              <w:rPr>
                <w:rFonts w:hint="default"/>
              </w:rPr>
            </w:pPr>
          </w:p>
          <w:p>
            <w:pPr>
              <w:spacing w:line="4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（验证单位盖章）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性别 </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身份号码</w:t>
            </w:r>
          </w:p>
        </w:tc>
        <w:tc>
          <w:tcPr>
            <w:tcW w:w="21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 称</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年度</w:t>
            </w:r>
          </w:p>
        </w:tc>
        <w:tc>
          <w:tcPr>
            <w:tcW w:w="3698"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w:t>
            </w:r>
          </w:p>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方式</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 时</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学习成绩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560" w:type="dxa"/>
            <w:gridSpan w:val="2"/>
            <w:vMerge w:val="restart"/>
            <w:tcBorders>
              <w:top w:val="single" w:color="auto" w:sz="4" w:space="0"/>
              <w:left w:val="single" w:color="auto" w:sz="4" w:space="0"/>
              <w:right w:val="single" w:color="auto" w:sz="4" w:space="0"/>
            </w:tcBorders>
            <w:noWrap w:val="0"/>
            <w:vAlign w:val="top"/>
          </w:tcPr>
          <w:p>
            <w:pPr>
              <w:adjustRightInd w:val="0"/>
              <w:snapToGrid w:val="0"/>
              <w:spacing w:line="400" w:lineRule="exact"/>
              <w:rPr>
                <w:rFonts w:hint="default" w:ascii="Times New Roman" w:hAnsi="Times New Roman" w:eastAsia="方正仿宋_GBK" w:cs="Times New Roman"/>
                <w:sz w:val="24"/>
                <w:szCs w:val="24"/>
                <w:lang w:val="en-US" w:eastAsia="zh-CN"/>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Times New Roman" w:hAnsi="Times New Roman" w:eastAsia="方正仿宋_GBK" w:cs="Times New Roman"/>
                <w:sz w:val="24"/>
                <w:szCs w:val="24"/>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1560" w:type="dxa"/>
            <w:gridSpan w:val="2"/>
            <w:vMerge w:val="continue"/>
            <w:tcBorders>
              <w:left w:val="single" w:color="auto" w:sz="4" w:space="0"/>
              <w:right w:val="single" w:color="auto" w:sz="4" w:space="0"/>
            </w:tcBorders>
            <w:noWrap w:val="0"/>
            <w:vAlign w:val="top"/>
          </w:tcPr>
          <w:p>
            <w:pPr>
              <w:adjustRightInd w:val="0"/>
              <w:snapToGrid w:val="0"/>
              <w:spacing w:line="400" w:lineRule="exact"/>
              <w:rPr>
                <w:rFonts w:hint="default" w:ascii="Times New Roman" w:hAnsi="Times New Roman" w:eastAsia="方正仿宋_GBK" w:cs="Times New Roman"/>
                <w:sz w:val="24"/>
                <w:szCs w:val="24"/>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Times New Roman" w:hAnsi="Times New Roman" w:eastAsia="方正仿宋_GBK" w:cs="Times New Roman"/>
                <w:sz w:val="24"/>
                <w:szCs w:val="24"/>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性别 </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身份号码</w:t>
            </w:r>
          </w:p>
        </w:tc>
        <w:tc>
          <w:tcPr>
            <w:tcW w:w="21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 称</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年度</w:t>
            </w:r>
          </w:p>
        </w:tc>
        <w:tc>
          <w:tcPr>
            <w:tcW w:w="3698"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w:t>
            </w:r>
          </w:p>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方式</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 时</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学习成绩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1560" w:type="dxa"/>
            <w:gridSpan w:val="2"/>
            <w:vMerge w:val="restart"/>
            <w:tcBorders>
              <w:top w:val="single" w:color="auto" w:sz="4" w:space="0"/>
              <w:left w:val="single" w:color="auto" w:sz="4" w:space="0"/>
              <w:right w:val="single" w:color="auto" w:sz="4" w:space="0"/>
            </w:tcBorders>
            <w:noWrap w:val="0"/>
            <w:vAlign w:val="top"/>
          </w:tcPr>
          <w:p>
            <w:pPr>
              <w:adjustRightInd w:val="0"/>
              <w:snapToGrid w:val="0"/>
              <w:spacing w:line="400" w:lineRule="exact"/>
              <w:rPr>
                <w:rFonts w:hint="default" w:ascii="Times New Roman" w:hAnsi="Times New Roman" w:eastAsia="方正仿宋_GBK" w:cs="Times New Roman"/>
                <w:sz w:val="24"/>
                <w:szCs w:val="24"/>
              </w:rPr>
            </w:pPr>
          </w:p>
          <w:p>
            <w:pPr>
              <w:adjustRightInd w:val="0"/>
              <w:snapToGrid w:val="0"/>
              <w:spacing w:line="400" w:lineRule="exact"/>
              <w:rPr>
                <w:rFonts w:hint="default" w:ascii="Times New Roman" w:hAnsi="Times New Roman" w:eastAsia="方正仿宋_GBK" w:cs="Times New Roman"/>
                <w:sz w:val="24"/>
                <w:szCs w:val="24"/>
                <w:lang w:val="en-US" w:eastAsia="zh-CN"/>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Times New Roman" w:hAnsi="Times New Roman" w:eastAsia="方正仿宋_GBK" w:cs="Times New Roman"/>
                <w:sz w:val="24"/>
                <w:szCs w:val="24"/>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560" w:type="dxa"/>
            <w:gridSpan w:val="2"/>
            <w:vMerge w:val="continue"/>
            <w:tcBorders>
              <w:left w:val="single" w:color="auto" w:sz="4" w:space="0"/>
              <w:right w:val="single" w:color="auto" w:sz="4" w:space="0"/>
            </w:tcBorders>
            <w:noWrap w:val="0"/>
            <w:vAlign w:val="top"/>
          </w:tcPr>
          <w:p>
            <w:pPr>
              <w:adjustRightInd w:val="0"/>
              <w:snapToGrid w:val="0"/>
              <w:spacing w:line="400" w:lineRule="exact"/>
              <w:rPr>
                <w:rFonts w:hint="default" w:ascii="Times New Roman" w:hAnsi="Times New Roman" w:eastAsia="方正仿宋_GBK" w:cs="Times New Roman"/>
                <w:sz w:val="24"/>
                <w:szCs w:val="24"/>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Times New Roman" w:hAnsi="Times New Roman" w:eastAsia="方正仿宋_GBK" w:cs="Times New Roman"/>
                <w:sz w:val="24"/>
                <w:szCs w:val="24"/>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9579"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 xml:space="preserve">考核验证意见：                               </w:t>
            </w:r>
          </w:p>
          <w:p>
            <w:pPr>
              <w:rPr>
                <w:rFonts w:hint="default" w:ascii="Times New Roman" w:hAnsi="Times New Roman" w:eastAsia="方正仿宋_GBK" w:cs="Times New Roman"/>
                <w:sz w:val="24"/>
                <w:szCs w:val="24"/>
              </w:rPr>
            </w:pPr>
          </w:p>
          <w:p>
            <w:pPr>
              <w:pStyle w:val="5"/>
              <w:rPr>
                <w:rFonts w:hint="default" w:ascii="Times New Roman" w:hAnsi="Times New Roman" w:cs="Times New Roman"/>
              </w:rPr>
            </w:pPr>
          </w:p>
          <w:p>
            <w:pPr>
              <w:adjustRightInd w:val="0"/>
              <w:snapToGrid w:val="0"/>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（验证单位盖章）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年度</w:t>
            </w:r>
          </w:p>
        </w:tc>
        <w:tc>
          <w:tcPr>
            <w:tcW w:w="3698"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w:t>
            </w:r>
          </w:p>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方式</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 时</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学习成绩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60" w:type="dxa"/>
            <w:gridSpan w:val="2"/>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c>
          <w:tcPr>
            <w:tcW w:w="3698"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default" w:ascii="Times New Roman" w:hAnsi="Times New Roman" w:eastAsia="方正仿宋_GBK" w:cs="Times New Roman"/>
                <w:sz w:val="24"/>
                <w:szCs w:val="24"/>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560" w:type="dxa"/>
            <w:gridSpan w:val="2"/>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szCs w:val="24"/>
              </w:rPr>
            </w:pPr>
          </w:p>
        </w:tc>
        <w:tc>
          <w:tcPr>
            <w:tcW w:w="3698" w:type="dxa"/>
            <w:gridSpan w:val="5"/>
            <w:tcBorders>
              <w:top w:val="single" w:color="auto" w:sz="4" w:space="0"/>
              <w:left w:val="single" w:color="auto" w:sz="4" w:space="0"/>
              <w:bottom w:val="single" w:color="auto" w:sz="4" w:space="0"/>
              <w:right w:val="single" w:color="auto" w:sz="4" w:space="0"/>
            </w:tcBorders>
            <w:noWrap w:val="0"/>
            <w:vAlign w:val="center"/>
          </w:tcPr>
          <w:p>
            <w:pPr>
              <w:pStyle w:val="5"/>
              <w:spacing w:line="400" w:lineRule="exact"/>
              <w:jc w:val="left"/>
              <w:rPr>
                <w:rFonts w:hint="default" w:ascii="Times New Roman" w:hAnsi="Times New Roman" w:eastAsia="方正仿宋_GBK" w:cs="Times New Roman"/>
                <w:b w:val="0"/>
                <w:color w:val="auto"/>
                <w:sz w:val="24"/>
                <w:szCs w:val="24"/>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 w:val="24"/>
                <w:szCs w:val="24"/>
              </w:rPr>
            </w:pPr>
          </w:p>
        </w:tc>
        <w:tc>
          <w:tcPr>
            <w:tcW w:w="20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9579"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考核验证意见：                               </w:t>
            </w:r>
          </w:p>
          <w:p>
            <w:pPr>
              <w:spacing w:line="400" w:lineRule="exact"/>
              <w:jc w:val="right"/>
              <w:rPr>
                <w:rFonts w:hint="default" w:ascii="Times New Roman" w:hAnsi="Times New Roman" w:eastAsia="方正仿宋_GBK" w:cs="Times New Roman"/>
                <w:sz w:val="24"/>
                <w:szCs w:val="24"/>
              </w:rPr>
            </w:pPr>
          </w:p>
          <w:p>
            <w:pPr>
              <w:spacing w:line="400" w:lineRule="exact"/>
              <w:jc w:val="right"/>
              <w:rPr>
                <w:rFonts w:hint="default" w:ascii="Times New Roman" w:hAnsi="Times New Roman" w:eastAsia="方正仿宋_GBK" w:cs="Times New Roman"/>
                <w:sz w:val="24"/>
                <w:szCs w:val="24"/>
              </w:rPr>
            </w:pPr>
          </w:p>
          <w:p>
            <w:pPr>
              <w:spacing w:line="4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（验证单位盖章）     年    月    日</w:t>
            </w:r>
          </w:p>
        </w:tc>
      </w:tr>
    </w:tbl>
    <w:p>
      <w:pPr>
        <w:bidi w:val="0"/>
        <w:rPr>
          <w:rFonts w:hint="eastAsia"/>
          <w:lang w:eastAsia="zh-CN"/>
        </w:rPr>
      </w:pPr>
    </w:p>
    <w:sectPr>
      <w:pgSz w:w="11907" w:h="16840"/>
      <w:pgMar w:top="2098" w:right="1474" w:bottom="1985"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roma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13</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13</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9"/>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14</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9"/>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14</w:t>
                    </w:r>
                    <w:r>
                      <w:rPr>
                        <w:sz w:val="32"/>
                        <w:szCs w:val="32"/>
                      </w:rPr>
                      <w:fldChar w:fldCharType="end"/>
                    </w:r>
                    <w:r>
                      <w:rPr>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BjNWIwNGZmMGUxYmViYjcxNmI1NTNkNjE2MjYifQ=="/>
  </w:docVars>
  <w:rsids>
    <w:rsidRoot w:val="00DA3243"/>
    <w:rsid w:val="000D78D1"/>
    <w:rsid w:val="001F4722"/>
    <w:rsid w:val="00237E70"/>
    <w:rsid w:val="00382E31"/>
    <w:rsid w:val="00480ECB"/>
    <w:rsid w:val="004F5961"/>
    <w:rsid w:val="007C000B"/>
    <w:rsid w:val="00BB3EC9"/>
    <w:rsid w:val="00C20938"/>
    <w:rsid w:val="03D52CE8"/>
    <w:rsid w:val="0C3303E2"/>
    <w:rsid w:val="162371D1"/>
    <w:rsid w:val="18801160"/>
    <w:rsid w:val="189B10BD"/>
    <w:rsid w:val="1A1D0DAA"/>
    <w:rsid w:val="1D090899"/>
    <w:rsid w:val="2A544962"/>
    <w:rsid w:val="2F9A60D6"/>
    <w:rsid w:val="31C6718F"/>
    <w:rsid w:val="387100FB"/>
    <w:rsid w:val="43B30087"/>
    <w:rsid w:val="45555A36"/>
    <w:rsid w:val="46757512"/>
    <w:rsid w:val="54661ED8"/>
    <w:rsid w:val="556BCCEF"/>
    <w:rsid w:val="55B222EA"/>
    <w:rsid w:val="59E562EB"/>
    <w:rsid w:val="5C8121ED"/>
    <w:rsid w:val="5D276B2D"/>
    <w:rsid w:val="62E23CF1"/>
    <w:rsid w:val="74D2685F"/>
    <w:rsid w:val="78203CF9"/>
    <w:rsid w:val="78CE7C9B"/>
    <w:rsid w:val="78DC5950"/>
    <w:rsid w:val="797213AC"/>
    <w:rsid w:val="7DDD6636"/>
    <w:rsid w:val="7DF77914"/>
    <w:rsid w:val="7F33368D"/>
    <w:rsid w:val="7FA43D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after="60"/>
      <w:jc w:val="center"/>
      <w:outlineLvl w:val="0"/>
    </w:pPr>
    <w:rPr>
      <w:rFonts w:ascii="Arial" w:hAnsi="Arial"/>
      <w:b/>
      <w:kern w:val="2"/>
      <w:sz w:val="21"/>
      <w:szCs w:val="24"/>
      <w:lang w:val="en-US" w:eastAsia="zh-CN" w:bidi="ar-SA"/>
    </w:rPr>
  </w:style>
  <w:style w:type="paragraph" w:styleId="3">
    <w:name w:val="index 5"/>
    <w:basedOn w:val="1"/>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4">
    <w:name w:val="index 6"/>
    <w:basedOn w:val="1"/>
    <w:next w:val="1"/>
    <w:qFormat/>
    <w:uiPriority w:val="0"/>
    <w:pPr>
      <w:widowControl w:val="0"/>
      <w:spacing w:line="240" w:lineRule="auto"/>
      <w:ind w:left="2100"/>
      <w:jc w:val="both"/>
    </w:pPr>
    <w:rPr>
      <w:rFonts w:ascii="Times New Roman" w:hAnsi="Times New Roman" w:eastAsia="宋体" w:cs="Times New Roman"/>
      <w:kern w:val="2"/>
      <w:sz w:val="21"/>
      <w:lang w:val="en-US" w:eastAsia="zh-CN"/>
    </w:rPr>
  </w:style>
  <w:style w:type="paragraph" w:styleId="5">
    <w:name w:val="Body Text"/>
    <w:basedOn w:val="1"/>
    <w:next w:val="4"/>
    <w:qFormat/>
    <w:uiPriority w:val="0"/>
    <w:pPr>
      <w:spacing w:after="120"/>
    </w:pPr>
    <w:rPr>
      <w:rFonts w:ascii="仿宋_GB2312" w:eastAsia="仿宋_GB2312"/>
      <w:sz w:val="32"/>
      <w:szCs w:val="20"/>
    </w:rPr>
  </w:style>
  <w:style w:type="paragraph" w:styleId="6">
    <w:name w:val="Plain Text"/>
    <w:basedOn w:val="1"/>
    <w:qFormat/>
    <w:uiPriority w:val="0"/>
    <w:rPr>
      <w:rFonts w:ascii="宋体"/>
      <w:szCs w:val="20"/>
    </w:rPr>
  </w:style>
  <w:style w:type="paragraph" w:styleId="7">
    <w:name w:val="Date"/>
    <w:basedOn w:val="1"/>
    <w:next w:val="1"/>
    <w:qFormat/>
    <w:uiPriority w:val="0"/>
    <w:rPr>
      <w:rFonts w:ascii="仿宋_GB2312" w:eastAsia="仿宋_GB2312"/>
      <w:sz w:val="32"/>
      <w:szCs w:val="20"/>
    </w:rPr>
  </w:style>
  <w:style w:type="paragraph" w:styleId="8">
    <w:name w:val="Body Text Indent 2"/>
    <w:basedOn w:val="1"/>
    <w:qFormat/>
    <w:uiPriority w:val="0"/>
    <w:pPr>
      <w:spacing w:after="120" w:line="480" w:lineRule="auto"/>
      <w:ind w:left="200" w:leftChars="200"/>
    </w:pPr>
  </w:style>
  <w:style w:type="paragraph" w:styleId="9">
    <w:name w:val="footer"/>
    <w:basedOn w:val="1"/>
    <w:qFormat/>
    <w:uiPriority w:val="0"/>
    <w:pPr>
      <w:tabs>
        <w:tab w:val="center" w:pos="4153"/>
        <w:tab w:val="right" w:pos="8306"/>
      </w:tabs>
      <w:snapToGrid w:val="0"/>
      <w:jc w:val="left"/>
    </w:pPr>
    <w:rPr>
      <w:rFonts w:ascii="仿宋_GB2312" w:eastAsia="仿宋_GB2312"/>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200" w:leftChars="200"/>
    </w:pPr>
    <w:rPr>
      <w:rFonts w:ascii="仿宋_GB2312" w:eastAsia="仿宋_GB2312"/>
      <w:sz w:val="16"/>
      <w:szCs w:val="20"/>
    </w:rPr>
  </w:style>
  <w:style w:type="paragraph" w:styleId="12">
    <w:name w:val="Normal (Web)"/>
    <w:basedOn w:val="1"/>
    <w:qFormat/>
    <w:uiPriority w:val="0"/>
    <w:pPr>
      <w:widowControl/>
      <w:spacing w:before="100" w:beforeAutospacing="1" w:after="100" w:afterAutospacing="1"/>
      <w:jc w:val="left"/>
    </w:pPr>
    <w:rPr>
      <w:rFonts w:ascii="宋体" w:cs="宋体"/>
      <w:kern w:val="0"/>
      <w:sz w:val="24"/>
      <w:lang w:bidi="ar-SA"/>
    </w:r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Char Char Char Char"/>
    <w:basedOn w:val="1"/>
    <w:qFormat/>
    <w:uiPriority w:val="0"/>
    <w:rPr>
      <w:rFonts w:ascii="Arial" w:hAnsi="Arial" w:cs="Arial"/>
      <w:sz w:val="20"/>
      <w:szCs w:val="20"/>
      <w:lang w:bidi="ar-SA"/>
    </w:rPr>
  </w:style>
  <w:style w:type="paragraph" w:customStyle="1" w:styleId="18">
    <w:name w:val="p17"/>
    <w:next w:val="1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pPr>
    <w:rPr>
      <w:rFonts w:ascii="Times New Roman" w:hAnsi="Times New Roman" w:eastAsia="宋体" w:cs="Times New Roman"/>
      <w:snapToGrid/>
      <w:color w:val="auto"/>
      <w:spacing w:val="0"/>
      <w:w w:val="100"/>
      <w:kern w:val="0"/>
      <w:position w:val="0"/>
      <w:sz w:val="21"/>
      <w:szCs w:val="21"/>
      <w:u w:val="none" w:color="auto"/>
      <w:vertAlign w:val="baseline"/>
      <w:lang w:val="en-US" w:eastAsia="zh-CN"/>
    </w:rPr>
  </w:style>
  <w:style w:type="paragraph" w:customStyle="1" w:styleId="19">
    <w:name w:val="p15"/>
    <w:next w:val="6"/>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pPr>
    <w:rPr>
      <w:rFonts w:ascii="Times New Roman" w:hAnsi="Times New Roman" w:eastAsia="宋体" w:cs="Times New Roman"/>
      <w:snapToGrid/>
      <w:color w:val="auto"/>
      <w:spacing w:val="0"/>
      <w:w w:val="100"/>
      <w:kern w:val="0"/>
      <w:position w:val="0"/>
      <w:sz w:val="21"/>
      <w:szCs w:val="21"/>
      <w:u w:val="none" w:color="auto"/>
      <w:vertAlign w:val="baseline"/>
      <w:lang w:val="en-US" w:eastAsia="zh-CN"/>
    </w:rPr>
  </w:style>
  <w:style w:type="paragraph" w:customStyle="1" w:styleId="20">
    <w:name w:val="p0"/>
    <w:next w:val="6"/>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pPr>
    <w:rPr>
      <w:rFonts w:ascii="Times New Roman" w:hAnsi="Times New Roman" w:eastAsia="宋体" w:cs="Times New Roman"/>
      <w:snapToGrid/>
      <w:color w:val="auto"/>
      <w:spacing w:val="0"/>
      <w:w w:val="100"/>
      <w:kern w:val="0"/>
      <w:position w:val="0"/>
      <w:sz w:val="21"/>
      <w:szCs w:val="21"/>
      <w:u w:val="none" w:color="auto"/>
      <w:vertAlign w:val="baseline"/>
      <w:lang w:val="en-US" w:eastAsia="zh-CN"/>
    </w:rPr>
  </w:style>
  <w:style w:type="paragraph" w:customStyle="1" w:styleId="21">
    <w:name w:val="p16"/>
    <w:next w:val="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pPr>
    <w:rPr>
      <w:rFonts w:ascii="Times New Roman" w:hAnsi="Times New Roman" w:eastAsia="宋体" w:cs="Times New Roman"/>
      <w:snapToGrid/>
      <w:color w:val="auto"/>
      <w:spacing w:val="0"/>
      <w:w w:val="100"/>
      <w:kern w:val="0"/>
      <w:position w:val="0"/>
      <w:sz w:val="21"/>
      <w:szCs w:val="21"/>
      <w:u w:val="none" w:color="auto"/>
      <w:vertAlign w:val="baseline"/>
      <w:lang w:val="en-US" w:eastAsia="zh-CN"/>
    </w:rPr>
  </w:style>
  <w:style w:type="character" w:customStyle="1" w:styleId="22">
    <w:name w:val="font31"/>
    <w:basedOn w:val="14"/>
    <w:qFormat/>
    <w:uiPriority w:val="0"/>
    <w:rPr>
      <w:rFonts w:hint="default" w:ascii="方正小标宋简体" w:hAnsi="方正小标宋简体" w:eastAsia="方正小标宋简体" w:cs="方正小标宋简体"/>
      <w:color w:val="000000"/>
      <w:sz w:val="28"/>
      <w:szCs w:val="28"/>
      <w:u w:val="none"/>
    </w:rPr>
  </w:style>
  <w:style w:type="character" w:customStyle="1" w:styleId="23">
    <w:name w:val="font61"/>
    <w:basedOn w:val="14"/>
    <w:qFormat/>
    <w:uiPriority w:val="0"/>
    <w:rPr>
      <w:rFonts w:hint="default" w:ascii="方正小标宋简体" w:hAnsi="方正小标宋简体" w:eastAsia="方正小标宋简体" w:cs="方正小标宋简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34</Pages>
  <Words>233</Words>
  <Characters>251</Characters>
  <Lines>4</Lines>
  <Paragraphs>1</Paragraphs>
  <TotalTime>42</TotalTime>
  <ScaleCrop>false</ScaleCrop>
  <LinksUpToDate>false</LinksUpToDate>
  <CharactersWithSpaces>290</CharactersWithSpaces>
  <Application>WPS Office_11.8.2.10386_F1E327BC-269C-435d-A152-05C5408002CA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2012-08-28T15:44:00Z</dcterms:created>
  <dc:creator>办公室</dc:creator>
  <cp:lastModifiedBy>fengdu</cp:lastModifiedBy>
  <cp:lastPrinted>2022-04-19T16:27:00Z</cp:lastPrinted>
  <dcterms:modified xsi:type="dcterms:W3CDTF">2025-09-04T18:02:10Z</dcterms:modified>
  <dc:title>丰人社〔2012〕140号</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321637462_btnclosed</vt:lpwstr>
  </property>
  <property fmtid="{D5CDD505-2E9C-101B-9397-08002B2CF9AE}" pid="4" name="ICV">
    <vt:lpwstr>047FD9418E0C4A12A49D8B527AA8CE04_13</vt:lpwstr>
  </property>
  <property fmtid="{D5CDD505-2E9C-101B-9397-08002B2CF9AE}" pid="5" name="KSOTemplateDocerSaveRecord">
    <vt:lpwstr>eyJoZGlkIjoiZTZhMzE5ODNmNDk0YTFjMTU0NjliYWI4Zjc3MjhkYzUiLCJ1c2VySWQiOiIzOTMyNzMzMjYifQ==</vt:lpwstr>
  </property>
</Properties>
</file>