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丰都县人力资源和社会保障局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丰都县住房和城乡建设委员会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关于印发《丰都县人才公寓管理暂行办法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（试行）》的通知</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丰人社发〔2021〕47号</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各乡镇人民政府、街道办事处，县级各部门，各企事业单位：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《丰都县人才公寓管理暂行办法（试行）》已经县委县政府审议通过，现印发给你们，请认真贯彻执行。</w:t>
      </w:r>
    </w:p>
    <w:p>
      <w:pPr>
        <w:rPr>
          <w:rFonts w:hint="default"/>
          <w:lang w:val="en-US" w:eastAsia="zh-CN"/>
        </w:rPr>
      </w:pPr>
    </w:p>
    <w:p>
      <w:pPr>
        <w:pStyle w:val="6"/>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1"/>
          <w:sz w:val="32"/>
          <w:szCs w:val="32"/>
          <w:lang w:eastAsia="zh-CN"/>
        </w:rPr>
        <w:t>丰都县人力资源和社会保障局</w:t>
      </w:r>
      <w:r>
        <w:rPr>
          <w:rFonts w:hint="eastAsia" w:ascii="Times New Roman" w:hAnsi="Times New Roman" w:eastAsia="方正仿宋_GBK" w:cs="Times New Roman"/>
          <w:color w:val="auto"/>
          <w:spacing w:val="-11"/>
          <w:sz w:val="32"/>
          <w:szCs w:val="32"/>
          <w:lang w:val="en-US" w:eastAsia="zh-CN"/>
        </w:rPr>
        <w:t xml:space="preserve">       </w:t>
      </w:r>
      <w:r>
        <w:rPr>
          <w:rFonts w:hint="default" w:ascii="Times New Roman" w:hAnsi="Times New Roman" w:eastAsia="方正仿宋_GBK" w:cs="Times New Roman"/>
          <w:color w:val="auto"/>
          <w:spacing w:val="-11"/>
          <w:sz w:val="32"/>
          <w:szCs w:val="32"/>
          <w:lang w:eastAsia="zh-CN"/>
        </w:rPr>
        <w:t>丰都县住房和城乡建设委员会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20</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lang w:eastAsia="zh-CN"/>
        </w:rPr>
        <w:t>年</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eastAsia="zh-CN"/>
        </w:rPr>
        <w:t>月</w:t>
      </w:r>
      <w:r>
        <w:rPr>
          <w:rFonts w:hint="eastAsia"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lang w:eastAsia="zh-CN"/>
        </w:rPr>
        <w:t>日</w:t>
      </w:r>
    </w:p>
    <w:p>
      <w:pPr>
        <w:spacing w:line="700" w:lineRule="exact"/>
        <w:jc w:val="both"/>
        <w:rPr>
          <w:rFonts w:hint="eastAsia" w:eastAsia="方正仿宋_GBK"/>
          <w:sz w:val="32"/>
          <w:szCs w:val="32"/>
          <w:lang w:val="en-US" w:eastAsia="zh-CN"/>
        </w:rPr>
      </w:pPr>
      <w:r>
        <w:rPr>
          <w:rFonts w:hint="eastAsia" w:eastAsia="方正仿宋_GBK"/>
          <w:sz w:val="32"/>
          <w:szCs w:val="32"/>
          <w:lang w:val="en-US" w:eastAsia="zh-CN"/>
        </w:rPr>
        <w:t>（此件公开发布）</w:t>
      </w:r>
    </w:p>
    <w:p>
      <w:pPr>
        <w:pStyle w:val="2"/>
        <w:rPr>
          <w:rFonts w:hint="eastAsia"/>
        </w:rPr>
      </w:pPr>
    </w:p>
    <w:p>
      <w:pPr>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丰都县人才公寓管理暂行办法（试行）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spacing w:line="600" w:lineRule="exact"/>
        <w:ind w:firstLine="640" w:firstLineChars="200"/>
        <w:rPr>
          <w:rFonts w:ascii="Times New Roman" w:hAnsi="Times New Roman" w:eastAsia="方正黑体_GBK" w:cs="Times New Roman"/>
          <w:bCs/>
          <w:color w:val="auto"/>
          <w:kern w:val="0"/>
          <w:sz w:val="32"/>
          <w:szCs w:val="32"/>
        </w:rPr>
      </w:pPr>
      <w:r>
        <w:rPr>
          <w:rFonts w:hint="eastAsia" w:ascii="Times New Roman" w:hAnsi="Times New Roman" w:eastAsia="方正黑体_GBK" w:cs="Times New Roman"/>
          <w:bCs/>
          <w:color w:val="auto"/>
          <w:kern w:val="0"/>
          <w:sz w:val="32"/>
          <w:szCs w:val="32"/>
        </w:rPr>
        <w:t>第一章  总则</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黑体_GBK" w:cs="Times New Roman"/>
          <w:bCs/>
          <w:color w:val="auto"/>
          <w:kern w:val="0"/>
          <w:sz w:val="32"/>
          <w:szCs w:val="32"/>
        </w:rPr>
        <w:t>第一条</w:t>
      </w:r>
      <w:r>
        <w:rPr>
          <w:rFonts w:hint="eastAsia" w:ascii="Times New Roman" w:hAnsi="Times New Roman" w:eastAsia="方正黑体_GBK" w:cs="Times New Roman"/>
          <w:bCs/>
          <w:color w:val="auto"/>
          <w:kern w:val="0"/>
          <w:sz w:val="32"/>
          <w:szCs w:val="32"/>
        </w:rPr>
        <w:t xml:space="preserve">  </w:t>
      </w:r>
      <w:r>
        <w:rPr>
          <w:rFonts w:ascii="Times New Roman" w:hAnsi="Times New Roman" w:eastAsia="方正仿宋_GBK" w:cs="Times New Roman"/>
          <w:color w:val="auto"/>
          <w:kern w:val="0"/>
          <w:sz w:val="32"/>
          <w:szCs w:val="32"/>
        </w:rPr>
        <w:t>为规范人才公寓</w:t>
      </w:r>
      <w:r>
        <w:rPr>
          <w:rFonts w:hint="eastAsia" w:ascii="Times New Roman" w:hAnsi="Times New Roman" w:eastAsia="方正仿宋_GBK" w:cs="Times New Roman"/>
          <w:color w:val="auto"/>
          <w:kern w:val="0"/>
          <w:sz w:val="32"/>
          <w:szCs w:val="32"/>
        </w:rPr>
        <w:t>使用</w:t>
      </w:r>
      <w:r>
        <w:rPr>
          <w:rFonts w:ascii="Times New Roman" w:hAnsi="Times New Roman" w:eastAsia="方正仿宋_GBK" w:cs="Times New Roman"/>
          <w:color w:val="auto"/>
          <w:kern w:val="0"/>
          <w:sz w:val="32"/>
          <w:szCs w:val="32"/>
        </w:rPr>
        <w:t>管理，强化人才服务保障，进一步优化创新创业环境，更好地发挥住房在吸引和留住人才方面的激励保障作用，结合丰都县实际，制订本办法。</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黑体_GBK" w:cs="Times New Roman"/>
          <w:bCs/>
          <w:color w:val="auto"/>
          <w:kern w:val="0"/>
          <w:sz w:val="32"/>
          <w:szCs w:val="32"/>
        </w:rPr>
        <w:t>第二条</w:t>
      </w:r>
      <w:r>
        <w:rPr>
          <w:rFonts w:hint="eastAsia" w:ascii="Times New Roman" w:hAnsi="Times New Roman" w:eastAsia="方正仿宋_GBK" w:cs="Times New Roman"/>
          <w:color w:val="auto"/>
          <w:kern w:val="0"/>
          <w:sz w:val="32"/>
          <w:szCs w:val="32"/>
        </w:rPr>
        <w:t xml:space="preserve">  </w:t>
      </w:r>
      <w:r>
        <w:rPr>
          <w:rFonts w:ascii="Times New Roman" w:hAnsi="Times New Roman" w:eastAsia="方正仿宋_GBK" w:cs="Times New Roman"/>
          <w:color w:val="auto"/>
          <w:kern w:val="0"/>
          <w:sz w:val="32"/>
          <w:szCs w:val="32"/>
        </w:rPr>
        <w:t>丰都县人才公寓（简称“人才公寓”）是指由县政府统筹，专供本县</w:t>
      </w:r>
      <w:r>
        <w:rPr>
          <w:rFonts w:hint="eastAsia" w:ascii="Times New Roman" w:hAnsi="Times New Roman" w:eastAsia="方正仿宋_GBK" w:cs="Times New Roman"/>
          <w:color w:val="auto"/>
          <w:kern w:val="0"/>
          <w:sz w:val="32"/>
          <w:szCs w:val="32"/>
        </w:rPr>
        <w:t>优秀</w:t>
      </w:r>
      <w:r>
        <w:rPr>
          <w:rFonts w:ascii="Times New Roman" w:hAnsi="Times New Roman" w:eastAsia="方正仿宋_GBK" w:cs="Times New Roman"/>
          <w:color w:val="auto"/>
          <w:kern w:val="0"/>
          <w:sz w:val="32"/>
          <w:szCs w:val="32"/>
        </w:rPr>
        <w:t>人才居住的</w:t>
      </w:r>
      <w:r>
        <w:rPr>
          <w:rFonts w:hint="eastAsia" w:ascii="Times New Roman" w:hAnsi="Times New Roman" w:eastAsia="方正仿宋_GBK" w:cs="Times New Roman"/>
          <w:color w:val="auto"/>
          <w:kern w:val="0"/>
          <w:sz w:val="32"/>
          <w:szCs w:val="32"/>
        </w:rPr>
        <w:t>过渡性</w:t>
      </w:r>
      <w:r>
        <w:rPr>
          <w:rFonts w:ascii="Times New Roman" w:hAnsi="Times New Roman" w:eastAsia="方正仿宋_GBK" w:cs="Times New Roman"/>
          <w:color w:val="auto"/>
          <w:kern w:val="0"/>
          <w:sz w:val="32"/>
          <w:szCs w:val="32"/>
        </w:rPr>
        <w:t>住房。</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黑体_GBK" w:cs="Times New Roman"/>
          <w:bCs/>
          <w:color w:val="auto"/>
          <w:kern w:val="0"/>
          <w:sz w:val="32"/>
          <w:szCs w:val="32"/>
        </w:rPr>
        <w:t>第三条</w:t>
      </w:r>
      <w:r>
        <w:rPr>
          <w:rFonts w:hint="eastAsia" w:ascii="Times New Roman" w:hAnsi="Times New Roman" w:eastAsia="方正仿宋_GBK" w:cs="Times New Roman"/>
          <w:color w:val="auto"/>
          <w:kern w:val="0"/>
          <w:sz w:val="32"/>
          <w:szCs w:val="32"/>
        </w:rPr>
        <w:t xml:space="preserve">  </w:t>
      </w:r>
      <w:r>
        <w:rPr>
          <w:rFonts w:ascii="Times New Roman" w:hAnsi="Times New Roman" w:eastAsia="方正仿宋_GBK" w:cs="Times New Roman"/>
          <w:color w:val="auto"/>
          <w:kern w:val="0"/>
          <w:sz w:val="32"/>
          <w:szCs w:val="32"/>
        </w:rPr>
        <w:t>人才公寓使用</w:t>
      </w:r>
      <w:r>
        <w:rPr>
          <w:rFonts w:hint="eastAsia" w:ascii="Times New Roman" w:hAnsi="Times New Roman" w:eastAsia="方正仿宋_GBK" w:cs="Times New Roman"/>
          <w:color w:val="auto"/>
          <w:kern w:val="0"/>
          <w:sz w:val="32"/>
          <w:szCs w:val="32"/>
        </w:rPr>
        <w:t>管理</w:t>
      </w:r>
      <w:r>
        <w:rPr>
          <w:rFonts w:ascii="Times New Roman" w:hAnsi="Times New Roman" w:eastAsia="方正仿宋_GBK" w:cs="Times New Roman"/>
          <w:color w:val="auto"/>
          <w:kern w:val="0"/>
          <w:sz w:val="32"/>
          <w:szCs w:val="32"/>
        </w:rPr>
        <w:t>坚持</w:t>
      </w:r>
      <w:r>
        <w:rPr>
          <w:rFonts w:hint="eastAsia" w:ascii="Times New Roman" w:hAnsi="Times New Roman" w:eastAsia="方正仿宋_GBK" w:cs="Times New Roman"/>
          <w:color w:val="auto"/>
          <w:kern w:val="0"/>
          <w:sz w:val="32"/>
          <w:szCs w:val="32"/>
        </w:rPr>
        <w:t>“</w:t>
      </w:r>
      <w:r>
        <w:rPr>
          <w:rFonts w:ascii="Times New Roman" w:hAnsi="Times New Roman" w:eastAsia="方正仿宋_GBK" w:cs="Times New Roman"/>
          <w:color w:val="auto"/>
          <w:kern w:val="0"/>
          <w:sz w:val="32"/>
          <w:szCs w:val="32"/>
        </w:rPr>
        <w:t>政府主导、</w:t>
      </w:r>
      <w:r>
        <w:rPr>
          <w:rFonts w:hint="eastAsia" w:ascii="Times New Roman" w:hAnsi="Times New Roman" w:eastAsia="方正仿宋_GBK" w:cs="Times New Roman"/>
          <w:color w:val="auto"/>
          <w:kern w:val="0"/>
          <w:sz w:val="32"/>
          <w:szCs w:val="32"/>
        </w:rPr>
        <w:t>统筹</w:t>
      </w:r>
      <w:r>
        <w:rPr>
          <w:rFonts w:ascii="Times New Roman" w:hAnsi="Times New Roman" w:eastAsia="方正仿宋_GBK" w:cs="Times New Roman"/>
          <w:color w:val="auto"/>
          <w:kern w:val="0"/>
          <w:sz w:val="32"/>
          <w:szCs w:val="32"/>
        </w:rPr>
        <w:t>管理、</w:t>
      </w:r>
      <w:r>
        <w:rPr>
          <w:rFonts w:hint="eastAsia" w:ascii="Times New Roman" w:hAnsi="Times New Roman" w:eastAsia="方正仿宋_GBK" w:cs="Times New Roman"/>
          <w:color w:val="auto"/>
          <w:kern w:val="0"/>
          <w:sz w:val="32"/>
          <w:szCs w:val="32"/>
        </w:rPr>
        <w:t>科学规划、</w:t>
      </w:r>
      <w:r>
        <w:rPr>
          <w:rFonts w:hint="eastAsia" w:ascii="Times New Roman" w:hAnsi="Times New Roman" w:eastAsia="方正仿宋_GBK"/>
          <w:color w:val="auto"/>
          <w:sz w:val="32"/>
          <w:szCs w:val="32"/>
        </w:rPr>
        <w:t>分类保障、</w:t>
      </w:r>
      <w:r>
        <w:rPr>
          <w:rFonts w:ascii="Times New Roman" w:hAnsi="Times New Roman" w:eastAsia="方正仿宋_GBK" w:cs="Times New Roman"/>
          <w:color w:val="auto"/>
          <w:kern w:val="0"/>
          <w:sz w:val="32"/>
          <w:szCs w:val="32"/>
        </w:rPr>
        <w:t>只租不售、周转使用</w:t>
      </w:r>
      <w:r>
        <w:rPr>
          <w:rFonts w:hint="eastAsia" w:ascii="Times New Roman" w:hAnsi="Times New Roman" w:eastAsia="方正仿宋_GBK" w:cs="Times New Roman"/>
          <w:color w:val="auto"/>
          <w:kern w:val="0"/>
          <w:sz w:val="32"/>
          <w:szCs w:val="32"/>
        </w:rPr>
        <w:t>”</w:t>
      </w:r>
      <w:r>
        <w:rPr>
          <w:rFonts w:ascii="Times New Roman" w:hAnsi="Times New Roman" w:eastAsia="方正仿宋_GBK" w:cs="Times New Roman"/>
          <w:color w:val="auto"/>
          <w:kern w:val="0"/>
          <w:sz w:val="32"/>
          <w:szCs w:val="32"/>
        </w:rPr>
        <w:t>的总体原则。</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黑体_GBK" w:cs="Times New Roman"/>
          <w:bCs/>
          <w:color w:val="auto"/>
          <w:kern w:val="0"/>
          <w:sz w:val="32"/>
          <w:szCs w:val="32"/>
        </w:rPr>
        <w:t>第四条</w:t>
      </w:r>
      <w:r>
        <w:rPr>
          <w:rFonts w:hint="eastAsia" w:ascii="Times New Roman" w:hAnsi="Times New Roman" w:eastAsia="方正仿宋_GBK" w:cs="Times New Roman"/>
          <w:color w:val="auto"/>
          <w:kern w:val="0"/>
          <w:sz w:val="32"/>
          <w:szCs w:val="32"/>
        </w:rPr>
        <w:t xml:space="preserve">  </w:t>
      </w:r>
      <w:r>
        <w:rPr>
          <w:rFonts w:ascii="Times New Roman" w:hAnsi="Times New Roman" w:eastAsia="方正仿宋_GBK" w:cs="Times New Roman"/>
          <w:color w:val="auto"/>
          <w:kern w:val="0"/>
          <w:sz w:val="32"/>
          <w:szCs w:val="32"/>
        </w:rPr>
        <w:t>人才公寓</w:t>
      </w:r>
      <w:r>
        <w:rPr>
          <w:rFonts w:hint="eastAsia" w:ascii="Times New Roman" w:hAnsi="Times New Roman" w:eastAsia="方正仿宋_GBK" w:cs="Times New Roman"/>
          <w:color w:val="auto"/>
          <w:kern w:val="0"/>
          <w:sz w:val="32"/>
          <w:szCs w:val="32"/>
        </w:rPr>
        <w:t>由县委</w:t>
      </w:r>
      <w:r>
        <w:rPr>
          <w:rFonts w:ascii="Times New Roman" w:hAnsi="Times New Roman" w:eastAsia="方正仿宋_GBK" w:cs="Times New Roman"/>
          <w:color w:val="auto"/>
          <w:kern w:val="0"/>
          <w:sz w:val="32"/>
          <w:szCs w:val="32"/>
        </w:rPr>
        <w:t>人才</w:t>
      </w:r>
      <w:r>
        <w:rPr>
          <w:rFonts w:hint="eastAsia" w:ascii="Times New Roman" w:hAnsi="Times New Roman" w:eastAsia="方正仿宋_GBK" w:cs="Times New Roman"/>
          <w:color w:val="auto"/>
          <w:kern w:val="0"/>
          <w:sz w:val="32"/>
          <w:szCs w:val="32"/>
        </w:rPr>
        <w:t>工作领导小组统筹，县住建委提供房源或调剂公租房源保障并管理</w:t>
      </w:r>
      <w:r>
        <w:rPr>
          <w:rFonts w:ascii="Times New Roman" w:hAnsi="Times New Roman" w:eastAsia="方正仿宋_GBK" w:cs="Times New Roman"/>
          <w:color w:val="auto"/>
          <w:kern w:val="0"/>
          <w:sz w:val="32"/>
          <w:szCs w:val="32"/>
        </w:rPr>
        <w:t>。</w:t>
      </w:r>
    </w:p>
    <w:p>
      <w:pPr>
        <w:spacing w:line="600" w:lineRule="exact"/>
        <w:ind w:firstLine="640" w:firstLineChars="200"/>
        <w:rPr>
          <w:rFonts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rPr>
        <w:t>第二章  租住条件</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黑体_GBK" w:cs="Times New Roman"/>
          <w:color w:val="auto"/>
          <w:kern w:val="0"/>
          <w:sz w:val="32"/>
          <w:szCs w:val="32"/>
        </w:rPr>
        <w:t>第</w:t>
      </w:r>
      <w:r>
        <w:rPr>
          <w:rFonts w:hint="eastAsia" w:ascii="Times New Roman" w:hAnsi="Times New Roman" w:eastAsia="方正黑体_GBK" w:cs="Times New Roman"/>
          <w:color w:val="auto"/>
          <w:kern w:val="0"/>
          <w:sz w:val="32"/>
          <w:szCs w:val="32"/>
        </w:rPr>
        <w:t>五</w:t>
      </w:r>
      <w:r>
        <w:rPr>
          <w:rFonts w:ascii="Times New Roman" w:hAnsi="Times New Roman" w:eastAsia="方正黑体_GBK" w:cs="Times New Roman"/>
          <w:color w:val="auto"/>
          <w:kern w:val="0"/>
          <w:sz w:val="32"/>
          <w:szCs w:val="32"/>
        </w:rPr>
        <w:t>条</w:t>
      </w:r>
      <w:r>
        <w:rPr>
          <w:rFonts w:hint="eastAsia" w:ascii="Times New Roman" w:hAnsi="Times New Roman" w:eastAsia="方正仿宋_GBK" w:cs="Times New Roman"/>
          <w:b/>
          <w:bCs/>
          <w:color w:val="auto"/>
          <w:kern w:val="0"/>
          <w:sz w:val="32"/>
          <w:szCs w:val="32"/>
        </w:rPr>
        <w:t xml:space="preserve">  </w:t>
      </w:r>
      <w:r>
        <w:rPr>
          <w:rFonts w:ascii="Times New Roman" w:hAnsi="Times New Roman" w:eastAsia="方正仿宋_GBK" w:cs="Times New Roman"/>
          <w:color w:val="auto"/>
          <w:kern w:val="0"/>
          <w:sz w:val="32"/>
          <w:szCs w:val="32"/>
        </w:rPr>
        <w:t>人才公寓配租坚持以下原则：</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方正仿宋_GBK" w:hAnsi="方正仿宋_GBK" w:eastAsia="方正仿宋_GBK" w:cs="方正仿宋_GBK"/>
          <w:color w:val="auto"/>
          <w:kern w:val="0"/>
          <w:sz w:val="32"/>
          <w:szCs w:val="32"/>
        </w:rPr>
        <w:t>（一）分类优先保障原则。优先满足我县经济社会发展和民</w:t>
      </w:r>
      <w:r>
        <w:rPr>
          <w:rFonts w:ascii="Times New Roman" w:hAnsi="Times New Roman" w:eastAsia="方正仿宋_GBK" w:cs="Times New Roman"/>
          <w:color w:val="auto"/>
          <w:kern w:val="0"/>
          <w:sz w:val="32"/>
          <w:szCs w:val="32"/>
        </w:rPr>
        <w:t>生保障所需的高层次人才，具体按以下先后顺序分类保障：持英才服务卡A卡</w:t>
      </w:r>
      <w:r>
        <w:rPr>
          <w:rFonts w:hint="eastAsia" w:ascii="Times New Roman" w:hAnsi="Times New Roman" w:eastAsia="方正仿宋_GBK" w:cs="Times New Roman"/>
          <w:color w:val="auto"/>
          <w:kern w:val="0"/>
          <w:sz w:val="32"/>
          <w:szCs w:val="32"/>
        </w:rPr>
        <w:t>、</w:t>
      </w:r>
      <w:r>
        <w:rPr>
          <w:rFonts w:ascii="Times New Roman" w:hAnsi="Times New Roman" w:eastAsia="方正仿宋_GBK" w:cs="Times New Roman"/>
          <w:color w:val="auto"/>
          <w:kern w:val="0"/>
          <w:sz w:val="32"/>
          <w:szCs w:val="32"/>
        </w:rPr>
        <w:t>B卡人才</w:t>
      </w:r>
      <w:r>
        <w:rPr>
          <w:rFonts w:hint="eastAsia" w:ascii="Times New Roman" w:hAnsi="Times New Roman" w:eastAsia="方正仿宋_GBK" w:cs="Times New Roman"/>
          <w:color w:val="auto"/>
          <w:kern w:val="0"/>
          <w:sz w:val="32"/>
          <w:szCs w:val="32"/>
        </w:rPr>
        <w:t>，</w:t>
      </w:r>
      <w:r>
        <w:rPr>
          <w:rFonts w:ascii="Times New Roman" w:hAnsi="Times New Roman" w:eastAsia="方正仿宋_GBK" w:cs="Times New Roman"/>
          <w:color w:val="auto"/>
          <w:kern w:val="0"/>
          <w:sz w:val="32"/>
          <w:szCs w:val="32"/>
        </w:rPr>
        <w:t>未持卡但属于创新人才工程引进的优秀人才。保障以上</w:t>
      </w:r>
      <w:r>
        <w:rPr>
          <w:rFonts w:hint="eastAsia" w:ascii="Times New Roman" w:hAnsi="Times New Roman" w:eastAsia="方正仿宋_GBK" w:cs="Times New Roman"/>
          <w:color w:val="auto"/>
          <w:kern w:val="0"/>
          <w:sz w:val="32"/>
          <w:szCs w:val="32"/>
        </w:rPr>
        <w:t>高层次优秀</w:t>
      </w:r>
      <w:r>
        <w:rPr>
          <w:rFonts w:ascii="Times New Roman" w:hAnsi="Times New Roman" w:eastAsia="方正仿宋_GBK" w:cs="Times New Roman"/>
          <w:color w:val="auto"/>
          <w:kern w:val="0"/>
          <w:sz w:val="32"/>
          <w:szCs w:val="32"/>
        </w:rPr>
        <w:t>人才后剩余的人才公寓，用于保障紧缺急需的其他优秀人才</w:t>
      </w:r>
      <w:r>
        <w:rPr>
          <w:rFonts w:hint="eastAsia" w:ascii="Times New Roman" w:hAnsi="Times New Roman" w:eastAsia="方正仿宋_GBK" w:cs="Times New Roman"/>
          <w:color w:val="auto"/>
          <w:kern w:val="0"/>
          <w:sz w:val="32"/>
          <w:szCs w:val="32"/>
        </w:rPr>
        <w:t>，主要包括企业专科以上学历、中层干部以上职务、中级以上专业技术职称或中级以上技能等人才。如申请人数多于公寓数量，采取摇号方式确定承租人。</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方正仿宋_GBK" w:hAnsi="方正仿宋_GBK" w:eastAsia="方正仿宋_GBK" w:cs="方正仿宋_GBK"/>
          <w:color w:val="auto"/>
          <w:kern w:val="0"/>
          <w:sz w:val="32"/>
          <w:szCs w:val="32"/>
        </w:rPr>
        <w:t>（二）公开公平公正原则。坚持申请条件公开，按照用人单</w:t>
      </w:r>
      <w:r>
        <w:rPr>
          <w:rFonts w:ascii="Times New Roman" w:hAnsi="Times New Roman" w:eastAsia="方正仿宋_GBK" w:cs="Times New Roman"/>
          <w:color w:val="auto"/>
          <w:kern w:val="0"/>
          <w:sz w:val="32"/>
          <w:szCs w:val="32"/>
        </w:rPr>
        <w:t>位、行业主管部门、人才工作领导小组三级审核把关，切实做到民主公开。</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黑体_GBK" w:cs="Times New Roman"/>
          <w:color w:val="auto"/>
          <w:kern w:val="0"/>
          <w:sz w:val="32"/>
          <w:szCs w:val="32"/>
        </w:rPr>
        <w:t>第</w:t>
      </w:r>
      <w:r>
        <w:rPr>
          <w:rFonts w:hint="eastAsia" w:ascii="Times New Roman" w:hAnsi="Times New Roman" w:eastAsia="方正黑体_GBK" w:cs="Times New Roman"/>
          <w:color w:val="auto"/>
          <w:kern w:val="0"/>
          <w:sz w:val="32"/>
          <w:szCs w:val="32"/>
        </w:rPr>
        <w:t>六</w:t>
      </w:r>
      <w:r>
        <w:rPr>
          <w:rFonts w:ascii="Times New Roman" w:hAnsi="Times New Roman" w:eastAsia="方正黑体_GBK" w:cs="Times New Roman"/>
          <w:color w:val="auto"/>
          <w:kern w:val="0"/>
          <w:sz w:val="32"/>
          <w:szCs w:val="32"/>
        </w:rPr>
        <w:t>条</w:t>
      </w:r>
      <w:r>
        <w:rPr>
          <w:rFonts w:hint="eastAsia" w:ascii="Times New Roman" w:hAnsi="Times New Roman" w:eastAsia="方正仿宋_GBK" w:cs="Times New Roman"/>
          <w:color w:val="auto"/>
          <w:kern w:val="0"/>
          <w:sz w:val="32"/>
          <w:szCs w:val="32"/>
        </w:rPr>
        <w:t xml:space="preserve">  </w:t>
      </w:r>
      <w:r>
        <w:rPr>
          <w:rFonts w:ascii="Times New Roman" w:hAnsi="Times New Roman" w:eastAsia="方正仿宋_GBK" w:cs="Times New Roman"/>
          <w:color w:val="auto"/>
          <w:kern w:val="0"/>
          <w:sz w:val="32"/>
          <w:szCs w:val="32"/>
        </w:rPr>
        <w:t>人才公寓申请人应同时符合以下基本条件：</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（一）申请人在丰都</w:t>
      </w:r>
      <w:r>
        <w:rPr>
          <w:rFonts w:hint="eastAsia" w:ascii="Times New Roman" w:hAnsi="Times New Roman" w:eastAsia="方正仿宋_GBK" w:cs="Times New Roman"/>
          <w:color w:val="auto"/>
          <w:kern w:val="0"/>
          <w:sz w:val="32"/>
          <w:szCs w:val="32"/>
        </w:rPr>
        <w:t>县城和工业园区规划区内</w:t>
      </w:r>
      <w:r>
        <w:rPr>
          <w:rFonts w:ascii="Times New Roman" w:hAnsi="Times New Roman" w:eastAsia="方正仿宋_GBK" w:cs="Times New Roman"/>
          <w:color w:val="auto"/>
          <w:kern w:val="0"/>
          <w:sz w:val="32"/>
          <w:szCs w:val="32"/>
        </w:rPr>
        <w:t>工作。在事业单位工作的，需与用人单位签订1年以上正式聘用合同；在企业工作的，需与用人单位签订1年以上正式劳动合同</w:t>
      </w:r>
      <w:r>
        <w:rPr>
          <w:rFonts w:hint="eastAsia" w:ascii="Times New Roman" w:hAnsi="Times New Roman" w:eastAsia="方正仿宋_GBK" w:cs="Times New Roman"/>
          <w:color w:val="auto"/>
          <w:kern w:val="0"/>
          <w:sz w:val="32"/>
          <w:szCs w:val="32"/>
        </w:rPr>
        <w:t>且缴纳社保</w:t>
      </w:r>
      <w:r>
        <w:rPr>
          <w:rFonts w:ascii="Times New Roman" w:hAnsi="Times New Roman" w:eastAsia="方正仿宋_GBK" w:cs="Times New Roman"/>
          <w:color w:val="auto"/>
          <w:kern w:val="0"/>
          <w:sz w:val="32"/>
          <w:szCs w:val="32"/>
        </w:rPr>
        <w:t>；兼职挂职、项目合作、技术联姻等方式柔性引进的人才，应有相应的任职文件、劳动合同、合作协议等依据。</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（二）申请人及家庭成员在丰都县</w:t>
      </w:r>
      <w:r>
        <w:rPr>
          <w:rFonts w:hint="eastAsia" w:ascii="Times New Roman" w:hAnsi="Times New Roman" w:eastAsia="方正仿宋_GBK" w:cs="Times New Roman"/>
          <w:color w:val="auto"/>
          <w:kern w:val="0"/>
          <w:sz w:val="32"/>
          <w:szCs w:val="32"/>
        </w:rPr>
        <w:t>城</w:t>
      </w:r>
      <w:r>
        <w:rPr>
          <w:rFonts w:ascii="Times New Roman" w:hAnsi="Times New Roman" w:eastAsia="方正仿宋_GBK" w:cs="Times New Roman"/>
          <w:color w:val="auto"/>
          <w:kern w:val="0"/>
          <w:sz w:val="32"/>
          <w:szCs w:val="32"/>
        </w:rPr>
        <w:t>内无住房（申请人家庭成员包括申请人本人、配偶、未成年子女及成年单身子女）。未婚申请人的父母在丰都县</w:t>
      </w:r>
      <w:r>
        <w:rPr>
          <w:rFonts w:hint="eastAsia" w:ascii="Times New Roman" w:hAnsi="Times New Roman" w:eastAsia="方正仿宋_GBK" w:cs="Times New Roman"/>
          <w:color w:val="auto"/>
          <w:kern w:val="0"/>
          <w:sz w:val="32"/>
          <w:szCs w:val="32"/>
        </w:rPr>
        <w:t>城</w:t>
      </w:r>
      <w:r>
        <w:rPr>
          <w:rFonts w:ascii="Times New Roman" w:hAnsi="Times New Roman" w:eastAsia="方正仿宋_GBK" w:cs="Times New Roman"/>
          <w:color w:val="auto"/>
          <w:kern w:val="0"/>
          <w:sz w:val="32"/>
          <w:szCs w:val="32"/>
        </w:rPr>
        <w:t>内无住房</w:t>
      </w:r>
      <w:r>
        <w:rPr>
          <w:rFonts w:hint="eastAsia" w:ascii="Times New Roman" w:hAnsi="Times New Roman" w:eastAsia="方正仿宋_GBK" w:cs="Times New Roman"/>
          <w:color w:val="auto"/>
          <w:kern w:val="0"/>
          <w:sz w:val="32"/>
          <w:szCs w:val="32"/>
        </w:rPr>
        <w:t>，</w:t>
      </w:r>
      <w:r>
        <w:rPr>
          <w:rFonts w:ascii="Times New Roman" w:hAnsi="Times New Roman" w:eastAsia="方正仿宋_GBK" w:cs="Times New Roman"/>
          <w:color w:val="auto"/>
          <w:kern w:val="0"/>
          <w:sz w:val="32"/>
          <w:szCs w:val="32"/>
        </w:rPr>
        <w:t>已婚申请人或配偶的父母在丰都县</w:t>
      </w:r>
      <w:r>
        <w:rPr>
          <w:rFonts w:hint="eastAsia" w:ascii="Times New Roman" w:hAnsi="Times New Roman" w:eastAsia="方正仿宋_GBK" w:cs="Times New Roman"/>
          <w:color w:val="auto"/>
          <w:kern w:val="0"/>
          <w:sz w:val="32"/>
          <w:szCs w:val="32"/>
        </w:rPr>
        <w:t>城</w:t>
      </w:r>
      <w:r>
        <w:rPr>
          <w:rFonts w:ascii="Times New Roman" w:hAnsi="Times New Roman" w:eastAsia="方正仿宋_GBK" w:cs="Times New Roman"/>
          <w:color w:val="auto"/>
          <w:kern w:val="0"/>
          <w:sz w:val="32"/>
          <w:szCs w:val="32"/>
        </w:rPr>
        <w:t>内只有1套住房。</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rPr>
        <w:t>三</w:t>
      </w:r>
      <w:r>
        <w:rPr>
          <w:rFonts w:ascii="Times New Roman" w:hAnsi="Times New Roman" w:eastAsia="方正仿宋_GBK" w:cs="Times New Roman"/>
          <w:color w:val="auto"/>
          <w:kern w:val="0"/>
          <w:sz w:val="32"/>
          <w:szCs w:val="32"/>
        </w:rPr>
        <w:t>）申请人无违纪违法犯罪记录。</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rPr>
        <w:t>四</w:t>
      </w:r>
      <w:r>
        <w:rPr>
          <w:rFonts w:ascii="Times New Roman" w:hAnsi="Times New Roman" w:eastAsia="方正仿宋_GBK" w:cs="Times New Roman"/>
          <w:color w:val="auto"/>
          <w:kern w:val="0"/>
          <w:sz w:val="32"/>
          <w:szCs w:val="32"/>
        </w:rPr>
        <w:t>）夫妻双方均符合申请条件的，只能一方申请。</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（五）已在丰都县购买住房（含配偶、子女、父母）但未接房入住的，可申请租住至接房日期延后一年。</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（六）未享受公共租赁住房的。</w:t>
      </w:r>
    </w:p>
    <w:p>
      <w:pPr>
        <w:spacing w:line="600" w:lineRule="exact"/>
        <w:ind w:firstLine="640" w:firstLineChars="200"/>
        <w:rPr>
          <w:rFonts w:ascii="Times New Roman" w:hAnsi="Times New Roman" w:eastAsia="方正黑体_GBK" w:cs="Times New Roman"/>
          <w:bCs/>
          <w:color w:val="auto"/>
          <w:kern w:val="0"/>
          <w:sz w:val="32"/>
          <w:szCs w:val="32"/>
        </w:rPr>
      </w:pPr>
      <w:r>
        <w:rPr>
          <w:rFonts w:hint="eastAsia" w:ascii="Times New Roman" w:hAnsi="Times New Roman" w:eastAsia="方正黑体_GBK" w:cs="Times New Roman"/>
          <w:bCs/>
          <w:color w:val="auto"/>
          <w:kern w:val="0"/>
          <w:sz w:val="32"/>
          <w:szCs w:val="32"/>
        </w:rPr>
        <w:t>第三章  租住手续</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黑体_GBK" w:cs="Times New Roman"/>
          <w:bCs/>
          <w:color w:val="auto"/>
          <w:kern w:val="0"/>
          <w:sz w:val="32"/>
          <w:szCs w:val="32"/>
        </w:rPr>
        <w:t>第</w:t>
      </w:r>
      <w:r>
        <w:rPr>
          <w:rFonts w:hint="eastAsia" w:ascii="Times New Roman" w:hAnsi="Times New Roman" w:eastAsia="方正黑体_GBK" w:cs="Times New Roman"/>
          <w:bCs/>
          <w:color w:val="auto"/>
          <w:kern w:val="0"/>
          <w:sz w:val="32"/>
          <w:szCs w:val="32"/>
        </w:rPr>
        <w:t>七</w:t>
      </w:r>
      <w:r>
        <w:rPr>
          <w:rFonts w:ascii="Times New Roman" w:hAnsi="Times New Roman" w:eastAsia="方正黑体_GBK" w:cs="Times New Roman"/>
          <w:bCs/>
          <w:color w:val="auto"/>
          <w:kern w:val="0"/>
          <w:sz w:val="32"/>
          <w:szCs w:val="32"/>
        </w:rPr>
        <w:t>条</w:t>
      </w:r>
      <w:r>
        <w:rPr>
          <w:rFonts w:hint="eastAsia" w:ascii="Times New Roman" w:hAnsi="Times New Roman" w:eastAsia="方正仿宋_GBK" w:cs="Times New Roman"/>
          <w:color w:val="auto"/>
          <w:kern w:val="0"/>
          <w:sz w:val="32"/>
          <w:szCs w:val="32"/>
        </w:rPr>
        <w:t xml:space="preserve">  </w:t>
      </w:r>
      <w:r>
        <w:rPr>
          <w:rFonts w:ascii="Times New Roman" w:hAnsi="Times New Roman" w:eastAsia="方正仿宋_GBK" w:cs="Times New Roman"/>
          <w:color w:val="auto"/>
          <w:kern w:val="0"/>
          <w:sz w:val="32"/>
          <w:szCs w:val="32"/>
        </w:rPr>
        <w:t>申请材料</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（一）《丰都县人才公寓入住申请表》一式三份。  </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（二）申请人身份证。</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（三）</w:t>
      </w:r>
      <w:r>
        <w:rPr>
          <w:rFonts w:hint="eastAsia" w:ascii="Times New Roman" w:hAnsi="Times New Roman" w:eastAsia="方正仿宋_GBK" w:cs="Times New Roman"/>
          <w:color w:val="auto"/>
          <w:kern w:val="0"/>
          <w:sz w:val="32"/>
          <w:szCs w:val="32"/>
        </w:rPr>
        <w:t>英才服务卡A卡、B卡，未持卡但属于</w:t>
      </w:r>
      <w:r>
        <w:rPr>
          <w:rFonts w:ascii="Times New Roman" w:hAnsi="Times New Roman" w:eastAsia="方正仿宋_GBK" w:cs="Times New Roman"/>
          <w:color w:val="auto"/>
          <w:kern w:val="0"/>
          <w:sz w:val="32"/>
          <w:szCs w:val="32"/>
        </w:rPr>
        <w:t>创新人才工程引进的优秀人才</w:t>
      </w:r>
      <w:r>
        <w:rPr>
          <w:rFonts w:hint="eastAsia" w:ascii="Times New Roman" w:hAnsi="Times New Roman" w:eastAsia="方正仿宋_GBK" w:cs="Times New Roman"/>
          <w:color w:val="auto"/>
          <w:kern w:val="0"/>
          <w:sz w:val="32"/>
          <w:szCs w:val="32"/>
        </w:rPr>
        <w:t>或其他优秀人才相关佐证资料。</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（四）资料真实性承诺书。</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以上材料审验原件，留存复印件，复印件须经用人单位、行业主管部门审核，并由核实人签名，用人单位、行业主管部门盖章。</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黑体_GBK" w:cs="Times New Roman"/>
          <w:color w:val="auto"/>
          <w:kern w:val="0"/>
          <w:sz w:val="32"/>
          <w:szCs w:val="32"/>
        </w:rPr>
        <w:t>第</w:t>
      </w:r>
      <w:r>
        <w:rPr>
          <w:rFonts w:hint="eastAsia" w:ascii="Times New Roman" w:hAnsi="Times New Roman" w:eastAsia="方正黑体_GBK" w:cs="Times New Roman"/>
          <w:color w:val="auto"/>
          <w:kern w:val="0"/>
          <w:sz w:val="32"/>
          <w:szCs w:val="32"/>
        </w:rPr>
        <w:t>八</w:t>
      </w:r>
      <w:r>
        <w:rPr>
          <w:rFonts w:ascii="Times New Roman" w:hAnsi="Times New Roman" w:eastAsia="方正黑体_GBK" w:cs="Times New Roman"/>
          <w:color w:val="auto"/>
          <w:kern w:val="0"/>
          <w:sz w:val="32"/>
          <w:szCs w:val="32"/>
        </w:rPr>
        <w:t>条</w:t>
      </w:r>
      <w:r>
        <w:rPr>
          <w:rFonts w:hint="eastAsia" w:ascii="Times New Roman" w:hAnsi="Times New Roman" w:eastAsia="方正仿宋_GBK" w:cs="Times New Roman"/>
          <w:color w:val="auto"/>
          <w:kern w:val="0"/>
          <w:sz w:val="32"/>
          <w:szCs w:val="32"/>
        </w:rPr>
        <w:t xml:space="preserve">  </w:t>
      </w:r>
      <w:r>
        <w:rPr>
          <w:rFonts w:ascii="Times New Roman" w:hAnsi="Times New Roman" w:eastAsia="方正仿宋_GBK" w:cs="Times New Roman"/>
          <w:color w:val="auto"/>
          <w:kern w:val="0"/>
          <w:sz w:val="32"/>
          <w:szCs w:val="32"/>
        </w:rPr>
        <w:t>申请与配租程序 </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（一）个人申请。申请人如实填写《丰都县人才公寓入住申请表》，连同需要提供的相关佐证材料向所在单位提出申请。</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（二）单位受理。用人单位受理人才公寓申请并核实相关材料后，报相应行业主管部门。 </w:t>
      </w:r>
    </w:p>
    <w:p>
      <w:pPr>
        <w:spacing w:line="576"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（三）部门汇总。行业主管部门汇总所管理、服务单位人才公寓需求并对相关材料审核后，填写《丰都县人才公寓申报汇总表》</w:t>
      </w:r>
      <w:r>
        <w:rPr>
          <w:rFonts w:hint="eastAsia" w:ascii="Times New Roman" w:hAnsi="Times New Roman" w:eastAsia="方正仿宋_GBK" w:cs="Times New Roman"/>
          <w:color w:val="auto"/>
          <w:kern w:val="0"/>
          <w:sz w:val="32"/>
          <w:szCs w:val="32"/>
        </w:rPr>
        <w:t>，</w:t>
      </w:r>
      <w:r>
        <w:rPr>
          <w:rFonts w:ascii="Times New Roman" w:hAnsi="Times New Roman" w:eastAsia="方正仿宋_GBK" w:cs="Times New Roman"/>
          <w:color w:val="auto"/>
          <w:kern w:val="0"/>
          <w:sz w:val="32"/>
          <w:szCs w:val="32"/>
        </w:rPr>
        <w:t>行业主管部门初审汇总后报</w:t>
      </w:r>
      <w:r>
        <w:rPr>
          <w:rFonts w:hint="eastAsia" w:ascii="Times New Roman" w:hAnsi="Times New Roman" w:eastAsia="方正仿宋_GBK" w:cs="Times New Roman"/>
          <w:color w:val="auto"/>
          <w:kern w:val="0"/>
          <w:sz w:val="32"/>
          <w:szCs w:val="32"/>
        </w:rPr>
        <w:t>县人力社保局。</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（四）审核认定</w:t>
      </w:r>
      <w:r>
        <w:rPr>
          <w:rFonts w:hint="eastAsia" w:ascii="Times New Roman" w:hAnsi="Times New Roman" w:eastAsia="方正仿宋_GBK" w:cs="Times New Roman"/>
          <w:color w:val="auto"/>
          <w:kern w:val="0"/>
          <w:sz w:val="32"/>
          <w:szCs w:val="32"/>
        </w:rPr>
        <w:t>。由县人力社保局牵头，建立由县委</w:t>
      </w:r>
      <w:r>
        <w:rPr>
          <w:rFonts w:ascii="Times New Roman" w:hAnsi="Times New Roman" w:eastAsia="方正仿宋_GBK" w:cs="Times New Roman"/>
          <w:color w:val="auto"/>
          <w:kern w:val="0"/>
          <w:sz w:val="32"/>
          <w:szCs w:val="32"/>
        </w:rPr>
        <w:t>人才</w:t>
      </w:r>
      <w:r>
        <w:rPr>
          <w:rFonts w:hint="eastAsia" w:ascii="Times New Roman" w:hAnsi="Times New Roman" w:eastAsia="方正仿宋_GBK" w:cs="Times New Roman"/>
          <w:color w:val="auto"/>
          <w:kern w:val="0"/>
          <w:sz w:val="32"/>
          <w:szCs w:val="32"/>
        </w:rPr>
        <w:t>工作领导小组办公室、县人力社保局、县住建委等部门组成的联合审核机制，定期对申报材料进行审核认定</w:t>
      </w:r>
      <w:r>
        <w:rPr>
          <w:rFonts w:ascii="Times New Roman" w:hAnsi="Times New Roman" w:eastAsia="方正仿宋_GBK" w:cs="Times New Roman"/>
          <w:color w:val="auto"/>
          <w:kern w:val="0"/>
          <w:sz w:val="32"/>
          <w:szCs w:val="32"/>
        </w:rPr>
        <w:t>。</w:t>
      </w:r>
    </w:p>
    <w:p>
      <w:pPr>
        <w:spacing w:line="576"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（五）分配房源。</w:t>
      </w:r>
      <w:r>
        <w:rPr>
          <w:rFonts w:hint="eastAsia" w:ascii="Times New Roman" w:hAnsi="Times New Roman" w:eastAsia="方正仿宋_GBK" w:cs="Times New Roman"/>
          <w:color w:val="auto"/>
          <w:kern w:val="0"/>
          <w:sz w:val="32"/>
          <w:szCs w:val="32"/>
        </w:rPr>
        <w:t>县公房保障中心</w:t>
      </w:r>
      <w:r>
        <w:rPr>
          <w:rFonts w:ascii="Times New Roman" w:hAnsi="Times New Roman" w:eastAsia="方正仿宋_GBK" w:cs="Times New Roman"/>
          <w:color w:val="auto"/>
          <w:kern w:val="0"/>
          <w:sz w:val="32"/>
          <w:szCs w:val="32"/>
        </w:rPr>
        <w:t>按照高端优先、分类排序的原则，</w:t>
      </w:r>
      <w:r>
        <w:rPr>
          <w:rFonts w:hint="eastAsia" w:ascii="Times New Roman" w:hAnsi="Times New Roman" w:eastAsia="方正仿宋_GBK" w:cs="Times New Roman"/>
          <w:color w:val="auto"/>
          <w:kern w:val="0"/>
          <w:sz w:val="32"/>
          <w:szCs w:val="32"/>
        </w:rPr>
        <w:t>凭审核认定意见</w:t>
      </w:r>
      <w:r>
        <w:rPr>
          <w:rFonts w:ascii="Times New Roman" w:hAnsi="Times New Roman" w:eastAsia="方正仿宋_GBK" w:cs="Times New Roman"/>
          <w:color w:val="auto"/>
          <w:kern w:val="0"/>
          <w:sz w:val="32"/>
          <w:szCs w:val="32"/>
        </w:rPr>
        <w:t>分配租住房屋，分配结果报</w:t>
      </w:r>
      <w:r>
        <w:rPr>
          <w:rFonts w:hint="eastAsia" w:ascii="Times New Roman" w:hAnsi="Times New Roman" w:eastAsia="方正仿宋_GBK" w:cs="Times New Roman"/>
          <w:color w:val="auto"/>
          <w:kern w:val="0"/>
          <w:sz w:val="32"/>
          <w:szCs w:val="32"/>
        </w:rPr>
        <w:t>县委</w:t>
      </w:r>
      <w:r>
        <w:rPr>
          <w:rFonts w:ascii="Times New Roman" w:hAnsi="Times New Roman" w:eastAsia="方正仿宋_GBK" w:cs="Times New Roman"/>
          <w:color w:val="auto"/>
          <w:kern w:val="0"/>
          <w:sz w:val="32"/>
          <w:szCs w:val="32"/>
        </w:rPr>
        <w:t>人才</w:t>
      </w:r>
      <w:r>
        <w:rPr>
          <w:rFonts w:hint="eastAsia" w:ascii="Times New Roman" w:hAnsi="Times New Roman" w:eastAsia="方正仿宋_GBK" w:cs="Times New Roman"/>
          <w:color w:val="auto"/>
          <w:kern w:val="0"/>
          <w:sz w:val="32"/>
          <w:szCs w:val="32"/>
        </w:rPr>
        <w:t>工作领导小组办公室</w:t>
      </w:r>
      <w:r>
        <w:rPr>
          <w:rFonts w:ascii="Times New Roman" w:hAnsi="Times New Roman" w:eastAsia="方正仿宋_GBK" w:cs="Times New Roman"/>
          <w:color w:val="auto"/>
          <w:kern w:val="0"/>
          <w:sz w:val="32"/>
          <w:szCs w:val="32"/>
        </w:rPr>
        <w:t>备案。</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（六）签订协议。</w:t>
      </w:r>
      <w:r>
        <w:rPr>
          <w:rFonts w:hint="eastAsia" w:ascii="Times New Roman" w:hAnsi="Times New Roman" w:eastAsia="方正仿宋_GBK" w:cs="Times New Roman"/>
          <w:color w:val="auto"/>
          <w:kern w:val="0"/>
          <w:sz w:val="32"/>
          <w:szCs w:val="32"/>
        </w:rPr>
        <w:t>县公房保障中心</w:t>
      </w:r>
      <w:r>
        <w:rPr>
          <w:rFonts w:ascii="Times New Roman" w:hAnsi="Times New Roman" w:eastAsia="方正仿宋_GBK" w:cs="Times New Roman"/>
          <w:color w:val="auto"/>
          <w:kern w:val="0"/>
          <w:sz w:val="32"/>
          <w:szCs w:val="32"/>
        </w:rPr>
        <w:t>与用人单位、申请人签订租赁协议，发放入住通知单。</w:t>
      </w: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（七）正式入住。申请人凭入住通知单到分配的公寓办理正式入住手续。  </w:t>
      </w:r>
    </w:p>
    <w:p>
      <w:pPr>
        <w:spacing w:line="600" w:lineRule="exact"/>
        <w:ind w:firstLine="640" w:firstLineChars="200"/>
        <w:rPr>
          <w:rFonts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rPr>
        <w:t>第四章  日常管理</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黑体_GBK" w:cs="Times New Roman"/>
          <w:color w:val="auto"/>
          <w:kern w:val="0"/>
          <w:sz w:val="32"/>
          <w:szCs w:val="32"/>
        </w:rPr>
        <w:t>第九条</w:t>
      </w:r>
      <w:r>
        <w:rPr>
          <w:rFonts w:hint="eastAsia" w:ascii="Times New Roman" w:hAnsi="Times New Roman" w:eastAsia="方正仿宋_GBK" w:cs="Times New Roman"/>
          <w:color w:val="auto"/>
          <w:kern w:val="0"/>
          <w:sz w:val="32"/>
          <w:szCs w:val="32"/>
        </w:rPr>
        <w:t xml:space="preserve">  </w:t>
      </w:r>
      <w:r>
        <w:rPr>
          <w:rFonts w:ascii="Times New Roman" w:hAnsi="Times New Roman" w:eastAsia="方正仿宋_GBK" w:cs="Times New Roman"/>
          <w:color w:val="auto"/>
          <w:kern w:val="0"/>
          <w:sz w:val="32"/>
          <w:szCs w:val="32"/>
        </w:rPr>
        <w:t>人才公寓租期一般不超过3年，租赁协议一年一签。协议期满后如需续租，由租住人才提出续租申请，经县</w:t>
      </w:r>
      <w:r>
        <w:rPr>
          <w:rFonts w:hint="eastAsia" w:ascii="Times New Roman" w:hAnsi="Times New Roman" w:eastAsia="方正仿宋_GBK" w:cs="Times New Roman"/>
          <w:color w:val="auto"/>
          <w:kern w:val="0"/>
          <w:sz w:val="32"/>
          <w:szCs w:val="32"/>
        </w:rPr>
        <w:t>人社局</w:t>
      </w:r>
      <w:r>
        <w:rPr>
          <w:rFonts w:ascii="Times New Roman" w:hAnsi="Times New Roman" w:eastAsia="方正仿宋_GBK" w:cs="Times New Roman"/>
          <w:color w:val="auto"/>
          <w:kern w:val="0"/>
          <w:sz w:val="32"/>
          <w:szCs w:val="32"/>
        </w:rPr>
        <w:t>和</w:t>
      </w:r>
      <w:r>
        <w:rPr>
          <w:rFonts w:hint="eastAsia" w:ascii="Times New Roman" w:hAnsi="Times New Roman" w:eastAsia="方正仿宋_GBK" w:cs="Times New Roman"/>
          <w:color w:val="auto"/>
          <w:kern w:val="0"/>
          <w:sz w:val="32"/>
          <w:szCs w:val="32"/>
        </w:rPr>
        <w:t>县住建委</w:t>
      </w:r>
      <w:r>
        <w:rPr>
          <w:rFonts w:ascii="Times New Roman" w:hAnsi="Times New Roman" w:eastAsia="方正仿宋_GBK" w:cs="Times New Roman"/>
          <w:color w:val="auto"/>
          <w:kern w:val="0"/>
          <w:sz w:val="32"/>
          <w:szCs w:val="32"/>
        </w:rPr>
        <w:t>审核同意后，续签租赁协议。</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黑体_GBK" w:cs="Times New Roman"/>
          <w:color w:val="auto"/>
          <w:kern w:val="0"/>
          <w:sz w:val="32"/>
          <w:szCs w:val="32"/>
        </w:rPr>
        <w:t xml:space="preserve">第十条 </w:t>
      </w:r>
      <w:r>
        <w:rPr>
          <w:rFonts w:ascii="Times New Roman" w:hAnsi="Times New Roman" w:eastAsia="方正仿宋_GBK" w:cs="Times New Roman"/>
          <w:color w:val="auto"/>
          <w:kern w:val="0"/>
          <w:sz w:val="32"/>
          <w:szCs w:val="32"/>
        </w:rPr>
        <w:t xml:space="preserve"> 持A、B卡优秀人才和未持卡但属于创新人才工程引进的优秀人才入住公寓的，租金全免。紧缺急需的其他优秀人才入住人才公寓的，租金</w:t>
      </w:r>
      <w:r>
        <w:rPr>
          <w:rFonts w:hint="eastAsia" w:ascii="Times New Roman" w:hAnsi="Times New Roman" w:eastAsia="方正仿宋_GBK" w:cs="Times New Roman"/>
          <w:color w:val="auto"/>
          <w:kern w:val="0"/>
          <w:sz w:val="32"/>
          <w:szCs w:val="32"/>
        </w:rPr>
        <w:t>按</w:t>
      </w:r>
      <w:r>
        <w:rPr>
          <w:rFonts w:ascii="Times New Roman" w:hAnsi="Times New Roman" w:eastAsia="方正仿宋_GBK" w:cs="Times New Roman"/>
          <w:color w:val="auto"/>
          <w:kern w:val="0"/>
          <w:sz w:val="32"/>
          <w:szCs w:val="32"/>
        </w:rPr>
        <w:t>同区域租赁房租金的80%</w:t>
      </w:r>
      <w:r>
        <w:rPr>
          <w:rFonts w:hint="eastAsia" w:ascii="Times New Roman" w:hAnsi="Times New Roman" w:eastAsia="方正仿宋_GBK" w:cs="Times New Roman"/>
          <w:color w:val="auto"/>
          <w:kern w:val="0"/>
          <w:sz w:val="32"/>
          <w:szCs w:val="32"/>
        </w:rPr>
        <w:t>收取</w:t>
      </w:r>
      <w:r>
        <w:rPr>
          <w:rFonts w:ascii="Times New Roman" w:hAnsi="Times New Roman" w:eastAsia="方正仿宋_GBK" w:cs="Times New Roman"/>
          <w:color w:val="auto"/>
          <w:kern w:val="0"/>
          <w:sz w:val="32"/>
          <w:szCs w:val="32"/>
        </w:rPr>
        <w:t>。</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黑体_GBK" w:cs="Times New Roman"/>
          <w:color w:val="auto"/>
          <w:kern w:val="0"/>
          <w:sz w:val="32"/>
          <w:szCs w:val="32"/>
        </w:rPr>
        <w:t>第十一条</w:t>
      </w:r>
      <w:r>
        <w:rPr>
          <w:rFonts w:ascii="Times New Roman" w:hAnsi="Times New Roman" w:eastAsia="方正仿宋_GBK" w:cs="Times New Roman"/>
          <w:color w:val="auto"/>
          <w:kern w:val="0"/>
          <w:sz w:val="32"/>
          <w:szCs w:val="32"/>
        </w:rPr>
        <w:t xml:space="preserve">  租赁期间产生的水、电、气、网络、物业管理等费用，由承租人缴纳。                     </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黑体_GBK" w:cs="Times New Roman"/>
          <w:color w:val="auto"/>
          <w:kern w:val="0"/>
          <w:sz w:val="32"/>
          <w:szCs w:val="32"/>
        </w:rPr>
        <w:t>第十二条</w:t>
      </w:r>
      <w:r>
        <w:rPr>
          <w:rFonts w:ascii="Times New Roman" w:hAnsi="Times New Roman" w:eastAsia="方正仿宋_GBK" w:cs="Times New Roman"/>
          <w:b/>
          <w:bCs/>
          <w:color w:val="auto"/>
          <w:kern w:val="0"/>
          <w:sz w:val="32"/>
          <w:szCs w:val="32"/>
        </w:rPr>
        <w:t xml:space="preserve">  </w:t>
      </w:r>
      <w:r>
        <w:rPr>
          <w:rFonts w:ascii="Times New Roman" w:hAnsi="Times New Roman" w:eastAsia="方正仿宋_GBK" w:cs="Times New Roman"/>
          <w:color w:val="auto"/>
          <w:kern w:val="0"/>
          <w:sz w:val="32"/>
          <w:szCs w:val="32"/>
        </w:rPr>
        <w:t>承租人签订租赁协议后，需向</w:t>
      </w:r>
      <w:r>
        <w:rPr>
          <w:rFonts w:hint="eastAsia" w:ascii="Times New Roman" w:hAnsi="Times New Roman" w:eastAsia="方正仿宋_GBK" w:cs="Times New Roman"/>
          <w:color w:val="auto"/>
          <w:kern w:val="0"/>
          <w:sz w:val="32"/>
          <w:szCs w:val="32"/>
        </w:rPr>
        <w:t>县住建委缴纳3000元</w:t>
      </w:r>
      <w:r>
        <w:rPr>
          <w:rFonts w:ascii="Times New Roman" w:hAnsi="Times New Roman" w:eastAsia="方正仿宋_GBK" w:cs="Times New Roman"/>
          <w:color w:val="auto"/>
          <w:kern w:val="0"/>
          <w:sz w:val="32"/>
          <w:szCs w:val="32"/>
        </w:rPr>
        <w:t>履约保证金</w:t>
      </w:r>
      <w:r>
        <w:rPr>
          <w:rFonts w:hint="eastAsia" w:ascii="Times New Roman" w:hAnsi="Times New Roman" w:eastAsia="方正仿宋_GBK" w:cs="Times New Roman"/>
          <w:color w:val="auto"/>
          <w:kern w:val="0"/>
          <w:sz w:val="32"/>
          <w:szCs w:val="32"/>
        </w:rPr>
        <w:t>，需缴纳房屋租金的承租人</w:t>
      </w:r>
      <w:r>
        <w:rPr>
          <w:rFonts w:ascii="Times New Roman" w:hAnsi="Times New Roman" w:eastAsia="方正仿宋_GBK" w:cs="Times New Roman"/>
          <w:color w:val="auto"/>
          <w:kern w:val="0"/>
          <w:sz w:val="32"/>
          <w:szCs w:val="32"/>
        </w:rPr>
        <w:t>按年度一次性缴纳房屋租金，并负有保证房屋及配套设施完好的义务。因使用不当或其他人为原因造成房屋及其设施损坏</w:t>
      </w:r>
      <w:r>
        <w:rPr>
          <w:rFonts w:hint="eastAsia" w:ascii="Times New Roman" w:hAnsi="Times New Roman" w:eastAsia="方正仿宋_GBK" w:cs="Times New Roman"/>
          <w:color w:val="auto"/>
          <w:kern w:val="0"/>
          <w:sz w:val="32"/>
          <w:szCs w:val="32"/>
        </w:rPr>
        <w:t>或发生安全事故</w:t>
      </w:r>
      <w:r>
        <w:rPr>
          <w:rFonts w:ascii="Times New Roman" w:hAnsi="Times New Roman" w:eastAsia="方正仿宋_GBK" w:cs="Times New Roman"/>
          <w:color w:val="auto"/>
          <w:kern w:val="0"/>
          <w:sz w:val="32"/>
          <w:szCs w:val="32"/>
        </w:rPr>
        <w:t>的，承租人应当负责修复并承担</w:t>
      </w:r>
      <w:r>
        <w:rPr>
          <w:rFonts w:hint="eastAsia" w:ascii="Times New Roman" w:hAnsi="Times New Roman" w:eastAsia="方正仿宋_GBK" w:cs="Times New Roman"/>
          <w:color w:val="auto"/>
          <w:kern w:val="0"/>
          <w:sz w:val="32"/>
          <w:szCs w:val="32"/>
        </w:rPr>
        <w:t>主体责任和</w:t>
      </w:r>
      <w:r>
        <w:rPr>
          <w:rFonts w:ascii="Times New Roman" w:hAnsi="Times New Roman" w:eastAsia="方正仿宋_GBK" w:cs="Times New Roman"/>
          <w:color w:val="auto"/>
          <w:kern w:val="0"/>
          <w:sz w:val="32"/>
          <w:szCs w:val="32"/>
        </w:rPr>
        <w:t>相关费用。履约保证金待租期结束时视履约情况给予相应返还。</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黑体_GBK" w:cs="Times New Roman"/>
          <w:color w:val="auto"/>
          <w:kern w:val="0"/>
          <w:sz w:val="32"/>
          <w:szCs w:val="32"/>
        </w:rPr>
        <w:t>第十三条</w:t>
      </w:r>
      <w:r>
        <w:rPr>
          <w:rFonts w:ascii="Times New Roman" w:hAnsi="Times New Roman" w:eastAsia="方正仿宋_GBK" w:cs="Times New Roman"/>
          <w:b/>
          <w:bCs/>
          <w:color w:val="auto"/>
          <w:kern w:val="0"/>
          <w:sz w:val="32"/>
          <w:szCs w:val="32"/>
        </w:rPr>
        <w:t xml:space="preserve">  </w:t>
      </w:r>
      <w:r>
        <w:rPr>
          <w:rFonts w:ascii="Times New Roman" w:hAnsi="Times New Roman" w:eastAsia="方正仿宋_GBK" w:cs="Times New Roman"/>
          <w:color w:val="auto"/>
          <w:kern w:val="0"/>
          <w:sz w:val="32"/>
          <w:szCs w:val="32"/>
        </w:rPr>
        <w:t>人才公寓</w:t>
      </w:r>
      <w:r>
        <w:rPr>
          <w:rFonts w:hint="eastAsia" w:ascii="Times New Roman" w:hAnsi="Times New Roman" w:eastAsia="方正仿宋_GBK" w:cs="Times New Roman"/>
          <w:color w:val="auto"/>
          <w:kern w:val="0"/>
          <w:sz w:val="32"/>
          <w:szCs w:val="32"/>
        </w:rPr>
        <w:t>装修、</w:t>
      </w:r>
      <w:r>
        <w:rPr>
          <w:rFonts w:ascii="Times New Roman" w:hAnsi="Times New Roman" w:eastAsia="方正仿宋_GBK" w:cs="Times New Roman"/>
          <w:color w:val="auto"/>
          <w:kern w:val="0"/>
          <w:sz w:val="32"/>
          <w:szCs w:val="32"/>
        </w:rPr>
        <w:t>空置期间的物业管理费等相关费用由财政统筹解决。</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黑体_GBK" w:cs="Times New Roman"/>
          <w:color w:val="auto"/>
          <w:kern w:val="0"/>
          <w:sz w:val="32"/>
          <w:szCs w:val="32"/>
        </w:rPr>
        <w:t>第十四条</w:t>
      </w:r>
      <w:r>
        <w:rPr>
          <w:rFonts w:ascii="Times New Roman" w:hAnsi="Times New Roman" w:eastAsia="方正仿宋_GBK" w:cs="Times New Roman"/>
          <w:color w:val="auto"/>
          <w:kern w:val="0"/>
          <w:sz w:val="32"/>
          <w:szCs w:val="32"/>
        </w:rPr>
        <w:t xml:space="preserve">  人才公寓的承租人，有下列情形之一的，解除其租赁合同，</w:t>
      </w:r>
      <w:r>
        <w:rPr>
          <w:rFonts w:hint="eastAsia" w:ascii="Times New Roman" w:hAnsi="Times New Roman" w:eastAsia="方正仿宋_GBK" w:cs="Times New Roman"/>
          <w:color w:val="auto"/>
          <w:kern w:val="0"/>
          <w:sz w:val="32"/>
          <w:szCs w:val="32"/>
        </w:rPr>
        <w:t>一个月内</w:t>
      </w:r>
      <w:r>
        <w:rPr>
          <w:rFonts w:ascii="Times New Roman" w:hAnsi="Times New Roman" w:eastAsia="方正仿宋_GBK" w:cs="Times New Roman"/>
          <w:color w:val="auto"/>
          <w:kern w:val="0"/>
          <w:sz w:val="32"/>
          <w:szCs w:val="32"/>
        </w:rPr>
        <w:t>收回已配租的住房：</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（一）</w:t>
      </w:r>
      <w:r>
        <w:rPr>
          <w:rFonts w:ascii="Times New Roman" w:hAnsi="Times New Roman" w:eastAsia="方正仿宋_GBK" w:cs="Times New Roman"/>
          <w:color w:val="auto"/>
          <w:kern w:val="0"/>
          <w:sz w:val="32"/>
          <w:szCs w:val="32"/>
        </w:rPr>
        <w:t>人事关系调离丰都县或者不在丰都县工作和生活的；</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（二）</w:t>
      </w:r>
      <w:r>
        <w:rPr>
          <w:rFonts w:ascii="Times New Roman" w:hAnsi="Times New Roman" w:eastAsia="方正仿宋_GBK" w:cs="Times New Roman"/>
          <w:color w:val="auto"/>
          <w:kern w:val="0"/>
          <w:sz w:val="32"/>
          <w:szCs w:val="32"/>
        </w:rPr>
        <w:t>在本县购房且交付使用的；</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（三）</w:t>
      </w:r>
      <w:r>
        <w:rPr>
          <w:rFonts w:ascii="Times New Roman" w:hAnsi="Times New Roman" w:eastAsia="方正仿宋_GBK" w:cs="Times New Roman"/>
          <w:color w:val="auto"/>
          <w:kern w:val="0"/>
          <w:sz w:val="32"/>
          <w:szCs w:val="32"/>
        </w:rPr>
        <w:t>改变所承租人才公寓用途的；</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（四）</w:t>
      </w:r>
      <w:r>
        <w:rPr>
          <w:rFonts w:ascii="Times New Roman" w:hAnsi="Times New Roman" w:eastAsia="方正仿宋_GBK" w:cs="Times New Roman"/>
          <w:color w:val="auto"/>
          <w:kern w:val="0"/>
          <w:sz w:val="32"/>
          <w:szCs w:val="32"/>
        </w:rPr>
        <w:t>破坏或者擅自装修所承租人才公寓，拒不恢复原状的；</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（五）</w:t>
      </w:r>
      <w:r>
        <w:rPr>
          <w:rFonts w:ascii="Times New Roman" w:hAnsi="Times New Roman" w:eastAsia="方正仿宋_GBK" w:cs="Times New Roman"/>
          <w:color w:val="auto"/>
          <w:kern w:val="0"/>
          <w:sz w:val="32"/>
          <w:szCs w:val="32"/>
        </w:rPr>
        <w:t>无正当理由连续6个月以上闲置人才公寓，或者未按规定缴纳租金的；</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（六）</w:t>
      </w:r>
      <w:r>
        <w:rPr>
          <w:rFonts w:ascii="Times New Roman" w:hAnsi="Times New Roman" w:eastAsia="方正仿宋_GBK" w:cs="Times New Roman"/>
          <w:color w:val="auto"/>
          <w:kern w:val="0"/>
          <w:sz w:val="32"/>
          <w:szCs w:val="32"/>
        </w:rPr>
        <w:t>法律、法规规定的其他情形。</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黑体_GBK" w:cs="Times New Roman"/>
          <w:color w:val="auto"/>
          <w:kern w:val="0"/>
          <w:sz w:val="32"/>
          <w:szCs w:val="32"/>
        </w:rPr>
        <w:t>第十五条</w:t>
      </w:r>
      <w:r>
        <w:rPr>
          <w:rFonts w:ascii="Times New Roman" w:hAnsi="Times New Roman" w:eastAsia="方正仿宋_GBK" w:cs="Times New Roman"/>
          <w:b/>
          <w:bCs/>
          <w:color w:val="auto"/>
          <w:kern w:val="0"/>
          <w:sz w:val="32"/>
          <w:szCs w:val="32"/>
        </w:rPr>
        <w:t xml:space="preserve"> </w:t>
      </w:r>
      <w:r>
        <w:rPr>
          <w:rFonts w:ascii="Times New Roman" w:hAnsi="Times New Roman" w:eastAsia="方正仿宋_GBK" w:cs="Times New Roman"/>
          <w:color w:val="auto"/>
          <w:kern w:val="0"/>
          <w:sz w:val="32"/>
          <w:szCs w:val="32"/>
        </w:rPr>
        <w:t xml:space="preserve"> 承租人在租赁期间变更工作单位，但仍符合人才公寓入住条件的，由新用人单位重新办理相应手续，租赁时间连续计算。  </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黑体_GBK" w:cs="Times New Roman"/>
          <w:color w:val="auto"/>
          <w:kern w:val="0"/>
          <w:sz w:val="32"/>
          <w:szCs w:val="32"/>
        </w:rPr>
        <w:t>第十六条</w:t>
      </w:r>
      <w:r>
        <w:rPr>
          <w:rFonts w:ascii="Times New Roman" w:hAnsi="Times New Roman" w:eastAsia="方正仿宋_GBK" w:cs="Times New Roman"/>
          <w:b/>
          <w:bCs/>
          <w:color w:val="auto"/>
          <w:kern w:val="0"/>
          <w:sz w:val="32"/>
          <w:szCs w:val="32"/>
        </w:rPr>
        <w:t xml:space="preserve">  </w:t>
      </w:r>
      <w:r>
        <w:rPr>
          <w:rFonts w:ascii="Times New Roman" w:hAnsi="Times New Roman" w:eastAsia="方正仿宋_GBK" w:cs="Times New Roman"/>
          <w:color w:val="auto"/>
          <w:kern w:val="0"/>
          <w:sz w:val="32"/>
          <w:szCs w:val="32"/>
        </w:rPr>
        <w:t>承租人自愿提前退回人才公寓的，需提前</w:t>
      </w:r>
      <w:r>
        <w:rPr>
          <w:rFonts w:hint="eastAsia" w:ascii="Times New Roman" w:hAnsi="Times New Roman" w:eastAsia="方正仿宋_GBK" w:cs="Times New Roman"/>
          <w:color w:val="auto"/>
          <w:kern w:val="0"/>
          <w:sz w:val="32"/>
          <w:szCs w:val="32"/>
        </w:rPr>
        <w:t>1周</w:t>
      </w:r>
      <w:r>
        <w:rPr>
          <w:rFonts w:ascii="Times New Roman" w:hAnsi="Times New Roman" w:eastAsia="方正仿宋_GBK" w:cs="Times New Roman"/>
          <w:color w:val="auto"/>
          <w:kern w:val="0"/>
          <w:sz w:val="32"/>
          <w:szCs w:val="32"/>
        </w:rPr>
        <w:t>向</w:t>
      </w:r>
      <w:r>
        <w:rPr>
          <w:rFonts w:hint="eastAsia" w:ascii="Times New Roman" w:hAnsi="Times New Roman" w:eastAsia="方正仿宋_GBK" w:cs="Times New Roman"/>
          <w:color w:val="auto"/>
          <w:kern w:val="0"/>
          <w:sz w:val="32"/>
          <w:szCs w:val="32"/>
        </w:rPr>
        <w:t>县公房保障中心</w:t>
      </w:r>
      <w:r>
        <w:rPr>
          <w:rFonts w:ascii="Times New Roman" w:hAnsi="Times New Roman" w:eastAsia="方正仿宋_GBK" w:cs="Times New Roman"/>
          <w:color w:val="auto"/>
          <w:kern w:val="0"/>
          <w:sz w:val="32"/>
          <w:szCs w:val="32"/>
        </w:rPr>
        <w:t>提交书面退房申请，并结清租赁期间产生的水、电、气等相关费用。</w:t>
      </w:r>
      <w:r>
        <w:rPr>
          <w:rFonts w:hint="eastAsia" w:ascii="Times New Roman" w:hAnsi="Times New Roman" w:eastAsia="方正仿宋_GBK" w:cs="Times New Roman"/>
          <w:color w:val="auto"/>
          <w:kern w:val="0"/>
          <w:sz w:val="32"/>
          <w:szCs w:val="32"/>
        </w:rPr>
        <w:t>县公房保障中心</w:t>
      </w:r>
      <w:r>
        <w:rPr>
          <w:rFonts w:ascii="Times New Roman" w:hAnsi="Times New Roman" w:eastAsia="方正仿宋_GBK" w:cs="Times New Roman"/>
          <w:color w:val="auto"/>
          <w:kern w:val="0"/>
          <w:sz w:val="32"/>
          <w:szCs w:val="32"/>
        </w:rPr>
        <w:t>接收退房申请后应及时变更入住信息。</w:t>
      </w:r>
    </w:p>
    <w:p>
      <w:pPr>
        <w:spacing w:line="576"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黑体_GBK" w:cs="Times New Roman"/>
          <w:color w:val="auto"/>
          <w:kern w:val="0"/>
          <w:sz w:val="32"/>
          <w:szCs w:val="32"/>
        </w:rPr>
        <w:t>第十七条</w:t>
      </w:r>
      <w:r>
        <w:rPr>
          <w:rFonts w:ascii="Times New Roman" w:hAnsi="Times New Roman" w:eastAsia="方正仿宋_GBK" w:cs="Times New Roman"/>
          <w:color w:val="auto"/>
          <w:kern w:val="0"/>
          <w:sz w:val="32"/>
          <w:szCs w:val="32"/>
        </w:rPr>
        <w:t xml:space="preserve">  </w:t>
      </w:r>
      <w:r>
        <w:rPr>
          <w:rFonts w:hint="eastAsia" w:ascii="Times New Roman" w:hAnsi="Times New Roman" w:eastAsia="方正仿宋_GBK" w:cs="Times New Roman"/>
          <w:color w:val="auto"/>
          <w:kern w:val="0"/>
          <w:sz w:val="32"/>
          <w:szCs w:val="32"/>
        </w:rPr>
        <w:t>县住建委及公房保障中心需加强对人才公寓租住人员的管理，严禁转租他用；</w:t>
      </w:r>
      <w:r>
        <w:rPr>
          <w:rFonts w:ascii="Times New Roman" w:hAnsi="Times New Roman" w:eastAsia="方正仿宋_GBK" w:cs="Times New Roman"/>
          <w:color w:val="auto"/>
          <w:kern w:val="0"/>
          <w:sz w:val="32"/>
          <w:szCs w:val="32"/>
        </w:rPr>
        <w:t>每年定期对承租人进行信息核准、资格复核，并报</w:t>
      </w:r>
      <w:r>
        <w:rPr>
          <w:rFonts w:hint="eastAsia" w:ascii="Times New Roman" w:hAnsi="Times New Roman" w:eastAsia="方正仿宋_GBK" w:cs="Times New Roman"/>
          <w:color w:val="auto"/>
          <w:kern w:val="0"/>
          <w:sz w:val="32"/>
          <w:szCs w:val="32"/>
        </w:rPr>
        <w:t>县委</w:t>
      </w:r>
      <w:r>
        <w:rPr>
          <w:rFonts w:ascii="Times New Roman" w:hAnsi="Times New Roman" w:eastAsia="方正仿宋_GBK" w:cs="Times New Roman"/>
          <w:color w:val="auto"/>
          <w:kern w:val="0"/>
          <w:sz w:val="32"/>
          <w:szCs w:val="32"/>
        </w:rPr>
        <w:t>人才</w:t>
      </w:r>
      <w:r>
        <w:rPr>
          <w:rFonts w:hint="eastAsia" w:ascii="Times New Roman" w:hAnsi="Times New Roman" w:eastAsia="方正仿宋_GBK" w:cs="Times New Roman"/>
          <w:color w:val="auto"/>
          <w:kern w:val="0"/>
          <w:sz w:val="32"/>
          <w:szCs w:val="32"/>
        </w:rPr>
        <w:t>工作领导小组办公室</w:t>
      </w:r>
      <w:r>
        <w:rPr>
          <w:rFonts w:ascii="Times New Roman" w:hAnsi="Times New Roman" w:eastAsia="方正仿宋_GBK" w:cs="Times New Roman"/>
          <w:color w:val="auto"/>
          <w:kern w:val="0"/>
          <w:sz w:val="32"/>
          <w:szCs w:val="32"/>
        </w:rPr>
        <w:t>备案；不再符合人才公寓保障条件的，应当及时退出。</w:t>
      </w:r>
    </w:p>
    <w:p>
      <w:pPr>
        <w:spacing w:line="600" w:lineRule="exact"/>
        <w:ind w:firstLine="640" w:firstLineChars="200"/>
        <w:rPr>
          <w:rFonts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rPr>
        <w:t>第五章  附则</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黑体_GBK" w:cs="Times New Roman"/>
          <w:color w:val="auto"/>
          <w:kern w:val="0"/>
          <w:sz w:val="32"/>
          <w:szCs w:val="32"/>
        </w:rPr>
        <w:t xml:space="preserve">第十八条 </w:t>
      </w:r>
      <w:r>
        <w:rPr>
          <w:rFonts w:ascii="Times New Roman" w:hAnsi="Times New Roman" w:eastAsia="方正仿宋_GBK" w:cs="Times New Roman"/>
          <w:color w:val="auto"/>
          <w:kern w:val="0"/>
          <w:sz w:val="32"/>
          <w:szCs w:val="32"/>
        </w:rPr>
        <w:t xml:space="preserve"> 本办法由县</w:t>
      </w:r>
      <w:r>
        <w:rPr>
          <w:rFonts w:hint="eastAsia" w:ascii="Times New Roman" w:hAnsi="Times New Roman" w:eastAsia="方正仿宋_GBK" w:cs="Times New Roman"/>
          <w:color w:val="auto"/>
          <w:kern w:val="0"/>
          <w:sz w:val="32"/>
          <w:szCs w:val="32"/>
        </w:rPr>
        <w:t>人力资源和社会保障局</w:t>
      </w:r>
      <w:r>
        <w:rPr>
          <w:rFonts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rPr>
        <w:t>县住房和城乡建设委员会</w:t>
      </w:r>
      <w:r>
        <w:rPr>
          <w:rFonts w:ascii="Times New Roman" w:hAnsi="Times New Roman" w:eastAsia="方正仿宋_GBK" w:cs="Times New Roman"/>
          <w:color w:val="auto"/>
          <w:kern w:val="0"/>
          <w:sz w:val="32"/>
          <w:szCs w:val="32"/>
        </w:rPr>
        <w:t>负责解释，其他未尽事宜由相关部门协商一致或提交县委人才领导小组研究决定。</w:t>
      </w:r>
    </w:p>
    <w:p>
      <w:pPr>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黑体_GBK" w:cs="Times New Roman"/>
          <w:color w:val="auto"/>
          <w:kern w:val="0"/>
          <w:sz w:val="32"/>
          <w:szCs w:val="32"/>
        </w:rPr>
        <w:t>第十九条</w:t>
      </w:r>
      <w:r>
        <w:rPr>
          <w:rFonts w:hint="eastAsia" w:ascii="Times New Roman" w:hAnsi="Times New Roman" w:eastAsia="方正仿宋_GBK" w:cs="Times New Roman"/>
          <w:color w:val="auto"/>
          <w:kern w:val="0"/>
          <w:sz w:val="32"/>
          <w:szCs w:val="32"/>
        </w:rPr>
        <w:t xml:space="preserve">  本办法自印发之日起施行。</w:t>
      </w:r>
    </w:p>
    <w:p>
      <w:pPr>
        <w:spacing w:line="600" w:lineRule="exact"/>
        <w:ind w:firstLine="640" w:firstLineChars="200"/>
        <w:rPr>
          <w:rFonts w:ascii="Times New Roman" w:hAnsi="Times New Roman" w:eastAsia="方正仿宋_GBK" w:cs="Times New Roman"/>
          <w:color w:val="auto"/>
          <w:kern w:val="0"/>
          <w:sz w:val="32"/>
          <w:szCs w:val="32"/>
        </w:rPr>
      </w:pPr>
    </w:p>
    <w:p>
      <w:pPr>
        <w:spacing w:line="600"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附件：1.丰都县人才公寓入住申请表</w:t>
      </w:r>
    </w:p>
    <w:p>
      <w:pPr>
        <w:spacing w:line="600" w:lineRule="exact"/>
        <w:ind w:left="1600"/>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2.丰都县人才公寓申报汇总表</w:t>
      </w:r>
    </w:p>
    <w:p>
      <w:pPr>
        <w:rPr>
          <w:rFonts w:ascii="Times New Roman" w:hAnsi="Times New Roman" w:eastAsia="方正仿宋_GBK" w:cs="Times New Roman"/>
          <w:color w:val="auto"/>
          <w:kern w:val="0"/>
          <w:sz w:val="32"/>
          <w:szCs w:val="32"/>
        </w:rPr>
      </w:pPr>
    </w:p>
    <w:p>
      <w:pPr>
        <w:pStyle w:val="6"/>
      </w:pPr>
    </w:p>
    <w:p>
      <w:pPr>
        <w:pStyle w:val="6"/>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ind w:left="1600"/>
        <w:textAlignment w:val="auto"/>
        <w:rPr>
          <w:rFonts w:ascii="Times New Roman" w:hAnsi="Times New Roman" w:eastAsia="方正仿宋_GBK"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600"/>
        <w:textAlignment w:val="auto"/>
        <w:rPr>
          <w:rFonts w:ascii="Times New Roman" w:hAnsi="Times New Roman" w:eastAsia="方正仿宋_GBK" w:cs="Times New Roman"/>
          <w:color w:val="auto"/>
          <w:kern w:val="0"/>
          <w:sz w:val="32"/>
          <w:szCs w:val="32"/>
        </w:rPr>
      </w:pPr>
    </w:p>
    <w:p>
      <w:pPr>
        <w:spacing w:line="600" w:lineRule="exact"/>
        <w:ind w:left="1600"/>
        <w:rPr>
          <w:rFonts w:ascii="Times New Roman" w:hAnsi="Times New Roman" w:eastAsia="方正仿宋_GBK" w:cs="Times New Roman"/>
          <w:color w:val="auto"/>
          <w:kern w:val="0"/>
          <w:sz w:val="32"/>
          <w:szCs w:val="32"/>
        </w:rPr>
      </w:pPr>
    </w:p>
    <w:p>
      <w:pPr>
        <w:spacing w:line="600" w:lineRule="exact"/>
        <w:ind w:left="1600"/>
        <w:rPr>
          <w:rFonts w:ascii="Times New Roman" w:hAnsi="Times New Roman" w:eastAsia="方正仿宋_GBK" w:cs="Times New Roman"/>
          <w:color w:val="auto"/>
          <w:kern w:val="0"/>
          <w:sz w:val="32"/>
          <w:szCs w:val="32"/>
        </w:rPr>
      </w:pPr>
    </w:p>
    <w:p>
      <w:pPr>
        <w:spacing w:line="600" w:lineRule="exact"/>
        <w:ind w:left="1600"/>
        <w:rPr>
          <w:rFonts w:ascii="Times New Roman" w:hAnsi="Times New Roman" w:eastAsia="方正仿宋_GBK" w:cs="Times New Roman"/>
          <w:color w:val="auto"/>
          <w:kern w:val="0"/>
          <w:sz w:val="32"/>
          <w:szCs w:val="32"/>
        </w:rPr>
      </w:pPr>
    </w:p>
    <w:p>
      <w:pPr>
        <w:spacing w:line="600" w:lineRule="exact"/>
        <w:ind w:left="1600"/>
        <w:rPr>
          <w:rFonts w:ascii="Times New Roman" w:hAnsi="Times New Roman" w:eastAsia="方正仿宋_GBK" w:cs="Times New Roman"/>
          <w:color w:val="auto"/>
          <w:kern w:val="0"/>
          <w:sz w:val="32"/>
          <w:szCs w:val="32"/>
        </w:rPr>
      </w:pPr>
    </w:p>
    <w:p>
      <w:pPr>
        <w:spacing w:line="600" w:lineRule="exact"/>
        <w:ind w:left="1600"/>
        <w:rPr>
          <w:rFonts w:ascii="Times New Roman" w:hAnsi="Times New Roman" w:eastAsia="方正仿宋_GBK" w:cs="Times New Roman"/>
          <w:color w:val="auto"/>
          <w:kern w:val="0"/>
          <w:sz w:val="32"/>
          <w:szCs w:val="32"/>
        </w:rPr>
      </w:pPr>
    </w:p>
    <w:p>
      <w:pPr>
        <w:spacing w:line="600" w:lineRule="exact"/>
        <w:ind w:left="1600"/>
        <w:rPr>
          <w:rFonts w:ascii="Times New Roman" w:hAnsi="Times New Roman" w:eastAsia="方正仿宋_GBK" w:cs="Times New Roman"/>
          <w:color w:val="auto"/>
          <w:kern w:val="0"/>
          <w:sz w:val="32"/>
          <w:szCs w:val="32"/>
        </w:rPr>
      </w:pPr>
    </w:p>
    <w:p>
      <w:pPr>
        <w:spacing w:line="600" w:lineRule="exact"/>
        <w:ind w:left="1600"/>
        <w:rPr>
          <w:rFonts w:ascii="Times New Roman" w:hAnsi="Times New Roman" w:eastAsia="方正仿宋_GBK" w:cs="Times New Roman"/>
          <w:color w:val="auto"/>
          <w:kern w:val="0"/>
          <w:sz w:val="32"/>
          <w:szCs w:val="32"/>
        </w:rPr>
      </w:pPr>
    </w:p>
    <w:p>
      <w:pPr>
        <w:spacing w:line="600" w:lineRule="exact"/>
        <w:ind w:left="1600"/>
        <w:rPr>
          <w:rFonts w:ascii="Times New Roman" w:hAnsi="Times New Roman" w:eastAsia="方正仿宋_GBK" w:cs="Times New Roman"/>
          <w:color w:val="auto"/>
          <w:kern w:val="0"/>
          <w:sz w:val="32"/>
          <w:szCs w:val="32"/>
        </w:rPr>
      </w:pPr>
    </w:p>
    <w:p>
      <w:pPr>
        <w:rPr>
          <w:rFonts w:hint="eastAsia" w:ascii="黑体" w:hAnsi="黑体" w:eastAsia="黑体" w:cs="黑体"/>
          <w:sz w:val="24"/>
          <w:szCs w:val="32"/>
        </w:rPr>
      </w:pPr>
    </w:p>
    <w:p>
      <w:pPr>
        <w:rPr>
          <w:rFonts w:hint="eastAsia" w:ascii="黑体" w:hAnsi="黑体" w:eastAsia="黑体" w:cs="黑体"/>
          <w:sz w:val="24"/>
          <w:szCs w:val="32"/>
        </w:rPr>
      </w:pPr>
    </w:p>
    <w:tbl>
      <w:tblPr>
        <w:tblStyle w:val="9"/>
        <w:tblpPr w:leftFromText="180" w:rightFromText="180" w:vertAnchor="page" w:horzAnchor="page" w:tblpX="1042" w:tblpY="1263"/>
        <w:tblOverlap w:val="never"/>
        <w:tblW w:w="9960" w:type="dxa"/>
        <w:tblInd w:w="0" w:type="dxa"/>
        <w:tblLayout w:type="fixed"/>
        <w:tblCellMar>
          <w:top w:w="15" w:type="dxa"/>
          <w:left w:w="15" w:type="dxa"/>
          <w:bottom w:w="15" w:type="dxa"/>
          <w:right w:w="15" w:type="dxa"/>
        </w:tblCellMar>
      </w:tblPr>
      <w:tblGrid>
        <w:gridCol w:w="555"/>
        <w:gridCol w:w="300"/>
        <w:gridCol w:w="669"/>
        <w:gridCol w:w="576"/>
        <w:gridCol w:w="750"/>
        <w:gridCol w:w="209"/>
        <w:gridCol w:w="510"/>
        <w:gridCol w:w="57"/>
        <w:gridCol w:w="739"/>
        <w:gridCol w:w="620"/>
        <w:gridCol w:w="505"/>
        <w:gridCol w:w="470"/>
        <w:gridCol w:w="670"/>
        <w:gridCol w:w="375"/>
        <w:gridCol w:w="360"/>
        <w:gridCol w:w="797"/>
        <w:gridCol w:w="1798"/>
      </w:tblGrid>
      <w:tr>
        <w:tblPrEx>
          <w:tblCellMar>
            <w:top w:w="15" w:type="dxa"/>
            <w:left w:w="15" w:type="dxa"/>
            <w:bottom w:w="15" w:type="dxa"/>
            <w:right w:w="15" w:type="dxa"/>
          </w:tblCellMar>
        </w:tblPrEx>
        <w:trPr>
          <w:trHeight w:val="345" w:hRule="atLeast"/>
        </w:trPr>
        <w:tc>
          <w:tcPr>
            <w:tcW w:w="9960" w:type="dxa"/>
            <w:gridSpan w:val="17"/>
            <w:vAlign w:val="center"/>
          </w:tcPr>
          <w:p>
            <w:pPr>
              <w:spacing w:line="240" w:lineRule="exact"/>
              <w:jc w:val="left"/>
              <w:textAlignment w:val="center"/>
              <w:rPr>
                <w:rFonts w:hint="default" w:ascii="黑体" w:hAnsi="宋体" w:eastAsia="黑体"/>
                <w:color w:val="000000"/>
                <w:sz w:val="28"/>
                <w:szCs w:val="28"/>
                <w:lang w:val="en-US" w:eastAsia="zh-CN"/>
              </w:rPr>
            </w:pPr>
            <w:r>
              <w:rPr>
                <w:rFonts w:hint="eastAsia" w:ascii="方正黑体_GBK" w:hAnsi="方正黑体_GBK" w:eastAsia="方正黑体_GBK" w:cs="方正黑体_GBK"/>
                <w:color w:val="000000"/>
                <w:kern w:val="0"/>
                <w:sz w:val="30"/>
                <w:szCs w:val="30"/>
              </w:rPr>
              <w:t>附件</w:t>
            </w:r>
            <w:r>
              <w:rPr>
                <w:rFonts w:hint="eastAsia" w:ascii="方正黑体_GBK" w:hAnsi="方正黑体_GBK" w:eastAsia="方正黑体_GBK" w:cs="方正黑体_GBK"/>
                <w:color w:val="000000"/>
                <w:kern w:val="0"/>
                <w:sz w:val="30"/>
                <w:szCs w:val="30"/>
                <w:lang w:val="en-US" w:eastAsia="zh-CN"/>
              </w:rPr>
              <w:t>1</w:t>
            </w:r>
          </w:p>
        </w:tc>
      </w:tr>
      <w:tr>
        <w:tblPrEx>
          <w:tblCellMar>
            <w:top w:w="15" w:type="dxa"/>
            <w:left w:w="15" w:type="dxa"/>
            <w:bottom w:w="15" w:type="dxa"/>
            <w:right w:w="15" w:type="dxa"/>
          </w:tblCellMar>
        </w:tblPrEx>
        <w:trPr>
          <w:trHeight w:val="545" w:hRule="atLeast"/>
        </w:trPr>
        <w:tc>
          <w:tcPr>
            <w:tcW w:w="9960" w:type="dxa"/>
            <w:gridSpan w:val="17"/>
            <w:vAlign w:val="center"/>
          </w:tcPr>
          <w:p>
            <w:pPr>
              <w:spacing w:line="600" w:lineRule="exact"/>
              <w:jc w:val="center"/>
              <w:textAlignment w:val="center"/>
              <w:rPr>
                <w:rFonts w:hint="eastAsia" w:ascii="黑体" w:hAnsi="黑体" w:eastAsia="黑体" w:cs="黑体"/>
                <w:color w:val="000000"/>
                <w:sz w:val="40"/>
                <w:szCs w:val="40"/>
              </w:rPr>
            </w:pPr>
            <w:r>
              <w:rPr>
                <w:rFonts w:hint="eastAsia" w:ascii="方正小标宋_GBK" w:hAnsi="方正小标宋_GBK" w:eastAsia="方正小标宋_GBK" w:cs="方正小标宋_GBK"/>
                <w:color w:val="000000"/>
                <w:kern w:val="0"/>
                <w:sz w:val="40"/>
                <w:szCs w:val="40"/>
              </w:rPr>
              <w:t>丰都县人才公寓入住申请表</w:t>
            </w:r>
          </w:p>
        </w:tc>
      </w:tr>
      <w:tr>
        <w:tblPrEx>
          <w:tblCellMar>
            <w:top w:w="15" w:type="dxa"/>
            <w:left w:w="15" w:type="dxa"/>
            <w:bottom w:w="15" w:type="dxa"/>
            <w:right w:w="15" w:type="dxa"/>
          </w:tblCellMar>
        </w:tblPrEx>
        <w:trPr>
          <w:trHeight w:val="1074" w:hRule="atLeast"/>
        </w:trPr>
        <w:tc>
          <w:tcPr>
            <w:tcW w:w="9960" w:type="dxa"/>
            <w:gridSpan w:val="17"/>
            <w:vAlign w:val="center"/>
          </w:tcPr>
          <w:p>
            <w:pPr>
              <w:ind w:left="7199" w:leftChars="114" w:hanging="6960" w:hangingChars="2900"/>
              <w:jc w:val="right"/>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填表日期：    年   月   日</w:t>
            </w:r>
          </w:p>
          <w:p>
            <w:pPr>
              <w:ind w:left="7199" w:leftChars="114" w:hanging="6960" w:hangingChars="2900"/>
              <w:jc w:val="right"/>
              <w:textAlignment w:val="center"/>
              <w:rPr>
                <w:rFonts w:hint="eastAsia" w:ascii="黑体" w:hAnsi="黑体" w:eastAsia="黑体" w:cs="黑体"/>
                <w:color w:val="000000"/>
                <w:kern w:val="0"/>
                <w:sz w:val="24"/>
                <w:szCs w:val="24"/>
              </w:rPr>
            </w:pPr>
          </w:p>
          <w:p>
            <w:pPr>
              <w:jc w:val="left"/>
              <w:textAlignment w:val="center"/>
              <w:rPr>
                <w:rFonts w:hint="eastAsia" w:ascii="宋体" w:hAnsi="宋体" w:eastAsia="宋体" w:cs="宋体"/>
                <w:color w:val="000000"/>
                <w:kern w:val="0"/>
                <w:sz w:val="24"/>
                <w:szCs w:val="24"/>
              </w:rPr>
            </w:pPr>
            <w:r>
              <w:rPr>
                <w:rFonts w:hint="eastAsia" w:ascii="黑体" w:hAnsi="黑体" w:eastAsia="黑体" w:cs="黑体"/>
                <w:color w:val="000000"/>
                <w:kern w:val="0"/>
                <w:sz w:val="24"/>
                <w:szCs w:val="24"/>
              </w:rPr>
              <w:t xml:space="preserve">申请人类别：□持A卡、B卡及创新人才工程引进的优秀人才   </w:t>
            </w:r>
            <w:r>
              <w:rPr>
                <w:rFonts w:hint="eastAsia" w:ascii="黑体" w:hAnsi="黑体" w:eastAsia="黑体" w:cs="黑体"/>
                <w:color w:val="000000"/>
                <w:kern w:val="0"/>
                <w:sz w:val="24"/>
                <w:szCs w:val="24"/>
                <w:lang w:val="en-US" w:eastAsia="zh-CN"/>
              </w:rPr>
              <w:t xml:space="preserve">  </w:t>
            </w:r>
            <w:r>
              <w:rPr>
                <w:rFonts w:hint="eastAsia" w:ascii="黑体" w:hAnsi="黑体" w:eastAsia="黑体" w:cs="黑体"/>
                <w:color w:val="000000"/>
                <w:kern w:val="0"/>
                <w:sz w:val="24"/>
                <w:szCs w:val="24"/>
              </w:rPr>
              <w:t xml:space="preserve"> </w:t>
            </w:r>
            <w:r>
              <w:rPr>
                <w:rFonts w:hint="eastAsia" w:ascii="黑体" w:hAnsi="黑体" w:eastAsia="黑体" w:cs="黑体"/>
                <w:color w:val="000000"/>
                <w:kern w:val="0"/>
                <w:sz w:val="24"/>
                <w:szCs w:val="24"/>
                <w:lang w:val="en-US" w:eastAsia="zh-CN"/>
              </w:rPr>
              <w:t xml:space="preserve"> </w:t>
            </w:r>
            <w:r>
              <w:rPr>
                <w:rFonts w:hint="eastAsia" w:ascii="黑体" w:hAnsi="黑体" w:eastAsia="黑体" w:cs="黑体"/>
                <w:color w:val="000000"/>
                <w:kern w:val="0"/>
                <w:sz w:val="24"/>
                <w:szCs w:val="24"/>
              </w:rPr>
              <w:t xml:space="preserve"> □紧缺急需其他优秀人才</w:t>
            </w:r>
            <w:r>
              <w:rPr>
                <w:rFonts w:hint="eastAsia" w:ascii="宋体" w:hAnsi="宋体" w:eastAsia="宋体" w:cs="宋体"/>
                <w:color w:val="000000"/>
                <w:kern w:val="0"/>
                <w:sz w:val="24"/>
                <w:szCs w:val="24"/>
              </w:rPr>
              <w:t xml:space="preserve">                                                      </w:t>
            </w:r>
          </w:p>
        </w:tc>
      </w:tr>
      <w:tr>
        <w:tblPrEx>
          <w:tblCellMar>
            <w:top w:w="15" w:type="dxa"/>
            <w:left w:w="15" w:type="dxa"/>
            <w:bottom w:w="15" w:type="dxa"/>
            <w:right w:w="15" w:type="dxa"/>
          </w:tblCellMar>
        </w:tblPrEx>
        <w:trPr>
          <w:trHeight w:val="674" w:hRule="exact"/>
        </w:trPr>
        <w:tc>
          <w:tcPr>
            <w:tcW w:w="555" w:type="dxa"/>
            <w:vMerge w:val="restart"/>
            <w:tcBorders>
              <w:top w:val="single" w:color="000000" w:sz="4" w:space="0"/>
              <w:left w:val="single" w:color="000000" w:sz="4" w:space="0"/>
              <w:right w:val="single" w:color="000000" w:sz="4" w:space="0"/>
            </w:tcBorders>
            <w:textDirection w:val="tbRlV"/>
            <w:vAlign w:val="center"/>
          </w:tcPr>
          <w:p>
            <w:pPr>
              <w:jc w:val="center"/>
              <w:textAlignment w:val="center"/>
              <w:rPr>
                <w:rFonts w:hint="eastAsia" w:asciiTheme="minorEastAsia" w:hAnsiTheme="minorEastAsia" w:eastAsiaTheme="minorEastAsia" w:cstheme="minorEastAsia"/>
                <w:color w:val="000000"/>
                <w:sz w:val="26"/>
                <w:szCs w:val="26"/>
              </w:rPr>
            </w:pPr>
            <w:r>
              <w:rPr>
                <w:rFonts w:hint="eastAsia" w:ascii="黑体" w:hAnsi="黑体" w:eastAsia="黑体" w:cs="黑体"/>
                <w:color w:val="000000"/>
                <w:kern w:val="0"/>
                <w:sz w:val="28"/>
                <w:szCs w:val="28"/>
              </w:rPr>
              <w:t>申请人基本情况</w:t>
            </w: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color w:val="000000"/>
                <w:sz w:val="24"/>
              </w:rPr>
            </w:pPr>
            <w:r>
              <w:rPr>
                <w:rFonts w:hint="eastAsia" w:ascii="黑体" w:hAnsi="黑体" w:eastAsia="黑体" w:cs="黑体"/>
                <w:color w:val="000000"/>
                <w:kern w:val="0"/>
                <w:sz w:val="24"/>
              </w:rPr>
              <w:t>姓名</w:t>
            </w:r>
          </w:p>
        </w:tc>
        <w:tc>
          <w:tcPr>
            <w:tcW w:w="9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inorEastAsia" w:hAnsiTheme="minorEastAsia" w:eastAsiaTheme="minorEastAsia" w:cstheme="minorEastAsia"/>
                <w:sz w:val="24"/>
              </w:rPr>
            </w:pPr>
            <w:r>
              <w:rPr>
                <w:rFonts w:hint="eastAsia" w:ascii="黑体" w:hAnsi="黑体" w:eastAsia="黑体" w:cs="黑体"/>
                <w:kern w:val="0"/>
                <w:sz w:val="24"/>
              </w:rPr>
              <w:t>性别</w:t>
            </w:r>
          </w:p>
        </w:tc>
        <w:tc>
          <w:tcPr>
            <w:tcW w:w="7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rPr>
            </w:pPr>
            <w:r>
              <w:rPr>
                <w:rFonts w:hint="eastAsia" w:ascii="黑体" w:hAnsi="黑体" w:eastAsia="黑体" w:cs="黑体"/>
                <w:sz w:val="24"/>
              </w:rPr>
              <w:t>出生年月</w:t>
            </w:r>
          </w:p>
        </w:tc>
        <w:tc>
          <w:tcPr>
            <w:tcW w:w="2672"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1798"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asciiTheme="minorEastAsia" w:hAnsiTheme="minorEastAsia" w:eastAsiaTheme="minorEastAsia" w:cstheme="minorEastAsia"/>
                <w:sz w:val="24"/>
              </w:rPr>
            </w:pPr>
          </w:p>
        </w:tc>
      </w:tr>
      <w:tr>
        <w:tblPrEx>
          <w:tblCellMar>
            <w:top w:w="15" w:type="dxa"/>
            <w:left w:w="15" w:type="dxa"/>
            <w:bottom w:w="15" w:type="dxa"/>
            <w:right w:w="15" w:type="dxa"/>
          </w:tblCellMar>
        </w:tblPrEx>
        <w:trPr>
          <w:trHeight w:val="704" w:hRule="exact"/>
        </w:trPr>
        <w:tc>
          <w:tcPr>
            <w:tcW w:w="555" w:type="dxa"/>
            <w:vMerge w:val="continue"/>
            <w:tcBorders>
              <w:left w:val="single" w:color="000000" w:sz="4" w:space="0"/>
              <w:right w:val="single" w:color="000000" w:sz="4" w:space="0"/>
            </w:tcBorders>
            <w:textDirection w:val="tbRlV"/>
            <w:vAlign w:val="center"/>
          </w:tcPr>
          <w:p>
            <w:pPr>
              <w:jc w:val="center"/>
              <w:rPr>
                <w:rFonts w:hint="eastAsia" w:asciiTheme="minorEastAsia" w:hAnsiTheme="minorEastAsia" w:eastAsiaTheme="minorEastAsia" w:cstheme="minorEastAsia"/>
                <w:color w:val="000000"/>
                <w:sz w:val="26"/>
                <w:szCs w:val="26"/>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color w:val="000000"/>
                <w:kern w:val="0"/>
                <w:sz w:val="24"/>
              </w:rPr>
            </w:pPr>
            <w:r>
              <w:rPr>
                <w:rFonts w:hint="eastAsia" w:ascii="黑体" w:hAnsi="黑体" w:eastAsia="黑体" w:cs="黑体"/>
                <w:color w:val="000000"/>
                <w:kern w:val="0"/>
                <w:sz w:val="24"/>
              </w:rPr>
              <w:t>身份证号</w:t>
            </w:r>
          </w:p>
        </w:tc>
        <w:tc>
          <w:tcPr>
            <w:tcW w:w="2265" w:type="dxa"/>
            <w:gridSpan w:val="5"/>
            <w:tcBorders>
              <w:top w:val="single" w:color="000000" w:sz="4" w:space="0"/>
              <w:left w:val="single" w:color="000000" w:sz="4" w:space="0"/>
              <w:bottom w:val="single" w:color="000000"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125" w:type="dxa"/>
            <w:gridSpan w:val="2"/>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黑体" w:hAnsi="黑体" w:eastAsia="黑体" w:cs="黑体"/>
                <w:sz w:val="24"/>
              </w:rPr>
            </w:pPr>
            <w:r>
              <w:rPr>
                <w:rFonts w:hint="eastAsia" w:ascii="黑体" w:hAnsi="黑体" w:eastAsia="黑体" w:cs="黑体"/>
                <w:sz w:val="24"/>
              </w:rPr>
              <w:t>联系电话</w:t>
            </w:r>
          </w:p>
        </w:tc>
        <w:tc>
          <w:tcPr>
            <w:tcW w:w="2672" w:type="dxa"/>
            <w:gridSpan w:val="5"/>
            <w:tcBorders>
              <w:top w:val="single" w:color="000000" w:sz="4" w:space="0"/>
              <w:left w:val="single" w:color="auto"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1798" w:type="dxa"/>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r>
      <w:tr>
        <w:tblPrEx>
          <w:tblCellMar>
            <w:top w:w="15" w:type="dxa"/>
            <w:left w:w="15" w:type="dxa"/>
            <w:bottom w:w="15" w:type="dxa"/>
            <w:right w:w="15" w:type="dxa"/>
          </w:tblCellMar>
        </w:tblPrEx>
        <w:trPr>
          <w:trHeight w:val="658" w:hRule="exact"/>
        </w:trPr>
        <w:tc>
          <w:tcPr>
            <w:tcW w:w="555" w:type="dxa"/>
            <w:vMerge w:val="continue"/>
            <w:tcBorders>
              <w:left w:val="single" w:color="000000" w:sz="4" w:space="0"/>
              <w:right w:val="single" w:color="000000" w:sz="4" w:space="0"/>
            </w:tcBorders>
            <w:textDirection w:val="tbRlV"/>
            <w:vAlign w:val="center"/>
          </w:tcPr>
          <w:p>
            <w:pPr>
              <w:jc w:val="center"/>
              <w:rPr>
                <w:rFonts w:hint="eastAsia" w:asciiTheme="minorEastAsia" w:hAnsiTheme="minorEastAsia" w:eastAsiaTheme="minorEastAsia" w:cstheme="minorEastAsia"/>
                <w:color w:val="000000"/>
                <w:sz w:val="26"/>
                <w:szCs w:val="26"/>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color w:val="000000"/>
                <w:sz w:val="24"/>
              </w:rPr>
            </w:pPr>
            <w:r>
              <w:rPr>
                <w:rFonts w:hint="eastAsia" w:ascii="黑体" w:hAnsi="黑体" w:eastAsia="黑体" w:cs="黑体"/>
                <w:color w:val="000000"/>
                <w:sz w:val="24"/>
              </w:rPr>
              <w:t>工作单位</w:t>
            </w:r>
          </w:p>
          <w:p>
            <w:pPr>
              <w:jc w:val="center"/>
              <w:textAlignment w:val="center"/>
              <w:rPr>
                <w:rFonts w:hint="eastAsia" w:ascii="黑体" w:hAnsi="黑体" w:eastAsia="黑体" w:cs="黑体"/>
                <w:color w:val="000000"/>
                <w:sz w:val="24"/>
              </w:rPr>
            </w:pPr>
            <w:r>
              <w:rPr>
                <w:rFonts w:hint="eastAsia" w:ascii="黑体" w:hAnsi="黑体" w:eastAsia="黑体" w:cs="黑体"/>
                <w:color w:val="000000"/>
                <w:sz w:val="24"/>
              </w:rPr>
              <w:t>职务</w:t>
            </w:r>
          </w:p>
        </w:tc>
        <w:tc>
          <w:tcPr>
            <w:tcW w:w="2265" w:type="dxa"/>
            <w:gridSpan w:val="5"/>
            <w:tcBorders>
              <w:top w:val="single" w:color="000000" w:sz="4" w:space="0"/>
              <w:left w:val="single" w:color="000000" w:sz="4" w:space="0"/>
              <w:bottom w:val="single" w:color="000000"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125" w:type="dxa"/>
            <w:gridSpan w:val="2"/>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黑体" w:hAnsi="黑体" w:eastAsia="黑体" w:cs="黑体"/>
                <w:sz w:val="24"/>
              </w:rPr>
            </w:pPr>
            <w:r>
              <w:rPr>
                <w:rFonts w:hint="eastAsia" w:ascii="黑体" w:hAnsi="黑体" w:eastAsia="黑体" w:cs="黑体"/>
                <w:sz w:val="24"/>
              </w:rPr>
              <w:t>县城内</w:t>
            </w:r>
          </w:p>
          <w:p>
            <w:pPr>
              <w:jc w:val="center"/>
              <w:textAlignment w:val="center"/>
              <w:rPr>
                <w:rFonts w:hint="eastAsia" w:ascii="黑体" w:hAnsi="黑体" w:eastAsia="黑体" w:cs="黑体"/>
                <w:sz w:val="24"/>
              </w:rPr>
            </w:pPr>
            <w:r>
              <w:rPr>
                <w:rFonts w:hint="eastAsia" w:ascii="黑体" w:hAnsi="黑体" w:eastAsia="黑体" w:cs="黑体"/>
                <w:sz w:val="24"/>
              </w:rPr>
              <w:t>住房情况</w:t>
            </w:r>
          </w:p>
        </w:tc>
        <w:tc>
          <w:tcPr>
            <w:tcW w:w="2672" w:type="dxa"/>
            <w:gridSpan w:val="5"/>
            <w:tcBorders>
              <w:top w:val="single" w:color="000000" w:sz="4" w:space="0"/>
              <w:left w:val="single" w:color="auto"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1798" w:type="dxa"/>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r>
      <w:tr>
        <w:tblPrEx>
          <w:tblCellMar>
            <w:top w:w="15" w:type="dxa"/>
            <w:left w:w="15" w:type="dxa"/>
            <w:bottom w:w="15" w:type="dxa"/>
            <w:right w:w="15" w:type="dxa"/>
          </w:tblCellMar>
        </w:tblPrEx>
        <w:trPr>
          <w:trHeight w:val="699" w:hRule="exact"/>
        </w:trPr>
        <w:tc>
          <w:tcPr>
            <w:tcW w:w="555" w:type="dxa"/>
            <w:vMerge w:val="continue"/>
            <w:tcBorders>
              <w:left w:val="single" w:color="000000" w:sz="4" w:space="0"/>
              <w:right w:val="single" w:color="000000" w:sz="4" w:space="0"/>
            </w:tcBorders>
            <w:textDirection w:val="tbRlV"/>
            <w:vAlign w:val="center"/>
          </w:tcPr>
          <w:p>
            <w:pPr>
              <w:jc w:val="center"/>
              <w:rPr>
                <w:rFonts w:hint="eastAsia" w:asciiTheme="minorEastAsia" w:hAnsiTheme="minorEastAsia" w:eastAsiaTheme="minorEastAsia" w:cstheme="minorEastAsia"/>
                <w:color w:val="000000"/>
                <w:sz w:val="26"/>
                <w:szCs w:val="26"/>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color w:val="000000"/>
                <w:sz w:val="24"/>
              </w:rPr>
            </w:pPr>
            <w:r>
              <w:rPr>
                <w:rFonts w:hint="eastAsia" w:ascii="黑体" w:hAnsi="黑体" w:eastAsia="黑体" w:cs="黑体"/>
                <w:color w:val="000000"/>
                <w:sz w:val="24"/>
              </w:rPr>
              <w:t>专业技术或技能等级</w:t>
            </w:r>
          </w:p>
        </w:tc>
        <w:tc>
          <w:tcPr>
            <w:tcW w:w="2265" w:type="dxa"/>
            <w:gridSpan w:val="5"/>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hint="eastAsia" w:asciiTheme="minorEastAsia" w:hAnsiTheme="minorEastAsia" w:eastAsiaTheme="minorEastAsia" w:cstheme="minorEastAsia"/>
                <w:sz w:val="24"/>
              </w:rPr>
            </w:pPr>
          </w:p>
        </w:tc>
        <w:tc>
          <w:tcPr>
            <w:tcW w:w="1125"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hint="eastAsia" w:ascii="黑体" w:hAnsi="黑体" w:eastAsia="黑体" w:cs="黑体"/>
                <w:sz w:val="24"/>
              </w:rPr>
            </w:pPr>
            <w:r>
              <w:rPr>
                <w:rFonts w:hint="eastAsia" w:ascii="黑体" w:hAnsi="黑体" w:eastAsia="黑体" w:cs="黑体"/>
                <w:sz w:val="24"/>
              </w:rPr>
              <w:t>来丰都县工作年月</w:t>
            </w:r>
          </w:p>
        </w:tc>
        <w:tc>
          <w:tcPr>
            <w:tcW w:w="1140"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735"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hint="eastAsia" w:ascii="黑体" w:hAnsi="黑体" w:eastAsia="黑体" w:cs="黑体"/>
                <w:sz w:val="24"/>
              </w:rPr>
            </w:pPr>
            <w:r>
              <w:rPr>
                <w:rFonts w:hint="eastAsia" w:ascii="黑体" w:hAnsi="黑体" w:eastAsia="黑体" w:cs="黑体"/>
                <w:sz w:val="24"/>
              </w:rPr>
              <w:t>婚否</w:t>
            </w:r>
            <w:r>
              <w:rPr>
                <w:rFonts w:hint="eastAsia" w:ascii="黑体" w:hAnsi="黑体" w:eastAsia="黑体" w:cs="黑体"/>
                <w:kern w:val="0"/>
                <w:sz w:val="24"/>
              </w:rPr>
              <w:t xml:space="preserve">  </w:t>
            </w:r>
          </w:p>
        </w:tc>
        <w:tc>
          <w:tcPr>
            <w:tcW w:w="797"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黑体" w:hAnsi="黑体" w:eastAsia="黑体" w:cs="黑体"/>
                <w:kern w:val="0"/>
                <w:sz w:val="24"/>
              </w:rPr>
            </w:pPr>
            <w:r>
              <w:rPr>
                <w:rFonts w:hint="eastAsia" w:ascii="黑体" w:hAnsi="黑体" w:eastAsia="黑体" w:cs="黑体"/>
                <w:kern w:val="0"/>
                <w:sz w:val="24"/>
              </w:rPr>
              <w:t xml:space="preserve">□是  </w:t>
            </w:r>
          </w:p>
          <w:p>
            <w:pPr>
              <w:jc w:val="center"/>
              <w:rPr>
                <w:rFonts w:hint="eastAsia" w:ascii="黑体" w:hAnsi="黑体" w:eastAsia="黑体" w:cs="黑体"/>
                <w:sz w:val="24"/>
              </w:rPr>
            </w:pPr>
            <w:r>
              <w:rPr>
                <w:rFonts w:hint="eastAsia" w:ascii="黑体" w:hAnsi="黑体" w:eastAsia="黑体" w:cs="黑体"/>
                <w:kern w:val="0"/>
                <w:sz w:val="24"/>
              </w:rPr>
              <w:t>□否</w:t>
            </w:r>
          </w:p>
        </w:tc>
        <w:tc>
          <w:tcPr>
            <w:tcW w:w="1798" w:type="dxa"/>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r>
      <w:tr>
        <w:tblPrEx>
          <w:tblCellMar>
            <w:top w:w="15" w:type="dxa"/>
            <w:left w:w="15" w:type="dxa"/>
            <w:bottom w:w="15" w:type="dxa"/>
            <w:right w:w="15" w:type="dxa"/>
          </w:tblCellMar>
        </w:tblPrEx>
        <w:trPr>
          <w:trHeight w:val="689" w:hRule="exact"/>
        </w:trPr>
        <w:tc>
          <w:tcPr>
            <w:tcW w:w="555" w:type="dxa"/>
            <w:vMerge w:val="continue"/>
            <w:tcBorders>
              <w:left w:val="single" w:color="000000" w:sz="4" w:space="0"/>
              <w:right w:val="single" w:color="000000" w:sz="4" w:space="0"/>
            </w:tcBorders>
            <w:textDirection w:val="tbRlV"/>
            <w:vAlign w:val="center"/>
          </w:tcPr>
          <w:p>
            <w:pPr>
              <w:jc w:val="center"/>
              <w:rPr>
                <w:rFonts w:hint="eastAsia" w:asciiTheme="minorEastAsia" w:hAnsiTheme="minorEastAsia" w:eastAsiaTheme="minorEastAsia" w:cstheme="minorEastAsia"/>
                <w:color w:val="000000"/>
                <w:sz w:val="26"/>
                <w:szCs w:val="26"/>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z w:val="24"/>
              </w:rPr>
            </w:pPr>
            <w:r>
              <w:rPr>
                <w:rFonts w:hint="eastAsia" w:ascii="黑体" w:hAnsi="黑体" w:eastAsia="黑体" w:cs="黑体"/>
                <w:sz w:val="24"/>
              </w:rPr>
              <w:t>学历</w:t>
            </w:r>
          </w:p>
          <w:p>
            <w:pPr>
              <w:spacing w:line="300" w:lineRule="exact"/>
              <w:jc w:val="center"/>
              <w:textAlignment w:val="center"/>
              <w:rPr>
                <w:rFonts w:hint="eastAsia" w:ascii="黑体" w:hAnsi="黑体" w:eastAsia="黑体" w:cs="黑体"/>
                <w:color w:val="000000"/>
                <w:sz w:val="24"/>
              </w:rPr>
            </w:pPr>
            <w:r>
              <w:rPr>
                <w:rFonts w:hint="eastAsia" w:ascii="黑体" w:hAnsi="黑体" w:eastAsia="黑体" w:cs="黑体"/>
                <w:sz w:val="24"/>
              </w:rPr>
              <w:t>学位</w:t>
            </w:r>
          </w:p>
        </w:tc>
        <w:tc>
          <w:tcPr>
            <w:tcW w:w="2265" w:type="dxa"/>
            <w:gridSpan w:val="5"/>
            <w:tcBorders>
              <w:top w:val="single" w:color="000000" w:sz="4" w:space="0"/>
              <w:left w:val="single" w:color="000000" w:sz="4" w:space="0"/>
              <w:bottom w:val="single" w:color="000000"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125" w:type="dxa"/>
            <w:gridSpan w:val="2"/>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毕业院校及专业</w:t>
            </w:r>
          </w:p>
        </w:tc>
        <w:tc>
          <w:tcPr>
            <w:tcW w:w="4470" w:type="dxa"/>
            <w:gridSpan w:val="6"/>
            <w:tcBorders>
              <w:top w:val="single" w:color="000000" w:sz="4" w:space="0"/>
              <w:left w:val="single" w:color="auto" w:sz="4" w:space="0"/>
              <w:bottom w:val="single" w:color="000000" w:sz="4" w:space="0"/>
              <w:right w:val="single" w:color="000000" w:sz="4" w:space="0"/>
            </w:tcBorders>
            <w:vAlign w:val="center"/>
          </w:tcPr>
          <w:p>
            <w:pPr>
              <w:tabs>
                <w:tab w:val="left" w:pos="540"/>
              </w:tabs>
              <w:jc w:val="left"/>
              <w:rPr>
                <w:rFonts w:hint="eastAsia" w:asciiTheme="minorEastAsia" w:hAnsiTheme="minorEastAsia" w:eastAsiaTheme="minorEastAsia" w:cstheme="minorEastAsia"/>
                <w:sz w:val="24"/>
              </w:rPr>
            </w:pPr>
          </w:p>
        </w:tc>
      </w:tr>
      <w:tr>
        <w:tblPrEx>
          <w:tblCellMar>
            <w:top w:w="15" w:type="dxa"/>
            <w:left w:w="15" w:type="dxa"/>
            <w:bottom w:w="15" w:type="dxa"/>
            <w:right w:w="15" w:type="dxa"/>
          </w:tblCellMar>
        </w:tblPrEx>
        <w:trPr>
          <w:trHeight w:val="2279" w:hRule="atLeast"/>
        </w:trPr>
        <w:tc>
          <w:tcPr>
            <w:tcW w:w="555" w:type="dxa"/>
            <w:vMerge w:val="continue"/>
            <w:tcBorders>
              <w:left w:val="single" w:color="000000" w:sz="4" w:space="0"/>
              <w:bottom w:val="single" w:color="auto" w:sz="4" w:space="0"/>
              <w:right w:val="single" w:color="000000" w:sz="4" w:space="0"/>
            </w:tcBorders>
            <w:textDirection w:val="tbRlV"/>
            <w:vAlign w:val="center"/>
          </w:tcPr>
          <w:p>
            <w:pPr>
              <w:jc w:val="center"/>
              <w:rPr>
                <w:rFonts w:hint="eastAsia" w:asciiTheme="minorEastAsia" w:hAnsiTheme="minorEastAsia" w:eastAsiaTheme="minorEastAsia" w:cstheme="minorEastAsia"/>
                <w:color w:val="000000"/>
                <w:sz w:val="26"/>
                <w:szCs w:val="26"/>
              </w:rPr>
            </w:pPr>
          </w:p>
        </w:tc>
        <w:tc>
          <w:tcPr>
            <w:tcW w:w="1545" w:type="dxa"/>
            <w:gridSpan w:val="3"/>
            <w:tcBorders>
              <w:top w:val="single" w:color="000000" w:sz="4" w:space="0"/>
              <w:left w:val="single" w:color="000000" w:sz="4" w:space="0"/>
              <w:right w:val="single" w:color="000000" w:sz="4" w:space="0"/>
            </w:tcBorders>
            <w:vAlign w:val="center"/>
          </w:tcPr>
          <w:p>
            <w:pPr>
              <w:jc w:val="center"/>
              <w:textAlignment w:val="center"/>
              <w:rPr>
                <w:rFonts w:hint="eastAsia" w:ascii="黑体" w:hAnsi="黑体" w:eastAsia="黑体" w:cs="黑体"/>
                <w:color w:val="000000"/>
                <w:sz w:val="24"/>
              </w:rPr>
            </w:pPr>
            <w:r>
              <w:rPr>
                <w:rFonts w:hint="eastAsia" w:ascii="黑体" w:hAnsi="黑体" w:eastAsia="黑体" w:cs="黑体"/>
                <w:color w:val="000000"/>
                <w:sz w:val="21"/>
                <w:szCs w:val="21"/>
              </w:rPr>
              <w:t>主持省部级以上研究课题，获得市级以上科研奖励，拥有的专利，认定为市级人才平台领衔专家等体现优秀性情况</w:t>
            </w:r>
          </w:p>
        </w:tc>
        <w:tc>
          <w:tcPr>
            <w:tcW w:w="7860" w:type="dxa"/>
            <w:gridSpan w:val="13"/>
            <w:tcBorders>
              <w:top w:val="single" w:color="000000" w:sz="4" w:space="0"/>
              <w:left w:val="single" w:color="000000" w:sz="4" w:space="0"/>
              <w:right w:val="single" w:color="000000" w:sz="4" w:space="0"/>
            </w:tcBorders>
            <w:vAlign w:val="center"/>
          </w:tcPr>
          <w:p>
            <w:pPr>
              <w:jc w:val="center"/>
              <w:textAlignment w:val="center"/>
              <w:rPr>
                <w:rFonts w:hint="eastAsia" w:asciiTheme="minorEastAsia" w:hAnsiTheme="minorEastAsia" w:eastAsiaTheme="minorEastAsia" w:cstheme="minorEastAsia"/>
                <w:sz w:val="24"/>
              </w:rPr>
            </w:pPr>
          </w:p>
        </w:tc>
      </w:tr>
      <w:tr>
        <w:tblPrEx>
          <w:tblCellMar>
            <w:top w:w="15" w:type="dxa"/>
            <w:left w:w="15" w:type="dxa"/>
            <w:bottom w:w="15" w:type="dxa"/>
            <w:right w:w="15" w:type="dxa"/>
          </w:tblCellMar>
        </w:tblPrEx>
        <w:trPr>
          <w:trHeight w:val="684" w:hRule="exact"/>
        </w:trPr>
        <w:tc>
          <w:tcPr>
            <w:tcW w:w="555" w:type="dxa"/>
            <w:vMerge w:val="restart"/>
            <w:tcBorders>
              <w:top w:val="single" w:color="auto" w:sz="4" w:space="0"/>
              <w:left w:val="single" w:color="000000" w:sz="4" w:space="0"/>
              <w:right w:val="single" w:color="000000" w:sz="4" w:space="0"/>
            </w:tcBorders>
            <w:textDirection w:val="tbRlV"/>
            <w:vAlign w:val="center"/>
          </w:tcPr>
          <w:p>
            <w:pPr>
              <w:jc w:val="center"/>
              <w:textAlignment w:val="center"/>
              <w:rPr>
                <w:rFonts w:hint="eastAsia" w:asciiTheme="minorEastAsia" w:hAnsiTheme="minorEastAsia" w:eastAsiaTheme="minorEastAsia" w:cstheme="minorEastAsia"/>
                <w:color w:val="FF0000"/>
                <w:sz w:val="26"/>
                <w:szCs w:val="26"/>
              </w:rPr>
            </w:pPr>
            <w:r>
              <w:rPr>
                <w:rFonts w:hint="eastAsia" w:ascii="黑体" w:hAnsi="黑体" w:eastAsia="黑体" w:cs="黑体"/>
                <w:kern w:val="0"/>
                <w:sz w:val="28"/>
                <w:szCs w:val="28"/>
                <w:lang w:eastAsia="zh-CN"/>
              </w:rPr>
              <w:t>家庭成员</w:t>
            </w:r>
            <w:r>
              <w:rPr>
                <w:rFonts w:hint="eastAsia" w:ascii="黑体" w:hAnsi="黑体" w:eastAsia="黑体" w:cs="黑体"/>
                <w:kern w:val="0"/>
                <w:sz w:val="28"/>
                <w:szCs w:val="28"/>
              </w:rPr>
              <w:t>情况</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rPr>
            </w:pPr>
            <w:r>
              <w:rPr>
                <w:rFonts w:hint="eastAsia" w:ascii="黑体" w:hAnsi="黑体" w:eastAsia="黑体" w:cs="黑体"/>
                <w:kern w:val="0"/>
                <w:sz w:val="24"/>
              </w:rPr>
              <w:t>称谓</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rPr>
            </w:pPr>
            <w:r>
              <w:rPr>
                <w:rFonts w:hint="eastAsia" w:ascii="黑体" w:hAnsi="黑体" w:eastAsia="黑体" w:cs="黑体"/>
                <w:kern w:val="0"/>
                <w:sz w:val="24"/>
              </w:rPr>
              <w:t>姓名</w:t>
            </w:r>
          </w:p>
        </w:tc>
        <w:tc>
          <w:tcPr>
            <w:tcW w:w="719"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rPr>
            </w:pPr>
            <w:r>
              <w:rPr>
                <w:rFonts w:hint="eastAsia" w:ascii="黑体" w:hAnsi="黑体" w:eastAsia="黑体" w:cs="黑体"/>
                <w:kern w:val="0"/>
                <w:sz w:val="24"/>
              </w:rPr>
              <w:t>年龄</w:t>
            </w:r>
          </w:p>
        </w:tc>
        <w:tc>
          <w:tcPr>
            <w:tcW w:w="3436" w:type="dxa"/>
            <w:gridSpan w:val="7"/>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rPr>
            </w:pPr>
            <w:r>
              <w:rPr>
                <w:rFonts w:hint="eastAsia" w:ascii="黑体" w:hAnsi="黑体" w:eastAsia="黑体" w:cs="黑体"/>
                <w:kern w:val="0"/>
                <w:sz w:val="24"/>
              </w:rPr>
              <w:t>身份证号码</w:t>
            </w:r>
          </w:p>
        </w:tc>
        <w:tc>
          <w:tcPr>
            <w:tcW w:w="295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rPr>
            </w:pPr>
            <w:r>
              <w:rPr>
                <w:rFonts w:hint="eastAsia" w:ascii="黑体" w:hAnsi="黑体" w:eastAsia="黑体" w:cs="黑体"/>
                <w:kern w:val="0"/>
                <w:sz w:val="24"/>
              </w:rPr>
              <w:t>工作单位</w:t>
            </w:r>
          </w:p>
        </w:tc>
      </w:tr>
      <w:tr>
        <w:tblPrEx>
          <w:tblCellMar>
            <w:top w:w="15" w:type="dxa"/>
            <w:left w:w="15" w:type="dxa"/>
            <w:bottom w:w="15" w:type="dxa"/>
            <w:right w:w="15" w:type="dxa"/>
          </w:tblCellMar>
        </w:tblPrEx>
        <w:trPr>
          <w:trHeight w:val="679" w:hRule="exact"/>
        </w:trPr>
        <w:tc>
          <w:tcPr>
            <w:tcW w:w="555" w:type="dxa"/>
            <w:vMerge w:val="continue"/>
            <w:tcBorders>
              <w:left w:val="single" w:color="000000" w:sz="4" w:space="0"/>
              <w:right w:val="single" w:color="000000" w:sz="4" w:space="0"/>
            </w:tcBorders>
            <w:textDirection w:val="tbRlV"/>
            <w:vAlign w:val="center"/>
          </w:tcPr>
          <w:p>
            <w:pPr>
              <w:jc w:val="center"/>
              <w:rPr>
                <w:rFonts w:hint="eastAsia" w:asciiTheme="minorEastAsia" w:hAnsiTheme="minorEastAsia" w:eastAsiaTheme="minorEastAsia" w:cstheme="minorEastAsia"/>
                <w:color w:val="000000"/>
                <w:sz w:val="26"/>
                <w:szCs w:val="26"/>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7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3436"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29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r>
      <w:tr>
        <w:tblPrEx>
          <w:tblCellMar>
            <w:top w:w="15" w:type="dxa"/>
            <w:left w:w="15" w:type="dxa"/>
            <w:bottom w:w="15" w:type="dxa"/>
            <w:right w:w="15" w:type="dxa"/>
          </w:tblCellMar>
        </w:tblPrEx>
        <w:trPr>
          <w:trHeight w:val="694" w:hRule="exact"/>
        </w:trPr>
        <w:tc>
          <w:tcPr>
            <w:tcW w:w="555" w:type="dxa"/>
            <w:vMerge w:val="continue"/>
            <w:tcBorders>
              <w:left w:val="single" w:color="000000" w:sz="4" w:space="0"/>
              <w:right w:val="single" w:color="000000" w:sz="4" w:space="0"/>
            </w:tcBorders>
            <w:textDirection w:val="tbRlV"/>
            <w:vAlign w:val="center"/>
          </w:tcPr>
          <w:p>
            <w:pPr>
              <w:jc w:val="center"/>
              <w:rPr>
                <w:rFonts w:hint="eastAsia" w:asciiTheme="minorEastAsia" w:hAnsiTheme="minorEastAsia" w:eastAsiaTheme="minorEastAsia" w:cstheme="minorEastAsia"/>
                <w:color w:val="000000"/>
                <w:sz w:val="26"/>
                <w:szCs w:val="26"/>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7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3436"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29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r>
      <w:tr>
        <w:tblPrEx>
          <w:tblCellMar>
            <w:top w:w="15" w:type="dxa"/>
            <w:left w:w="15" w:type="dxa"/>
            <w:bottom w:w="15" w:type="dxa"/>
            <w:right w:w="15" w:type="dxa"/>
          </w:tblCellMar>
        </w:tblPrEx>
        <w:trPr>
          <w:trHeight w:val="694" w:hRule="exact"/>
        </w:trPr>
        <w:tc>
          <w:tcPr>
            <w:tcW w:w="555" w:type="dxa"/>
            <w:vMerge w:val="continue"/>
            <w:tcBorders>
              <w:left w:val="single" w:color="000000" w:sz="4" w:space="0"/>
              <w:right w:val="single" w:color="000000" w:sz="4" w:space="0"/>
            </w:tcBorders>
            <w:textDirection w:val="tbRlV"/>
            <w:vAlign w:val="center"/>
          </w:tcPr>
          <w:p>
            <w:pPr>
              <w:jc w:val="center"/>
              <w:rPr>
                <w:rFonts w:hint="eastAsia" w:asciiTheme="minorEastAsia" w:hAnsiTheme="minorEastAsia" w:eastAsiaTheme="minorEastAsia" w:cstheme="minorEastAsia"/>
                <w:color w:val="000000"/>
                <w:sz w:val="26"/>
                <w:szCs w:val="26"/>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7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3436"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29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r>
      <w:tr>
        <w:tblPrEx>
          <w:tblCellMar>
            <w:top w:w="15" w:type="dxa"/>
            <w:left w:w="15" w:type="dxa"/>
            <w:bottom w:w="15" w:type="dxa"/>
            <w:right w:w="15" w:type="dxa"/>
          </w:tblCellMar>
        </w:tblPrEx>
        <w:trPr>
          <w:trHeight w:val="634" w:hRule="exact"/>
        </w:trPr>
        <w:tc>
          <w:tcPr>
            <w:tcW w:w="555" w:type="dxa"/>
            <w:vMerge w:val="continue"/>
            <w:tcBorders>
              <w:left w:val="single" w:color="000000" w:sz="4" w:space="0"/>
              <w:right w:val="single" w:color="000000" w:sz="4" w:space="0"/>
            </w:tcBorders>
            <w:textDirection w:val="tbRlV"/>
            <w:vAlign w:val="center"/>
          </w:tcPr>
          <w:p>
            <w:pPr>
              <w:jc w:val="center"/>
              <w:rPr>
                <w:rFonts w:hint="eastAsia" w:asciiTheme="minorEastAsia" w:hAnsiTheme="minorEastAsia" w:eastAsiaTheme="minorEastAsia" w:cstheme="minorEastAsia"/>
                <w:color w:val="000000"/>
                <w:sz w:val="26"/>
                <w:szCs w:val="26"/>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7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3436"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29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r>
      <w:tr>
        <w:tblPrEx>
          <w:tblCellMar>
            <w:top w:w="15" w:type="dxa"/>
            <w:left w:w="15" w:type="dxa"/>
            <w:bottom w:w="15" w:type="dxa"/>
            <w:right w:w="15" w:type="dxa"/>
          </w:tblCellMar>
        </w:tblPrEx>
        <w:trPr>
          <w:trHeight w:val="634" w:hRule="exact"/>
        </w:trPr>
        <w:tc>
          <w:tcPr>
            <w:tcW w:w="555" w:type="dxa"/>
            <w:vMerge w:val="continue"/>
            <w:tcBorders>
              <w:left w:val="single" w:color="000000" w:sz="4" w:space="0"/>
              <w:right w:val="single" w:color="000000" w:sz="4" w:space="0"/>
            </w:tcBorders>
            <w:textDirection w:val="tbRlV"/>
            <w:vAlign w:val="center"/>
          </w:tcPr>
          <w:p>
            <w:pPr>
              <w:jc w:val="center"/>
              <w:rPr>
                <w:rFonts w:hint="eastAsia" w:asciiTheme="minorEastAsia" w:hAnsiTheme="minorEastAsia" w:eastAsiaTheme="minorEastAsia" w:cstheme="minorEastAsia"/>
                <w:color w:val="000000"/>
                <w:sz w:val="26"/>
                <w:szCs w:val="26"/>
              </w:rPr>
            </w:pPr>
          </w:p>
          <w:p>
            <w:pPr>
              <w:jc w:val="center"/>
              <w:rPr>
                <w:rFonts w:hint="eastAsia" w:asciiTheme="minorEastAsia" w:hAnsiTheme="minorEastAsia" w:eastAsiaTheme="minorEastAsia" w:cstheme="minorEastAsia"/>
                <w:color w:val="000000"/>
                <w:sz w:val="26"/>
                <w:szCs w:val="26"/>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7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3436"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29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r>
      <w:tr>
        <w:tblPrEx>
          <w:tblCellMar>
            <w:top w:w="15" w:type="dxa"/>
            <w:left w:w="15" w:type="dxa"/>
            <w:bottom w:w="15" w:type="dxa"/>
            <w:right w:w="15" w:type="dxa"/>
          </w:tblCellMar>
        </w:tblPrEx>
        <w:trPr>
          <w:trHeight w:val="659" w:hRule="exact"/>
        </w:trPr>
        <w:tc>
          <w:tcPr>
            <w:tcW w:w="555" w:type="dxa"/>
            <w:vMerge w:val="continue"/>
            <w:tcBorders>
              <w:left w:val="single" w:color="000000" w:sz="4" w:space="0"/>
              <w:bottom w:val="single" w:color="auto" w:sz="4" w:space="0"/>
              <w:right w:val="single" w:color="000000" w:sz="4" w:space="0"/>
            </w:tcBorders>
            <w:textDirection w:val="tbRlV"/>
            <w:vAlign w:val="center"/>
          </w:tcPr>
          <w:p>
            <w:pPr>
              <w:jc w:val="center"/>
              <w:rPr>
                <w:rFonts w:hint="eastAsia" w:asciiTheme="minorEastAsia" w:hAnsiTheme="minorEastAsia" w:eastAsiaTheme="minorEastAsia" w:cstheme="minorEastAsia"/>
                <w:color w:val="000000"/>
                <w:sz w:val="26"/>
                <w:szCs w:val="26"/>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7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3436"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c>
          <w:tcPr>
            <w:tcW w:w="29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4"/>
              </w:rPr>
            </w:pPr>
          </w:p>
        </w:tc>
      </w:tr>
      <w:tr>
        <w:tblPrEx>
          <w:tblCellMar>
            <w:top w:w="15" w:type="dxa"/>
            <w:left w:w="15" w:type="dxa"/>
            <w:bottom w:w="15" w:type="dxa"/>
            <w:right w:w="15" w:type="dxa"/>
          </w:tblCellMar>
        </w:tblPrEx>
        <w:trPr>
          <w:cantSplit/>
          <w:trHeight w:val="3313" w:hRule="exact"/>
        </w:trPr>
        <w:tc>
          <w:tcPr>
            <w:tcW w:w="855" w:type="dxa"/>
            <w:gridSpan w:val="2"/>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hint="eastAsia" w:asciiTheme="minorEastAsia" w:hAnsiTheme="minorEastAsia" w:eastAsiaTheme="minorEastAsia" w:cstheme="minorEastAsia"/>
                <w:kern w:val="0"/>
                <w:sz w:val="24"/>
              </w:rPr>
            </w:pPr>
            <w:r>
              <w:rPr>
                <w:rFonts w:hint="eastAsia" w:ascii="黑体" w:hAnsi="黑体" w:eastAsia="黑体" w:cs="黑体"/>
                <w:kern w:val="0"/>
                <w:sz w:val="24"/>
              </w:rPr>
              <w:t>申请人承诺</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6"/>
                <w:szCs w:val="26"/>
              </w:rPr>
              <w:t xml:space="preserve">          </w:t>
            </w:r>
          </w:p>
        </w:tc>
        <w:tc>
          <w:tcPr>
            <w:tcW w:w="9105" w:type="dxa"/>
            <w:gridSpan w:val="15"/>
            <w:tcBorders>
              <w:top w:val="single" w:color="000000" w:sz="4" w:space="0"/>
              <w:left w:val="single" w:color="auto" w:sz="4" w:space="0"/>
              <w:bottom w:val="single" w:color="000000" w:sz="4" w:space="0"/>
              <w:right w:val="single" w:color="000000" w:sz="4" w:space="0"/>
            </w:tcBorders>
            <w:vAlign w:val="center"/>
          </w:tcPr>
          <w:p>
            <w:pPr>
              <w:ind w:firstLine="480" w:firstLineChars="200"/>
              <w:jc w:val="left"/>
              <w:textAlignment w:val="center"/>
              <w:rPr>
                <w:rFonts w:hint="eastAsia" w:ascii="黑体" w:hAnsi="黑体" w:eastAsia="黑体" w:cs="黑体"/>
                <w:kern w:val="0"/>
                <w:sz w:val="24"/>
              </w:rPr>
            </w:pPr>
            <w:r>
              <w:rPr>
                <w:rFonts w:hint="eastAsia" w:ascii="黑体" w:hAnsi="黑体" w:eastAsia="黑体" w:cs="黑体"/>
                <w:kern w:val="0"/>
                <w:sz w:val="24"/>
              </w:rPr>
              <w:t>申请人及共同申请人承诺严格遵守《丰都县人才公寓使用管理办法（试行）》有关规定，对所提供资料的真实性负责。</w:t>
            </w:r>
          </w:p>
          <w:p>
            <w:pPr>
              <w:ind w:firstLine="480" w:firstLineChars="200"/>
              <w:jc w:val="left"/>
              <w:textAlignment w:val="center"/>
              <w:rPr>
                <w:rFonts w:hint="eastAsia" w:ascii="黑体" w:hAnsi="黑体" w:eastAsia="黑体" w:cs="黑体"/>
                <w:kern w:val="0"/>
                <w:sz w:val="24"/>
              </w:rPr>
            </w:pPr>
          </w:p>
          <w:p>
            <w:pPr>
              <w:jc w:val="left"/>
              <w:textAlignment w:val="center"/>
              <w:rPr>
                <w:rFonts w:hint="eastAsia" w:ascii="黑体" w:hAnsi="黑体" w:eastAsia="黑体" w:cs="黑体"/>
                <w:kern w:val="0"/>
                <w:sz w:val="24"/>
              </w:rPr>
            </w:pPr>
          </w:p>
          <w:p>
            <w:pPr>
              <w:ind w:left="1920" w:hanging="1920" w:hangingChars="800"/>
              <w:jc w:val="left"/>
              <w:textAlignment w:val="center"/>
              <w:rPr>
                <w:rFonts w:hint="eastAsia" w:ascii="黑体" w:hAnsi="黑体" w:eastAsia="黑体" w:cs="黑体"/>
                <w:kern w:val="0"/>
                <w:sz w:val="24"/>
              </w:rPr>
            </w:pPr>
          </w:p>
          <w:p>
            <w:pPr>
              <w:ind w:left="1920" w:hanging="1920" w:hangingChars="800"/>
              <w:textAlignment w:val="center"/>
              <w:rPr>
                <w:rFonts w:hint="eastAsia" w:asciiTheme="minorEastAsia" w:hAnsiTheme="minorEastAsia" w:eastAsiaTheme="minorEastAsia" w:cstheme="minorEastAsia"/>
                <w:kern w:val="0"/>
                <w:sz w:val="24"/>
              </w:rPr>
            </w:pPr>
            <w:r>
              <w:rPr>
                <w:rFonts w:hint="eastAsia" w:ascii="黑体" w:hAnsi="黑体" w:eastAsia="黑体" w:cs="黑体"/>
                <w:kern w:val="0"/>
                <w:sz w:val="24"/>
              </w:rPr>
              <w:t>申请人（签字）：                                    年   月   日</w:t>
            </w:r>
          </w:p>
        </w:tc>
      </w:tr>
      <w:tr>
        <w:tblPrEx>
          <w:tblCellMar>
            <w:top w:w="15" w:type="dxa"/>
            <w:left w:w="15" w:type="dxa"/>
            <w:bottom w:w="15" w:type="dxa"/>
            <w:right w:w="15" w:type="dxa"/>
          </w:tblCellMar>
        </w:tblPrEx>
        <w:trPr>
          <w:cantSplit/>
          <w:trHeight w:val="3575" w:hRule="exact"/>
        </w:trPr>
        <w:tc>
          <w:tcPr>
            <w:tcW w:w="855" w:type="dxa"/>
            <w:gridSpan w:val="2"/>
            <w:tcBorders>
              <w:top w:val="single" w:color="000000" w:sz="4" w:space="0"/>
              <w:left w:val="single" w:color="000000" w:sz="4" w:space="0"/>
              <w:bottom w:val="single" w:color="000000" w:sz="4" w:space="0"/>
              <w:right w:val="single" w:color="auto" w:sz="4" w:space="0"/>
            </w:tcBorders>
            <w:vAlign w:val="center"/>
          </w:tcPr>
          <w:p>
            <w:pPr>
              <w:spacing w:line="400" w:lineRule="exact"/>
              <w:jc w:val="center"/>
              <w:textAlignment w:val="center"/>
              <w:rPr>
                <w:rFonts w:hint="eastAsia" w:asciiTheme="minorEastAsia" w:hAnsiTheme="minorEastAsia" w:eastAsiaTheme="minorEastAsia" w:cstheme="minorEastAsia"/>
                <w:kern w:val="0"/>
                <w:sz w:val="24"/>
              </w:rPr>
            </w:pPr>
            <w:r>
              <w:rPr>
                <w:rFonts w:hint="eastAsia" w:ascii="黑体" w:hAnsi="黑体" w:eastAsia="黑体" w:cs="黑体"/>
                <w:kern w:val="0"/>
                <w:sz w:val="24"/>
              </w:rPr>
              <w:t>用人单位意见</w:t>
            </w:r>
          </w:p>
        </w:tc>
        <w:tc>
          <w:tcPr>
            <w:tcW w:w="4130" w:type="dxa"/>
            <w:gridSpan w:val="8"/>
            <w:tcBorders>
              <w:top w:val="single" w:color="000000" w:sz="4" w:space="0"/>
              <w:left w:val="single" w:color="auto" w:sz="4" w:space="0"/>
              <w:bottom w:val="single" w:color="000000" w:sz="4" w:space="0"/>
              <w:right w:val="single" w:color="auto" w:sz="4" w:space="0"/>
            </w:tcBorders>
            <w:vAlign w:val="center"/>
          </w:tcPr>
          <w:p>
            <w:pPr>
              <w:jc w:val="left"/>
              <w:textAlignment w:val="center"/>
              <w:rPr>
                <w:rFonts w:hint="eastAsia" w:ascii="黑体" w:hAnsi="黑体" w:eastAsia="黑体" w:cs="黑体"/>
                <w:kern w:val="0"/>
                <w:sz w:val="24"/>
              </w:rPr>
            </w:pPr>
          </w:p>
          <w:p>
            <w:pPr>
              <w:jc w:val="left"/>
              <w:textAlignment w:val="center"/>
              <w:rPr>
                <w:rFonts w:hint="eastAsia" w:ascii="黑体" w:hAnsi="黑体" w:eastAsia="黑体" w:cs="黑体"/>
                <w:kern w:val="0"/>
                <w:sz w:val="24"/>
              </w:rPr>
            </w:pPr>
            <w:r>
              <w:rPr>
                <w:rFonts w:hint="eastAsia" w:ascii="黑体" w:hAnsi="黑体" w:eastAsia="黑体" w:cs="黑体"/>
                <w:kern w:val="0"/>
                <w:sz w:val="24"/>
              </w:rPr>
              <w:t>审核人（签字）：</w:t>
            </w:r>
          </w:p>
          <w:p>
            <w:pPr>
              <w:jc w:val="left"/>
              <w:textAlignment w:val="center"/>
              <w:rPr>
                <w:rFonts w:hint="eastAsia" w:ascii="黑体" w:hAnsi="黑体" w:eastAsia="黑体" w:cs="黑体"/>
                <w:kern w:val="0"/>
                <w:sz w:val="24"/>
              </w:rPr>
            </w:pPr>
            <w:r>
              <w:rPr>
                <w:rFonts w:hint="eastAsia" w:ascii="黑体" w:hAnsi="黑体" w:eastAsia="黑体" w:cs="黑体"/>
                <w:kern w:val="0"/>
                <w:sz w:val="24"/>
              </w:rPr>
              <w:t xml:space="preserve">单  位（盖章）：     </w:t>
            </w:r>
          </w:p>
          <w:p>
            <w:pPr>
              <w:ind w:firstLine="2160" w:firstLineChars="900"/>
              <w:jc w:val="left"/>
              <w:textAlignment w:val="center"/>
              <w:rPr>
                <w:rFonts w:hint="eastAsia" w:ascii="黑体" w:hAnsi="黑体" w:eastAsia="黑体" w:cs="黑体"/>
                <w:kern w:val="0"/>
                <w:sz w:val="24"/>
              </w:rPr>
            </w:pPr>
            <w:r>
              <w:rPr>
                <w:rFonts w:hint="eastAsia" w:ascii="黑体" w:hAnsi="黑体" w:eastAsia="黑体" w:cs="黑体"/>
                <w:kern w:val="0"/>
                <w:sz w:val="24"/>
              </w:rPr>
              <w:t xml:space="preserve"> 年   月   日</w:t>
            </w:r>
          </w:p>
        </w:tc>
        <w:tc>
          <w:tcPr>
            <w:tcW w:w="975"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kern w:val="0"/>
                <w:sz w:val="24"/>
              </w:rPr>
            </w:pPr>
            <w:r>
              <w:rPr>
                <w:rFonts w:hint="eastAsia" w:ascii="黑体" w:hAnsi="黑体" w:eastAsia="黑体" w:cs="黑体"/>
                <w:kern w:val="0"/>
                <w:sz w:val="24"/>
              </w:rPr>
              <w:t>主管部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kern w:val="0"/>
                <w:sz w:val="24"/>
              </w:rPr>
            </w:pPr>
            <w:r>
              <w:rPr>
                <w:rFonts w:hint="eastAsia" w:ascii="黑体" w:hAnsi="黑体" w:eastAsia="黑体" w:cs="黑体"/>
                <w:kern w:val="0"/>
                <w:sz w:val="24"/>
              </w:rPr>
              <w:t>门意见</w:t>
            </w:r>
          </w:p>
        </w:tc>
        <w:tc>
          <w:tcPr>
            <w:tcW w:w="4000" w:type="dxa"/>
            <w:gridSpan w:val="5"/>
            <w:tcBorders>
              <w:top w:val="single" w:color="000000" w:sz="4" w:space="0"/>
              <w:left w:val="single" w:color="auto" w:sz="4" w:space="0"/>
              <w:bottom w:val="single" w:color="000000" w:sz="4" w:space="0"/>
              <w:right w:val="single" w:color="000000" w:sz="4" w:space="0"/>
            </w:tcBorders>
            <w:vAlign w:val="center"/>
          </w:tcPr>
          <w:p>
            <w:pPr>
              <w:jc w:val="left"/>
              <w:textAlignment w:val="center"/>
              <w:rPr>
                <w:rFonts w:hint="eastAsia" w:ascii="黑体" w:hAnsi="黑体" w:eastAsia="黑体" w:cs="黑体"/>
                <w:kern w:val="0"/>
                <w:sz w:val="24"/>
              </w:rPr>
            </w:pPr>
          </w:p>
          <w:p>
            <w:pPr>
              <w:jc w:val="left"/>
              <w:textAlignment w:val="center"/>
              <w:rPr>
                <w:rFonts w:hint="eastAsia" w:ascii="黑体" w:hAnsi="黑体" w:eastAsia="黑体" w:cs="黑体"/>
                <w:kern w:val="0"/>
                <w:sz w:val="24"/>
              </w:rPr>
            </w:pPr>
            <w:r>
              <w:rPr>
                <w:rFonts w:hint="eastAsia" w:ascii="黑体" w:hAnsi="黑体" w:eastAsia="黑体" w:cs="黑体"/>
                <w:kern w:val="0"/>
                <w:sz w:val="24"/>
              </w:rPr>
              <w:t>审核人（签字）：</w:t>
            </w:r>
          </w:p>
          <w:p>
            <w:pPr>
              <w:jc w:val="left"/>
              <w:textAlignment w:val="center"/>
              <w:rPr>
                <w:rFonts w:hint="eastAsia" w:ascii="黑体" w:hAnsi="黑体" w:eastAsia="黑体" w:cs="黑体"/>
                <w:kern w:val="0"/>
                <w:sz w:val="24"/>
              </w:rPr>
            </w:pPr>
            <w:r>
              <w:rPr>
                <w:rFonts w:hint="eastAsia" w:ascii="黑体" w:hAnsi="黑体" w:eastAsia="黑体" w:cs="黑体"/>
                <w:kern w:val="0"/>
                <w:sz w:val="24"/>
              </w:rPr>
              <w:t xml:space="preserve">单  位（盖章）：      </w:t>
            </w:r>
          </w:p>
          <w:p>
            <w:pPr>
              <w:ind w:firstLine="2400" w:firstLineChars="1000"/>
              <w:jc w:val="left"/>
              <w:textAlignment w:val="center"/>
              <w:rPr>
                <w:rFonts w:hint="eastAsia" w:ascii="黑体" w:hAnsi="黑体" w:eastAsia="黑体" w:cs="黑体"/>
                <w:kern w:val="0"/>
                <w:sz w:val="24"/>
              </w:rPr>
            </w:pPr>
            <w:r>
              <w:rPr>
                <w:rFonts w:hint="eastAsia" w:ascii="黑体" w:hAnsi="黑体" w:eastAsia="黑体" w:cs="黑体"/>
                <w:kern w:val="0"/>
                <w:sz w:val="24"/>
              </w:rPr>
              <w:t>年   月   日</w:t>
            </w:r>
          </w:p>
        </w:tc>
      </w:tr>
      <w:tr>
        <w:tblPrEx>
          <w:tblCellMar>
            <w:top w:w="15" w:type="dxa"/>
            <w:left w:w="15" w:type="dxa"/>
            <w:bottom w:w="15" w:type="dxa"/>
            <w:right w:w="15" w:type="dxa"/>
          </w:tblCellMar>
        </w:tblPrEx>
        <w:trPr>
          <w:cantSplit/>
          <w:trHeight w:val="3747" w:hRule="exact"/>
        </w:trPr>
        <w:tc>
          <w:tcPr>
            <w:tcW w:w="855" w:type="dxa"/>
            <w:gridSpan w:val="2"/>
            <w:tcBorders>
              <w:top w:val="single" w:color="000000" w:sz="4" w:space="0"/>
              <w:left w:val="single" w:color="000000" w:sz="4" w:space="0"/>
              <w:bottom w:val="single" w:color="000000" w:sz="4" w:space="0"/>
              <w:right w:val="single" w:color="auto" w:sz="4" w:space="0"/>
            </w:tcBorders>
            <w:vAlign w:val="center"/>
          </w:tcPr>
          <w:p>
            <w:pPr>
              <w:spacing w:line="400" w:lineRule="exact"/>
              <w:jc w:val="center"/>
              <w:textAlignment w:val="center"/>
              <w:rPr>
                <w:rFonts w:hint="eastAsia" w:asciiTheme="minorEastAsia" w:hAnsiTheme="minorEastAsia" w:eastAsiaTheme="minorEastAsia" w:cstheme="minorEastAsia"/>
                <w:color w:val="auto"/>
                <w:kern w:val="0"/>
                <w:sz w:val="24"/>
              </w:rPr>
            </w:pPr>
            <w:r>
              <w:rPr>
                <w:rFonts w:hint="eastAsia" w:ascii="黑体" w:hAnsi="黑体" w:eastAsia="黑体" w:cs="黑体"/>
                <w:color w:val="auto"/>
                <w:kern w:val="0"/>
                <w:sz w:val="24"/>
                <w:lang w:eastAsia="zh-CN"/>
              </w:rPr>
              <w:t>县人社部门</w:t>
            </w:r>
            <w:r>
              <w:rPr>
                <w:rFonts w:hint="eastAsia" w:ascii="黑体" w:hAnsi="黑体" w:eastAsia="黑体" w:cs="黑体"/>
                <w:color w:val="auto"/>
                <w:kern w:val="0"/>
                <w:sz w:val="24"/>
              </w:rPr>
              <w:t>意见</w:t>
            </w:r>
          </w:p>
        </w:tc>
        <w:tc>
          <w:tcPr>
            <w:tcW w:w="4130" w:type="dxa"/>
            <w:gridSpan w:val="8"/>
            <w:tcBorders>
              <w:top w:val="single" w:color="000000" w:sz="4" w:space="0"/>
              <w:left w:val="single" w:color="auto" w:sz="4" w:space="0"/>
              <w:bottom w:val="single" w:color="000000" w:sz="4" w:space="0"/>
              <w:right w:val="single" w:color="000000" w:sz="4" w:space="0"/>
            </w:tcBorders>
            <w:vAlign w:val="center"/>
          </w:tcPr>
          <w:p>
            <w:pPr>
              <w:jc w:val="left"/>
              <w:textAlignment w:val="center"/>
              <w:rPr>
                <w:rFonts w:hint="eastAsia" w:ascii="黑体" w:hAnsi="黑体" w:eastAsia="黑体" w:cs="黑体"/>
                <w:color w:val="auto"/>
                <w:kern w:val="0"/>
                <w:sz w:val="24"/>
              </w:rPr>
            </w:pPr>
            <w:r>
              <w:rPr>
                <w:rFonts w:hint="eastAsia" w:ascii="黑体" w:hAnsi="黑体" w:eastAsia="黑体" w:cs="黑体"/>
                <w:color w:val="auto"/>
                <w:kern w:val="0"/>
                <w:sz w:val="24"/>
              </w:rPr>
              <w:t>审核人（签字）：</w:t>
            </w:r>
          </w:p>
          <w:p>
            <w:pPr>
              <w:ind w:left="2400" w:hanging="2400" w:hangingChars="1000"/>
              <w:jc w:val="left"/>
              <w:textAlignment w:val="center"/>
              <w:rPr>
                <w:rFonts w:hint="eastAsia" w:ascii="黑体" w:hAnsi="黑体" w:eastAsia="黑体" w:cs="黑体"/>
                <w:color w:val="auto"/>
                <w:kern w:val="0"/>
                <w:sz w:val="24"/>
              </w:rPr>
            </w:pPr>
            <w:r>
              <w:rPr>
                <w:rFonts w:hint="eastAsia" w:ascii="黑体" w:hAnsi="黑体" w:eastAsia="黑体" w:cs="黑体"/>
                <w:color w:val="auto"/>
                <w:kern w:val="0"/>
                <w:sz w:val="24"/>
              </w:rPr>
              <w:t xml:space="preserve">单  位（盖章）：   </w:t>
            </w:r>
            <w:r>
              <w:rPr>
                <w:rFonts w:hint="eastAsia" w:ascii="黑体" w:hAnsi="黑体" w:eastAsia="黑体" w:cs="黑体"/>
                <w:color w:val="auto"/>
                <w:kern w:val="0"/>
                <w:sz w:val="24"/>
                <w:lang w:val="en-US" w:eastAsia="zh-CN"/>
              </w:rPr>
              <w:t xml:space="preserve">                   </w:t>
            </w:r>
            <w:r>
              <w:rPr>
                <w:rFonts w:hint="eastAsia" w:ascii="黑体" w:hAnsi="黑体" w:eastAsia="黑体" w:cs="黑体"/>
                <w:color w:val="auto"/>
                <w:kern w:val="0"/>
                <w:sz w:val="24"/>
              </w:rPr>
              <w:t xml:space="preserve">   年   月   日</w:t>
            </w:r>
          </w:p>
        </w:tc>
        <w:tc>
          <w:tcPr>
            <w:tcW w:w="975" w:type="dxa"/>
            <w:gridSpan w:val="2"/>
            <w:tcBorders>
              <w:top w:val="single" w:color="000000" w:sz="4" w:space="0"/>
              <w:left w:val="single" w:color="auto" w:sz="4" w:space="0"/>
              <w:bottom w:val="single" w:color="000000" w:sz="4" w:space="0"/>
              <w:right w:val="single" w:color="000000" w:sz="4" w:space="0"/>
            </w:tcBorders>
            <w:vAlign w:val="center"/>
          </w:tcPr>
          <w:p>
            <w:pPr>
              <w:spacing w:line="400" w:lineRule="exact"/>
              <w:jc w:val="center"/>
              <w:textAlignment w:val="center"/>
              <w:rPr>
                <w:rFonts w:hint="eastAsia" w:ascii="黑体" w:hAnsi="黑体" w:eastAsia="黑体" w:cs="黑体"/>
                <w:color w:val="auto"/>
                <w:kern w:val="0"/>
                <w:sz w:val="24"/>
                <w:lang w:eastAsia="zh-CN"/>
              </w:rPr>
            </w:pPr>
            <w:r>
              <w:rPr>
                <w:rFonts w:hint="eastAsia" w:ascii="黑体" w:hAnsi="黑体" w:eastAsia="黑体" w:cs="黑体"/>
                <w:color w:val="auto"/>
                <w:kern w:val="0"/>
                <w:sz w:val="24"/>
                <w:lang w:eastAsia="zh-CN"/>
              </w:rPr>
              <w:t>县房管部门意见</w:t>
            </w:r>
          </w:p>
        </w:tc>
        <w:tc>
          <w:tcPr>
            <w:tcW w:w="4000" w:type="dxa"/>
            <w:gridSpan w:val="5"/>
            <w:tcBorders>
              <w:top w:val="single" w:color="000000" w:sz="4" w:space="0"/>
              <w:left w:val="single" w:color="auto" w:sz="4" w:space="0"/>
              <w:bottom w:val="single" w:color="000000" w:sz="4" w:space="0"/>
              <w:right w:val="single" w:color="000000" w:sz="4" w:space="0"/>
            </w:tcBorders>
            <w:vAlign w:val="center"/>
          </w:tcPr>
          <w:p>
            <w:pPr>
              <w:jc w:val="left"/>
              <w:textAlignment w:val="center"/>
              <w:rPr>
                <w:rFonts w:hint="eastAsia" w:ascii="黑体" w:hAnsi="黑体" w:eastAsia="黑体" w:cs="黑体"/>
                <w:color w:val="auto"/>
                <w:kern w:val="0"/>
                <w:sz w:val="24"/>
              </w:rPr>
            </w:pPr>
            <w:r>
              <w:rPr>
                <w:rFonts w:hint="eastAsia" w:ascii="黑体" w:hAnsi="黑体" w:eastAsia="黑体" w:cs="黑体"/>
                <w:color w:val="auto"/>
                <w:kern w:val="0"/>
                <w:sz w:val="24"/>
              </w:rPr>
              <w:t>审核人（签字）：</w:t>
            </w:r>
          </w:p>
          <w:p>
            <w:pPr>
              <w:spacing w:line="400" w:lineRule="exact"/>
              <w:ind w:left="2400" w:hanging="2400" w:hangingChars="1000"/>
              <w:jc w:val="left"/>
              <w:textAlignment w:val="center"/>
              <w:rPr>
                <w:rFonts w:hint="eastAsia" w:ascii="黑体" w:hAnsi="黑体" w:eastAsia="黑体" w:cs="黑体"/>
                <w:color w:val="auto"/>
                <w:kern w:val="0"/>
                <w:sz w:val="24"/>
                <w:lang w:eastAsia="zh-CN"/>
              </w:rPr>
            </w:pPr>
            <w:r>
              <w:rPr>
                <w:rFonts w:hint="eastAsia" w:ascii="黑体" w:hAnsi="黑体" w:eastAsia="黑体" w:cs="黑体"/>
                <w:color w:val="auto"/>
                <w:kern w:val="0"/>
                <w:sz w:val="24"/>
              </w:rPr>
              <w:t xml:space="preserve">单  位（盖章）：   </w:t>
            </w:r>
            <w:r>
              <w:rPr>
                <w:rFonts w:hint="eastAsia" w:ascii="黑体" w:hAnsi="黑体" w:eastAsia="黑体" w:cs="黑体"/>
                <w:color w:val="auto"/>
                <w:kern w:val="0"/>
                <w:sz w:val="24"/>
                <w:lang w:val="en-US" w:eastAsia="zh-CN"/>
              </w:rPr>
              <w:t xml:space="preserve">                   </w:t>
            </w:r>
            <w:r>
              <w:rPr>
                <w:rFonts w:hint="eastAsia" w:ascii="黑体" w:hAnsi="黑体" w:eastAsia="黑体" w:cs="黑体"/>
                <w:color w:val="auto"/>
                <w:kern w:val="0"/>
                <w:sz w:val="24"/>
              </w:rPr>
              <w:t xml:space="preserve">   年   月   日</w:t>
            </w:r>
          </w:p>
        </w:tc>
      </w:tr>
    </w:tbl>
    <w:p>
      <w:pPr>
        <w:rPr>
          <w:rFonts w:hint="eastAsia" w:ascii="黑体" w:hAnsi="黑体" w:eastAsia="黑体" w:cs="黑体"/>
          <w:sz w:val="24"/>
          <w:szCs w:val="32"/>
        </w:rPr>
        <w:sectPr>
          <w:footerReference r:id="rId3" w:type="default"/>
          <w:pgSz w:w="11906" w:h="16838"/>
          <w:pgMar w:top="2098" w:right="1474" w:bottom="1984" w:left="1587" w:header="851" w:footer="992" w:gutter="0"/>
          <w:pgNumType w:fmt="decimal"/>
          <w:cols w:space="720" w:num="1"/>
          <w:docGrid w:type="lines" w:linePitch="312" w:charSpace="0"/>
        </w:sectPr>
      </w:pPr>
      <w:r>
        <w:rPr>
          <w:rFonts w:hint="eastAsia" w:ascii="黑体" w:hAnsi="黑体" w:eastAsia="黑体" w:cs="黑体"/>
          <w:sz w:val="24"/>
          <w:szCs w:val="32"/>
        </w:rPr>
        <w:t>备注：1.此表由申请人填报，申请单位审核，主管部门复核。2.申请人类别共有两类，一类是持持A卡、B卡及创新人才工程引进的优秀人才，一类是紧缺急需其他优秀人才，二选一在对应的方框内打勾。3. 县城内住房情况填写拥有产权的住房建筑面积。4.如没有专业技术或技能等级就填无。5.学历填写时要注明是全日制还是在职学历。6.体现人才优秀性一栏情况，可按提示内容填写，但不限于提示内容范围，凡体现其优秀性的情况均可填写在此栏内。</w:t>
      </w:r>
    </w:p>
    <w:tbl>
      <w:tblPr>
        <w:tblStyle w:val="9"/>
        <w:tblW w:w="14081" w:type="dxa"/>
        <w:tblInd w:w="93" w:type="dxa"/>
        <w:shd w:val="clear" w:color="auto" w:fill="auto"/>
        <w:tblLayout w:type="fixed"/>
        <w:tblCellMar>
          <w:top w:w="0" w:type="dxa"/>
          <w:left w:w="108" w:type="dxa"/>
          <w:bottom w:w="0" w:type="dxa"/>
          <w:right w:w="108" w:type="dxa"/>
        </w:tblCellMar>
      </w:tblPr>
      <w:tblGrid>
        <w:gridCol w:w="538"/>
        <w:gridCol w:w="775"/>
        <w:gridCol w:w="1031"/>
        <w:gridCol w:w="893"/>
        <w:gridCol w:w="722"/>
        <w:gridCol w:w="2195"/>
        <w:gridCol w:w="1460"/>
        <w:gridCol w:w="1412"/>
        <w:gridCol w:w="1218"/>
        <w:gridCol w:w="2563"/>
        <w:gridCol w:w="1274"/>
      </w:tblGrid>
      <w:tr>
        <w:tblPrEx>
          <w:tblCellMar>
            <w:top w:w="0" w:type="dxa"/>
            <w:left w:w="108" w:type="dxa"/>
            <w:bottom w:w="0" w:type="dxa"/>
            <w:right w:w="108" w:type="dxa"/>
          </w:tblCellMar>
        </w:tblPrEx>
        <w:trPr>
          <w:trHeight w:val="460" w:hRule="atLeast"/>
        </w:trPr>
        <w:tc>
          <w:tcPr>
            <w:tcW w:w="1313" w:type="dxa"/>
            <w:gridSpan w:val="2"/>
            <w:tcBorders>
              <w:top w:val="nil"/>
              <w:left w:val="nil"/>
              <w:bottom w:val="nil"/>
              <w:right w:val="nil"/>
            </w:tcBorders>
            <w:shd w:val="clear" w:color="auto" w:fill="auto"/>
            <w:noWrap/>
            <w:vAlign w:val="center"/>
          </w:tcPr>
          <w:p>
            <w:pPr>
              <w:rPr>
                <w:rFonts w:hint="eastAsia" w:ascii="黑体" w:hAnsi="宋体" w:eastAsia="黑体" w:cs="黑体"/>
                <w:i w:val="0"/>
                <w:iCs w:val="0"/>
                <w:color w:val="000000"/>
                <w:sz w:val="22"/>
                <w:szCs w:val="22"/>
                <w:u w:val="none"/>
              </w:rPr>
            </w:pPr>
            <w:r>
              <w:rPr>
                <w:rFonts w:hint="eastAsia" w:ascii="方正黑体_GBK" w:hAnsi="方正黑体_GBK" w:eastAsia="方正黑体_GBK" w:cs="方正黑体_GBK"/>
                <w:i w:val="0"/>
                <w:iCs w:val="0"/>
                <w:color w:val="000000"/>
                <w:kern w:val="0"/>
                <w:sz w:val="32"/>
                <w:szCs w:val="32"/>
                <w:u w:val="none"/>
                <w:lang w:val="en-US" w:eastAsia="zh-CN" w:bidi="ar"/>
              </w:rPr>
              <w:t>附件2</w:t>
            </w:r>
          </w:p>
        </w:tc>
        <w:tc>
          <w:tcPr>
            <w:tcW w:w="103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9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1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4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41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1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10" w:hRule="atLeast"/>
        </w:trPr>
        <w:tc>
          <w:tcPr>
            <w:tcW w:w="14081"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40"/>
                <w:szCs w:val="40"/>
                <w:u w:val="none"/>
              </w:rPr>
            </w:pPr>
            <w:r>
              <w:rPr>
                <w:rStyle w:val="16"/>
                <w:rFonts w:hint="eastAsia" w:ascii="方正小标宋_GBK" w:hAnsi="方正小标宋_GBK" w:eastAsia="方正小标宋_GBK" w:cs="方正小标宋_GBK"/>
                <w:lang w:val="en-US" w:eastAsia="zh-CN" w:bidi="ar"/>
              </w:rPr>
              <w:t xml:space="preserve">丰都县人才公寓申报汇总表 </w:t>
            </w:r>
            <w:r>
              <w:rPr>
                <w:rStyle w:val="17"/>
                <w:rFonts w:hint="eastAsia" w:ascii="方正小标宋_GBK" w:hAnsi="方正小标宋_GBK" w:eastAsia="方正小标宋_GBK" w:cs="方正小标宋_GBK"/>
                <w:lang w:val="en-US" w:eastAsia="zh-CN" w:bidi="ar"/>
              </w:rPr>
              <w:t>（主管部门汇总填报）</w:t>
            </w:r>
          </w:p>
        </w:tc>
      </w:tr>
      <w:tr>
        <w:tblPrEx>
          <w:tblCellMar>
            <w:top w:w="0" w:type="dxa"/>
            <w:left w:w="108" w:type="dxa"/>
            <w:bottom w:w="0" w:type="dxa"/>
            <w:right w:w="108" w:type="dxa"/>
          </w:tblCellMar>
        </w:tblPrEx>
        <w:trPr>
          <w:trHeight w:val="66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人才         类别</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姓名</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性别</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婚否</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身份证号</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工作单位</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职称或技能等级</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人才优秀性简述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联系电话</w:t>
            </w:r>
          </w:p>
        </w:tc>
      </w:tr>
      <w:tr>
        <w:tblPrEx>
          <w:tblCellMar>
            <w:top w:w="0" w:type="dxa"/>
            <w:left w:w="108" w:type="dxa"/>
            <w:bottom w:w="0" w:type="dxa"/>
            <w:right w:w="108" w:type="dxa"/>
          </w:tblCellMar>
        </w:tblPrEx>
        <w:trPr>
          <w:trHeight w:val="115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2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2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2" w:hRule="atLeast"/>
        </w:trPr>
        <w:tc>
          <w:tcPr>
            <w:tcW w:w="2344"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主管部门公章：</w:t>
            </w:r>
          </w:p>
        </w:tc>
        <w:tc>
          <w:tcPr>
            <w:tcW w:w="89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19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审核领导：</w:t>
            </w:r>
          </w:p>
        </w:tc>
        <w:tc>
          <w:tcPr>
            <w:tcW w:w="14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41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审核人员：</w:t>
            </w:r>
          </w:p>
        </w:tc>
        <w:tc>
          <w:tcPr>
            <w:tcW w:w="121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6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12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spacing w:line="600" w:lineRule="exact"/>
        <w:jc w:val="left"/>
        <w:rPr>
          <w:rFonts w:ascii="Times New Roman" w:hAnsi="Times New Roman" w:eastAsia="方正仿宋_GBK" w:cs="Times New Roman"/>
          <w:color w:val="auto"/>
          <w:kern w:val="0"/>
          <w:sz w:val="32"/>
          <w:szCs w:val="32"/>
        </w:rPr>
      </w:pPr>
    </w:p>
    <w:p>
      <w:pPr>
        <w:pStyle w:val="6"/>
        <w:sectPr>
          <w:pgSz w:w="16838" w:h="11906" w:orient="landscape"/>
          <w:pgMar w:top="1587" w:right="2098" w:bottom="1474" w:left="1984" w:header="851" w:footer="992" w:gutter="0"/>
          <w:pgNumType w:fmt="decimal"/>
          <w:cols w:space="0" w:num="1"/>
          <w:rtlGutter w:val="0"/>
          <w:docGrid w:type="lines" w:linePitch="315" w:charSpace="0"/>
        </w:sectPr>
      </w:pPr>
    </w:p>
    <w:p/>
    <w:p/>
    <w:p>
      <w:pPr>
        <w:pStyle w:val="6"/>
      </w:pPr>
    </w:p>
    <w:p>
      <w:pPr>
        <w:pStyle w:val="6"/>
        <w:rPr>
          <w:rFonts w:hint="default" w:ascii="Times New Roman" w:hAnsi="Times New Roman" w:eastAsia="方正仿宋_GBK" w:cs="Times New Roman"/>
          <w:color w:val="auto"/>
          <w:sz w:val="32"/>
          <w:szCs w:val="32"/>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600" w:lineRule="exact"/>
        <w:textAlignment w:val="auto"/>
      </w:pPr>
    </w:p>
    <w:sectPr>
      <w:footerReference r:id="rId4" w:type="default"/>
      <w:pgSz w:w="11906" w:h="16838"/>
      <w:pgMar w:top="2098" w:right="1474" w:bottom="1984"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wrap="none" lIns="0" tIns="0" rIns="0" bIns="0" upright="tru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5dblS0AAAAAUBAAAPAAAAAAAAAAEAIAAAADgAAABkcnMvZG93&#10;bnJldi54bWxQSwECFAAUAAAACACHTuJAZuIbCrkBAABbAwAADgAAAAAAAAABACAAAAA1AQAAZHJz&#10;L2Uyb0RvYy54bWxQSwUGAAAAAAYABgBZAQAAYAUAAAAA&#10;">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H5IsG3NAQAAcgMAAA4A&#10;AAAAAAAAAQAgAAAANAEAAGRycy9lMm9Eb2MueG1sUEsFBgAAAAAGAAYAWQEAAHMFAAAAAA==&#10;">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91"/>
    <w:rsid w:val="000A15D6"/>
    <w:rsid w:val="00156B9C"/>
    <w:rsid w:val="001627B8"/>
    <w:rsid w:val="00171DBF"/>
    <w:rsid w:val="001920E8"/>
    <w:rsid w:val="001E66D4"/>
    <w:rsid w:val="00236F30"/>
    <w:rsid w:val="002A765C"/>
    <w:rsid w:val="002B0689"/>
    <w:rsid w:val="003333EF"/>
    <w:rsid w:val="00367F67"/>
    <w:rsid w:val="00375A3D"/>
    <w:rsid w:val="0037628E"/>
    <w:rsid w:val="004059BC"/>
    <w:rsid w:val="00452236"/>
    <w:rsid w:val="00462F38"/>
    <w:rsid w:val="00477820"/>
    <w:rsid w:val="0048077E"/>
    <w:rsid w:val="004B264F"/>
    <w:rsid w:val="004E6987"/>
    <w:rsid w:val="00521E62"/>
    <w:rsid w:val="00582C3B"/>
    <w:rsid w:val="00594850"/>
    <w:rsid w:val="006245AC"/>
    <w:rsid w:val="00764FA0"/>
    <w:rsid w:val="00856E5F"/>
    <w:rsid w:val="008F2D2C"/>
    <w:rsid w:val="009213A6"/>
    <w:rsid w:val="00991599"/>
    <w:rsid w:val="009C79C9"/>
    <w:rsid w:val="009E5EAA"/>
    <w:rsid w:val="00A078F2"/>
    <w:rsid w:val="00A975DC"/>
    <w:rsid w:val="00AA08D0"/>
    <w:rsid w:val="00AA0EEA"/>
    <w:rsid w:val="00AB30AE"/>
    <w:rsid w:val="00AB364C"/>
    <w:rsid w:val="00B020D9"/>
    <w:rsid w:val="00B309FF"/>
    <w:rsid w:val="00B825EF"/>
    <w:rsid w:val="00BD2E3F"/>
    <w:rsid w:val="00BF73FF"/>
    <w:rsid w:val="00C35CC0"/>
    <w:rsid w:val="00C73D05"/>
    <w:rsid w:val="00C85886"/>
    <w:rsid w:val="00CD6991"/>
    <w:rsid w:val="00CF503F"/>
    <w:rsid w:val="00D03D00"/>
    <w:rsid w:val="00D0591C"/>
    <w:rsid w:val="00D07750"/>
    <w:rsid w:val="00D739AD"/>
    <w:rsid w:val="00DD71AA"/>
    <w:rsid w:val="00DD79A3"/>
    <w:rsid w:val="00E219F4"/>
    <w:rsid w:val="00E879BE"/>
    <w:rsid w:val="00F04379"/>
    <w:rsid w:val="00F06B35"/>
    <w:rsid w:val="00F26AB7"/>
    <w:rsid w:val="00F55E7C"/>
    <w:rsid w:val="00F61976"/>
    <w:rsid w:val="00F66541"/>
    <w:rsid w:val="00F67B40"/>
    <w:rsid w:val="00F965C9"/>
    <w:rsid w:val="00FB3CF3"/>
    <w:rsid w:val="00FD70CA"/>
    <w:rsid w:val="00FF3C35"/>
    <w:rsid w:val="010F1FB4"/>
    <w:rsid w:val="011E6CEE"/>
    <w:rsid w:val="020C4A53"/>
    <w:rsid w:val="026455CC"/>
    <w:rsid w:val="02E15B96"/>
    <w:rsid w:val="039871C1"/>
    <w:rsid w:val="04164F37"/>
    <w:rsid w:val="05005B19"/>
    <w:rsid w:val="084D4529"/>
    <w:rsid w:val="087B0F2F"/>
    <w:rsid w:val="0B6160DA"/>
    <w:rsid w:val="0C666E70"/>
    <w:rsid w:val="0D21312B"/>
    <w:rsid w:val="0DC63E26"/>
    <w:rsid w:val="13240842"/>
    <w:rsid w:val="139E6909"/>
    <w:rsid w:val="161B390A"/>
    <w:rsid w:val="1681297B"/>
    <w:rsid w:val="168E0584"/>
    <w:rsid w:val="17E53E78"/>
    <w:rsid w:val="1D00616F"/>
    <w:rsid w:val="1DF718AF"/>
    <w:rsid w:val="1E9A1ACD"/>
    <w:rsid w:val="1FBE2771"/>
    <w:rsid w:val="1FF9156C"/>
    <w:rsid w:val="24D907F2"/>
    <w:rsid w:val="25225BF3"/>
    <w:rsid w:val="256F6D02"/>
    <w:rsid w:val="262E3D12"/>
    <w:rsid w:val="27012743"/>
    <w:rsid w:val="28303002"/>
    <w:rsid w:val="29591937"/>
    <w:rsid w:val="2B0B7BB8"/>
    <w:rsid w:val="2B4E1654"/>
    <w:rsid w:val="308C18CF"/>
    <w:rsid w:val="345D6A36"/>
    <w:rsid w:val="34B64AD1"/>
    <w:rsid w:val="359578D2"/>
    <w:rsid w:val="35E83640"/>
    <w:rsid w:val="37D24A97"/>
    <w:rsid w:val="387446F3"/>
    <w:rsid w:val="38BB02F1"/>
    <w:rsid w:val="393B197A"/>
    <w:rsid w:val="39CD32DB"/>
    <w:rsid w:val="3B895981"/>
    <w:rsid w:val="3D790B47"/>
    <w:rsid w:val="3EC85516"/>
    <w:rsid w:val="42EE3D88"/>
    <w:rsid w:val="43923DC1"/>
    <w:rsid w:val="442A20A8"/>
    <w:rsid w:val="44336F6F"/>
    <w:rsid w:val="474A5521"/>
    <w:rsid w:val="47811B78"/>
    <w:rsid w:val="47F04FD9"/>
    <w:rsid w:val="47FE7700"/>
    <w:rsid w:val="489E6FD3"/>
    <w:rsid w:val="492D4BA6"/>
    <w:rsid w:val="4A877AA6"/>
    <w:rsid w:val="4A8D5578"/>
    <w:rsid w:val="4AC40BB6"/>
    <w:rsid w:val="4B885D21"/>
    <w:rsid w:val="4BEC6CFB"/>
    <w:rsid w:val="4C9B571A"/>
    <w:rsid w:val="4D5469CF"/>
    <w:rsid w:val="4FC32EF6"/>
    <w:rsid w:val="500617D5"/>
    <w:rsid w:val="53716459"/>
    <w:rsid w:val="54DC40D6"/>
    <w:rsid w:val="550D3B8A"/>
    <w:rsid w:val="562F7925"/>
    <w:rsid w:val="564446B5"/>
    <w:rsid w:val="575024F8"/>
    <w:rsid w:val="585E3B3F"/>
    <w:rsid w:val="58871736"/>
    <w:rsid w:val="59174B26"/>
    <w:rsid w:val="5A9B763D"/>
    <w:rsid w:val="5AD91DF7"/>
    <w:rsid w:val="5B8C7F0A"/>
    <w:rsid w:val="5E3E609A"/>
    <w:rsid w:val="5E8C65CD"/>
    <w:rsid w:val="5FBD6065"/>
    <w:rsid w:val="6195516B"/>
    <w:rsid w:val="623D572C"/>
    <w:rsid w:val="624C5008"/>
    <w:rsid w:val="62DD7CE0"/>
    <w:rsid w:val="6323718A"/>
    <w:rsid w:val="6367046E"/>
    <w:rsid w:val="647A5987"/>
    <w:rsid w:val="66A93C8B"/>
    <w:rsid w:val="69466D4A"/>
    <w:rsid w:val="69C572E2"/>
    <w:rsid w:val="6A422032"/>
    <w:rsid w:val="6AC45CD6"/>
    <w:rsid w:val="6B3E05F4"/>
    <w:rsid w:val="6B836949"/>
    <w:rsid w:val="6D4B00EE"/>
    <w:rsid w:val="6D596377"/>
    <w:rsid w:val="6D5E0CE9"/>
    <w:rsid w:val="6F4F4DA3"/>
    <w:rsid w:val="71640542"/>
    <w:rsid w:val="739759B1"/>
    <w:rsid w:val="74585F9F"/>
    <w:rsid w:val="74704A2F"/>
    <w:rsid w:val="74DC24BB"/>
    <w:rsid w:val="75906F0E"/>
    <w:rsid w:val="75F76F6C"/>
    <w:rsid w:val="76B457F2"/>
    <w:rsid w:val="77B75218"/>
    <w:rsid w:val="7A3411C9"/>
    <w:rsid w:val="7AC01C37"/>
    <w:rsid w:val="7DDE2624"/>
    <w:rsid w:val="7E1166F0"/>
    <w:rsid w:val="7FB91DBA"/>
    <w:rsid w:val="7FC9720E"/>
    <w:rsid w:val="BF7BC9E5"/>
    <w:rsid w:val="E6FBD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3"/>
    <w:basedOn w:val="1"/>
    <w:next w:val="1"/>
    <w:link w:val="13"/>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spacing w:beforeLines="0" w:afterLines="0"/>
      <w:jc w:val="left"/>
    </w:pPr>
    <w:rPr>
      <w:rFonts w:hint="default"/>
      <w:sz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able of authorities"/>
    <w:basedOn w:val="1"/>
    <w:next w:val="1"/>
    <w:qFormat/>
    <w:uiPriority w:val="0"/>
    <w:pPr>
      <w:ind w:left="200" w:leftChars="200"/>
    </w:pPr>
    <w:rPr>
      <w:rFonts w:ascii="Times New Roman" w:hAnsi="Times New Roman" w:cs="Times New Roman"/>
    </w:rPr>
  </w:style>
  <w:style w:type="paragraph" w:styleId="7">
    <w:name w:val="footer"/>
    <w:basedOn w:val="1"/>
    <w:link w:val="14"/>
    <w:qFormat/>
    <w:uiPriority w:val="0"/>
    <w:pPr>
      <w:tabs>
        <w:tab w:val="center" w:pos="4153"/>
        <w:tab w:val="right" w:pos="8306"/>
      </w:tabs>
      <w:snapToGrid w:val="0"/>
      <w:jc w:val="left"/>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customStyle="1" w:styleId="12">
    <w:name w:val="标题 1 Char"/>
    <w:basedOn w:val="10"/>
    <w:link w:val="4"/>
    <w:qFormat/>
    <w:uiPriority w:val="9"/>
    <w:rPr>
      <w:rFonts w:ascii="宋体" w:hAnsi="宋体" w:eastAsia="宋体" w:cs="宋体"/>
      <w:b/>
      <w:bCs/>
      <w:kern w:val="36"/>
      <w:sz w:val="48"/>
      <w:szCs w:val="48"/>
    </w:rPr>
  </w:style>
  <w:style w:type="character" w:customStyle="1" w:styleId="13">
    <w:name w:val="标题 3 Char"/>
    <w:basedOn w:val="10"/>
    <w:link w:val="5"/>
    <w:qFormat/>
    <w:uiPriority w:val="9"/>
    <w:rPr>
      <w:rFonts w:ascii="宋体" w:hAnsi="宋体" w:eastAsia="宋体" w:cs="宋体"/>
      <w:b/>
      <w:bCs/>
      <w:kern w:val="0"/>
      <w:sz w:val="27"/>
      <w:szCs w:val="27"/>
    </w:rPr>
  </w:style>
  <w:style w:type="character" w:customStyle="1" w:styleId="14">
    <w:name w:val="页脚 Char"/>
    <w:basedOn w:val="10"/>
    <w:link w:val="7"/>
    <w:qFormat/>
    <w:uiPriority w:val="0"/>
    <w:rPr>
      <w:rFonts w:ascii="Calibri" w:hAnsi="Calibri" w:eastAsia="宋体" w:cs="黑体"/>
      <w:sz w:val="18"/>
      <w:szCs w:val="24"/>
    </w:rPr>
  </w:style>
  <w:style w:type="character" w:customStyle="1" w:styleId="15">
    <w:name w:val="页眉 Char"/>
    <w:basedOn w:val="10"/>
    <w:link w:val="3"/>
    <w:semiHidden/>
    <w:qFormat/>
    <w:uiPriority w:val="99"/>
    <w:rPr>
      <w:rFonts w:ascii="Calibri" w:hAnsi="Calibri" w:eastAsia="宋体" w:cs="黑体"/>
      <w:sz w:val="18"/>
      <w:szCs w:val="18"/>
    </w:rPr>
  </w:style>
  <w:style w:type="character" w:customStyle="1" w:styleId="16">
    <w:name w:val="font41"/>
    <w:basedOn w:val="10"/>
    <w:qFormat/>
    <w:uiPriority w:val="0"/>
    <w:rPr>
      <w:rFonts w:hint="eastAsia" w:ascii="方正黑体_GBK" w:hAnsi="方正黑体_GBK" w:eastAsia="方正黑体_GBK" w:cs="方正黑体_GBK"/>
      <w:color w:val="000000"/>
      <w:sz w:val="40"/>
      <w:szCs w:val="40"/>
      <w:u w:val="none"/>
    </w:rPr>
  </w:style>
  <w:style w:type="character" w:customStyle="1" w:styleId="17">
    <w:name w:val="font11"/>
    <w:basedOn w:val="10"/>
    <w:qFormat/>
    <w:uiPriority w:val="0"/>
    <w:rPr>
      <w:rFonts w:hint="eastAsia" w:ascii="方正黑体_GBK" w:hAnsi="方正黑体_GBK" w:eastAsia="方正黑体_GBK" w:cs="方正黑体_GBK"/>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366</Words>
  <Characters>2087</Characters>
  <Lines>17</Lines>
  <Paragraphs>4</Paragraphs>
  <TotalTime>0</TotalTime>
  <ScaleCrop>false</ScaleCrop>
  <LinksUpToDate>false</LinksUpToDate>
  <CharactersWithSpaces>2449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2020-10-21T03:24:00Z</dcterms:created>
  <dc:creator>微软用户</dc:creator>
  <cp:lastModifiedBy>fengdu</cp:lastModifiedBy>
  <cp:lastPrinted>2020-12-01T07:44:00Z</cp:lastPrinted>
  <dcterms:modified xsi:type="dcterms:W3CDTF">2023-12-21T10:01:57Z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F2EECD940DEC464B99E46723EEF390E8</vt:lpwstr>
  </property>
  <property fmtid="{D5CDD505-2E9C-101B-9397-08002B2CF9AE}" pid="4" name="KSOSaveFontToCloudKey">
    <vt:lpwstr>0_btnclosed</vt:lpwstr>
  </property>
</Properties>
</file>