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line="600" w:lineRule="exact"/>
        <w:ind w:left="0"/>
        <w:jc w:val="center"/>
        <w:rPr>
          <w:rFonts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重庆市丰都县人力资源考试测评服务中心</w:t>
      </w:r>
    </w:p>
    <w:p>
      <w:pPr>
        <w:pStyle w:val="6"/>
        <w:keepNext w:val="0"/>
        <w:keepLines w:val="0"/>
        <w:pageBreakBefore w:val="0"/>
        <w:widowControl/>
        <w:kinsoku/>
        <w:overflowPunct/>
        <w:topLinePunct w:val="0"/>
        <w:autoSpaceDN/>
        <w:bidi w:val="0"/>
        <w:adjustRightInd/>
        <w:spacing w:before="0" w:beforeAutospacing="0" w:after="0" w:afterAutospacing="0" w:line="600" w:lineRule="exact"/>
        <w:ind w:left="0"/>
        <w:jc w:val="center"/>
        <w:rPr>
          <w:rFonts w:hint="default" w:ascii="方正小标宋_GBK" w:hAnsi="方正小标宋_GBK" w:eastAsia="方正小标宋_GBK" w:cs="方正小标宋_GBK"/>
          <w:sz w:val="36"/>
          <w:szCs w:val="36"/>
          <w:shd w:val="clear" w:color="auto" w:fill="FFFFFF"/>
        </w:rPr>
      </w:pPr>
      <w:bookmarkStart w:id="0" w:name="_GoBack"/>
      <w:bookmarkEnd w:id="0"/>
      <w:r>
        <w:rPr>
          <w:rFonts w:ascii="方正小标宋_GBK" w:hAnsi="方正小标宋_GBK" w:eastAsia="方正小标宋_GBK" w:cs="方正小标宋_GBK"/>
          <w:sz w:val="36"/>
          <w:szCs w:val="36"/>
          <w:shd w:val="clear" w:color="auto" w:fill="FFFFFF"/>
        </w:rPr>
        <w:t>2023年度决算公开说明</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left="0" w:firstLine="640" w:firstLineChars="200"/>
        <w:rPr>
          <w:rStyle w:val="10"/>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rPr>
        <w:t>承担全县人事考试、机关事业单位技术工人等级（岗位）培训考试、职业技能鉴定的咨询、考试、评审等的服务性工作；承办县人力资源和社会保障局交办的其他事项。</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keepNext w:val="0"/>
        <w:keepLines w:val="0"/>
        <w:pageBreakBefore w:val="0"/>
        <w:widowControl/>
        <w:shd w:val="clear" w:color="auto" w:fill="FFFFFF"/>
        <w:kinsoku/>
        <w:overflowPunct/>
        <w:topLinePunct w:val="0"/>
        <w:autoSpaceDN/>
        <w:bidi w:val="0"/>
        <w:adjustRightInd/>
        <w:spacing w:before="0" w:beforeAutospacing="0" w:after="0" w:afterAutospacing="0" w:line="600" w:lineRule="exact"/>
        <w:ind w:left="0" w:firstLine="640" w:firstLineChars="200"/>
        <w:rPr>
          <w:rStyle w:val="10"/>
          <w:rFonts w:hint="default" w:ascii="Times New Roman" w:hAnsi="Times New Roman" w:eastAsia="方正仿宋_GBK" w:cs="Times New Roman"/>
          <w:b w:val="0"/>
          <w:bCs w:val="0"/>
          <w:sz w:val="32"/>
          <w:szCs w:val="32"/>
        </w:rPr>
      </w:pPr>
      <w:r>
        <w:rPr>
          <w:rStyle w:val="10"/>
          <w:rFonts w:hint="default" w:ascii="Times New Roman" w:hAnsi="Times New Roman" w:eastAsia="方正仿宋_GBK" w:cs="Times New Roman"/>
          <w:b w:val="0"/>
          <w:bCs w:val="0"/>
          <w:sz w:val="32"/>
          <w:szCs w:val="32"/>
        </w:rPr>
        <w:t>本单位无内设职能科室，2021年12月，编制数8人，实有人数8人。</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firstLine="643" w:firstLineChars="200"/>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2023年度收入总计217.45万元，支出总计</w:t>
      </w:r>
      <w:r>
        <w:rPr>
          <w:rFonts w:ascii="方正仿宋_GBK" w:hAnsi="方正仿宋_GBK" w:eastAsia="方正仿宋_GBK" w:cs="方正仿宋_GBK"/>
          <w:sz w:val="32"/>
          <w:szCs w:val="32"/>
        </w:rPr>
        <w:t>217.45</w:t>
      </w:r>
      <w:r>
        <w:rPr>
          <w:rFonts w:ascii="方正仿宋_GBK" w:hAnsi="方正仿宋_GBK" w:eastAsia="方正仿宋_GBK" w:cs="方正仿宋_GBK"/>
          <w:sz w:val="32"/>
          <w:szCs w:val="32"/>
          <w:shd w:val="clear" w:color="auto" w:fill="FFFFFF"/>
        </w:rPr>
        <w:t>万元。收支较上年决算数增加49.85万元，增长29.74%，主要原因是</w:t>
      </w:r>
      <w:r>
        <w:rPr>
          <w:rFonts w:hint="eastAsia" w:ascii="方正仿宋_GBK" w:hAnsi="方正仿宋_GBK" w:eastAsia="方正仿宋_GBK" w:cs="方正仿宋_GBK"/>
          <w:sz w:val="32"/>
          <w:szCs w:val="32"/>
          <w:shd w:val="clear" w:color="auto" w:fill="FFFFFF"/>
          <w:lang w:val="en-US" w:eastAsia="zh-CN"/>
        </w:rPr>
        <w:t>人员增加及政策性增资，另2023年对2021年度的超额绩效进行了清算，共计29.65万元。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2023年度收入合计217.45万元，较上年决算数增加65.34万元，增长42.96%，主要原因是</w:t>
      </w:r>
      <w:r>
        <w:rPr>
          <w:rFonts w:hint="eastAsia" w:ascii="方正仿宋_GBK" w:hAnsi="方正仿宋_GBK" w:eastAsia="方正仿宋_GBK" w:cs="方正仿宋_GBK"/>
          <w:sz w:val="32"/>
          <w:szCs w:val="32"/>
          <w:shd w:val="clear" w:color="auto" w:fill="FFFFFF"/>
          <w:lang w:val="en-US" w:eastAsia="zh-CN"/>
        </w:rPr>
        <w:t>人员增加及政策性增资，另2023年对2021年度的超额绩效进行了清算，共计29.65万元。</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217.45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217.45</w:t>
      </w:r>
      <w:r>
        <w:rPr>
          <w:rFonts w:ascii="方正仿宋_GBK" w:hAnsi="方正仿宋_GBK" w:eastAsia="方正仿宋_GBK" w:cs="方正仿宋_GBK"/>
          <w:sz w:val="32"/>
          <w:szCs w:val="32"/>
          <w:shd w:val="clear" w:color="auto" w:fill="FFFFFF"/>
        </w:rPr>
        <w:t>万元，较上年决算数增加65.27万元，增长42.89%，主要原因是</w:t>
      </w:r>
      <w:r>
        <w:rPr>
          <w:rFonts w:hint="eastAsia" w:ascii="方正仿宋_GBK" w:hAnsi="方正仿宋_GBK" w:eastAsia="方正仿宋_GBK" w:cs="方正仿宋_GBK"/>
          <w:sz w:val="32"/>
          <w:szCs w:val="32"/>
          <w:shd w:val="clear" w:color="auto" w:fill="FFFFFF"/>
          <w:lang w:val="en-US" w:eastAsia="zh-CN"/>
        </w:rPr>
        <w:t>人员增加及政策性增资，另2023年对2021年度的超额绩效进行了清算，共计29.65万元。</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184.11</w:t>
      </w:r>
      <w:r>
        <w:rPr>
          <w:rFonts w:ascii="方正仿宋_GBK" w:hAnsi="方正仿宋_GBK" w:eastAsia="方正仿宋_GBK" w:cs="方正仿宋_GBK"/>
          <w:sz w:val="32"/>
          <w:szCs w:val="32"/>
          <w:shd w:val="clear" w:color="auto" w:fill="FFFFFF"/>
        </w:rPr>
        <w:t>万元，占84.67%；项目支出</w:t>
      </w:r>
      <w:r>
        <w:rPr>
          <w:rFonts w:ascii="方正仿宋_GBK" w:hAnsi="方正仿宋_GBK" w:eastAsia="方正仿宋_GBK" w:cs="方正仿宋_GBK"/>
          <w:sz w:val="32"/>
          <w:szCs w:val="32"/>
        </w:rPr>
        <w:t>33.34</w:t>
      </w:r>
      <w:r>
        <w:rPr>
          <w:rFonts w:ascii="方正仿宋_GBK" w:hAnsi="方正仿宋_GBK" w:eastAsia="方正仿宋_GBK" w:cs="方正仿宋_GBK"/>
          <w:sz w:val="32"/>
          <w:szCs w:val="32"/>
          <w:shd w:val="clear" w:color="auto" w:fill="FFFFFF"/>
        </w:rPr>
        <w:t>万元，占15.33%。此外，结余分配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val="en-US" w:eastAsia="zh-CN"/>
        </w:rPr>
        <w:t>较上年决算数减少15.42万元，下降100.00%，主要原因是本单位实际没有结转结余资金，调整以前年度会计差错。</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2023年度财政拨款收、支总计217.45万元。与2022年相比，财政拨款收、支总计各增加65.07万元，增长42.70%。主要原因是</w:t>
      </w:r>
      <w:r>
        <w:rPr>
          <w:rFonts w:hint="eastAsia" w:ascii="方正仿宋_GBK" w:hAnsi="方正仿宋_GBK" w:eastAsia="方正仿宋_GBK" w:cs="方正仿宋_GBK"/>
          <w:sz w:val="32"/>
          <w:szCs w:val="32"/>
          <w:shd w:val="clear" w:color="auto" w:fill="FFFFFF"/>
          <w:lang w:val="en-US" w:eastAsia="zh-CN"/>
        </w:rPr>
        <w:t>人员增加及政策性增资，另2023年对2021年度的超额绩效进行了清算，共计29.65万元。</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217.45</w:t>
      </w:r>
      <w:r>
        <w:rPr>
          <w:rFonts w:ascii="方正仿宋_GBK" w:hAnsi="方正仿宋_GBK" w:eastAsia="方正仿宋_GBK" w:cs="方正仿宋_GBK"/>
          <w:sz w:val="32"/>
          <w:szCs w:val="32"/>
          <w:shd w:val="clear" w:color="auto" w:fill="FFFFFF"/>
        </w:rPr>
        <w:t>万元，较上年决算数增加65.34万元，增长42.96%。主要原因是</w:t>
      </w:r>
      <w:r>
        <w:rPr>
          <w:rFonts w:hint="eastAsia" w:ascii="方正仿宋_GBK" w:hAnsi="方正仿宋_GBK" w:eastAsia="方正仿宋_GBK" w:cs="方正仿宋_GBK"/>
          <w:sz w:val="32"/>
          <w:szCs w:val="32"/>
          <w:shd w:val="clear" w:color="auto" w:fill="FFFFFF"/>
          <w:lang w:val="en-US" w:eastAsia="zh-CN"/>
        </w:rPr>
        <w:t>人员增加及政策性增资，另2023年对2021年度的超额绩效进行了清算，共计29.65万元。</w:t>
      </w:r>
      <w:r>
        <w:rPr>
          <w:rFonts w:ascii="方正仿宋_GBK" w:hAnsi="方正仿宋_GBK" w:eastAsia="方正仿宋_GBK" w:cs="方正仿宋_GBK"/>
          <w:sz w:val="32"/>
          <w:szCs w:val="32"/>
          <w:shd w:val="clear" w:color="auto" w:fill="FFFFFF"/>
        </w:rPr>
        <w:t>较年初预算数增加48.23万元，增长28.50%。主要原因</w:t>
      </w:r>
      <w:r>
        <w:rPr>
          <w:rFonts w:hint="eastAsia" w:ascii="方正仿宋_GBK" w:hAnsi="方正仿宋_GBK" w:eastAsia="方正仿宋_GBK" w:cs="方正仿宋_GBK"/>
          <w:sz w:val="32"/>
          <w:szCs w:val="32"/>
          <w:shd w:val="clear" w:color="auto" w:fill="FFFFFF"/>
          <w:lang w:val="en-US" w:eastAsia="zh-CN"/>
        </w:rPr>
        <w:t>一是人员工资增长调整预算；二是部分资金为年中增加预算，主要有：2021年度的超额绩效清算29.65万元、创新人才安家费1.34万元、2023年社会保障专项转移支付资金12万元。</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217.45</w:t>
      </w:r>
      <w:r>
        <w:rPr>
          <w:rFonts w:ascii="方正仿宋_GBK" w:hAnsi="方正仿宋_GBK" w:eastAsia="方正仿宋_GBK" w:cs="方正仿宋_GBK"/>
          <w:sz w:val="32"/>
          <w:szCs w:val="32"/>
          <w:shd w:val="clear" w:color="auto" w:fill="FFFFFF"/>
        </w:rPr>
        <w:t>万元，较上年决算数增加65.27万元，增长42.89%。主要原因是</w:t>
      </w:r>
      <w:r>
        <w:rPr>
          <w:rFonts w:hint="eastAsia" w:ascii="方正仿宋_GBK" w:hAnsi="方正仿宋_GBK" w:eastAsia="方正仿宋_GBK" w:cs="方正仿宋_GBK"/>
          <w:sz w:val="32"/>
          <w:szCs w:val="32"/>
          <w:shd w:val="clear" w:color="auto" w:fill="FFFFFF"/>
          <w:lang w:val="en-US" w:eastAsia="zh-CN"/>
        </w:rPr>
        <w:t>人员增加及政策性增资，另2023年对2021年度的超额绩效进行了清算，共计29.65万元。</w:t>
      </w:r>
      <w:r>
        <w:rPr>
          <w:rFonts w:ascii="方正仿宋_GBK" w:hAnsi="方正仿宋_GBK" w:eastAsia="方正仿宋_GBK" w:cs="方正仿宋_GBK"/>
          <w:sz w:val="32"/>
          <w:szCs w:val="32"/>
          <w:shd w:val="clear" w:color="auto" w:fill="FFFFFF"/>
        </w:rPr>
        <w:t>较年初预算数增加48.23万元，增长28.50%。主要原因</w:t>
      </w:r>
      <w:r>
        <w:rPr>
          <w:rFonts w:hint="eastAsia" w:ascii="方正仿宋_GBK" w:hAnsi="方正仿宋_GBK" w:eastAsia="方正仿宋_GBK" w:cs="方正仿宋_GBK"/>
          <w:sz w:val="32"/>
          <w:szCs w:val="32"/>
          <w:shd w:val="clear" w:color="auto" w:fill="FFFFFF"/>
          <w:lang w:val="en-US" w:eastAsia="zh-CN"/>
        </w:rPr>
        <w:t>一是人员工资增长调整预算；二是部分资金为年中增加预算，主要有：2021年度的超额绩效清算29.65万元、创新人才安家费1.34万元、2023年社会保障专项转移支付资金12万元。</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lang w:val="en-US" w:eastAsia="zh-CN"/>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万元，较上年决算数减少0.20万元，下降100.00%，主要原因是</w:t>
      </w:r>
      <w:r>
        <w:rPr>
          <w:rFonts w:hint="eastAsia" w:ascii="方正仿宋_GBK" w:hAnsi="方正仿宋_GBK" w:eastAsia="方正仿宋_GBK" w:cs="方正仿宋_GBK"/>
          <w:color w:val="auto"/>
          <w:sz w:val="32"/>
          <w:szCs w:val="32"/>
          <w:shd w:val="clear" w:color="auto" w:fill="FFFFFF"/>
          <w:lang w:val="en-US" w:eastAsia="zh-CN"/>
        </w:rPr>
        <w:t>结余资金支付应付款。</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201.20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92.53</w:t>
      </w:r>
      <w:r>
        <w:rPr>
          <w:rFonts w:ascii="方正仿宋_GBK" w:hAnsi="方正仿宋_GBK" w:eastAsia="方正仿宋_GBK" w:cs="方正仿宋_GBK"/>
          <w:sz w:val="32"/>
          <w:szCs w:val="32"/>
          <w:shd w:val="clear" w:color="auto" w:fill="FFFFFF"/>
        </w:rPr>
        <w:t>%，较年初预算数增加49.16万元，增长32.33%，主要原因</w:t>
      </w:r>
      <w:r>
        <w:rPr>
          <w:rFonts w:hint="eastAsia" w:ascii="方正仿宋_GBK" w:hAnsi="方正仿宋_GBK" w:eastAsia="方正仿宋_GBK" w:cs="方正仿宋_GBK"/>
          <w:sz w:val="32"/>
          <w:szCs w:val="32"/>
          <w:shd w:val="clear" w:color="auto" w:fill="FFFFFF"/>
          <w:lang w:val="en-US" w:eastAsia="zh-CN"/>
        </w:rPr>
        <w:t xml:space="preserve">一是人员工资增长调整预算；二是部分资金为年中增加预算，主要有：2021年度的超额绩效清算29.65万元、创新人才安家费1.34万元、2023年社会保障专项转移支付资金12万元。  </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8.62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3.97</w:t>
      </w:r>
      <w:r>
        <w:rPr>
          <w:rFonts w:ascii="方正仿宋_GBK" w:hAnsi="方正仿宋_GBK" w:eastAsia="方正仿宋_GBK" w:cs="方正仿宋_GBK"/>
          <w:sz w:val="32"/>
          <w:szCs w:val="32"/>
          <w:shd w:val="clear" w:color="auto" w:fill="FFFFFF"/>
        </w:rPr>
        <w:t>%，较年初预算数无增减，主要原因</w:t>
      </w:r>
      <w:r>
        <w:rPr>
          <w:rFonts w:ascii="方正仿宋_GBK" w:hAnsi="方正仿宋_GBK" w:eastAsia="方正仿宋_GBK" w:cs="方正仿宋_GBK"/>
          <w:color w:val="auto"/>
          <w:sz w:val="32"/>
          <w:szCs w:val="32"/>
          <w:shd w:val="clear" w:color="auto" w:fill="FFFFFF"/>
        </w:rPr>
        <w:t>是</w:t>
      </w:r>
      <w:r>
        <w:rPr>
          <w:rFonts w:hint="eastAsia" w:ascii="方正仿宋_GBK" w:hAnsi="方正仿宋_GBK" w:eastAsia="方正仿宋_GBK" w:cs="方正仿宋_GBK"/>
          <w:color w:val="auto"/>
          <w:sz w:val="32"/>
          <w:szCs w:val="32"/>
          <w:shd w:val="clear" w:color="auto" w:fill="FFFFFF"/>
          <w:lang w:val="en-US" w:eastAsia="zh-CN"/>
        </w:rPr>
        <w:t>严格执行预算。</w:t>
      </w:r>
    </w:p>
    <w:p>
      <w:pPr>
        <w:keepNext w:val="0"/>
        <w:keepLines w:val="0"/>
        <w:pageBreakBefore w:val="0"/>
        <w:widowControl/>
        <w:kinsoku/>
        <w:overflowPunct/>
        <w:topLinePunct w:val="0"/>
        <w:autoSpaceDN/>
        <w:bidi w:val="0"/>
        <w:adjustRightInd/>
        <w:spacing w:beforeAutospacing="0" w:afterAutospacing="0" w:line="600" w:lineRule="exact"/>
        <w:ind w:left="0" w:firstLine="640" w:firstLineChars="200"/>
        <w:rPr>
          <w:rFonts w:hint="default"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住房保障支出7.62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3.51</w:t>
      </w:r>
      <w:r>
        <w:rPr>
          <w:rFonts w:ascii="方正仿宋_GBK" w:hAnsi="方正仿宋_GBK" w:eastAsia="方正仿宋_GBK" w:cs="方正仿宋_GBK"/>
          <w:sz w:val="32"/>
          <w:szCs w:val="32"/>
          <w:shd w:val="clear" w:color="auto" w:fill="FFFFFF"/>
        </w:rPr>
        <w:t>%，较年初预算数减少0.94万元，下降10.98%，主要原因是</w:t>
      </w:r>
      <w:r>
        <w:rPr>
          <w:rFonts w:hint="eastAsia" w:ascii="方正仿宋_GBK" w:hAnsi="方正仿宋_GBK" w:eastAsia="方正仿宋_GBK" w:cs="方正仿宋_GBK"/>
          <w:sz w:val="32"/>
          <w:szCs w:val="32"/>
          <w:shd w:val="clear" w:color="auto" w:fill="FFFFFF"/>
          <w:lang w:val="en-US" w:eastAsia="zh-CN"/>
        </w:rPr>
        <w:t>人员变动，公积金缴费总额减少。</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184.11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160.16</w:t>
      </w:r>
      <w:r>
        <w:rPr>
          <w:rFonts w:ascii="方正仿宋_GBK" w:hAnsi="方正仿宋_GBK" w:eastAsia="方正仿宋_GBK" w:cs="方正仿宋_GBK"/>
          <w:sz w:val="32"/>
          <w:szCs w:val="32"/>
          <w:shd w:val="clear" w:color="auto" w:fill="FFFFFF"/>
        </w:rPr>
        <w:t>万元，较上年决算数增加23.13万元，增长16.88%，主要原因是</w:t>
      </w:r>
      <w:r>
        <w:rPr>
          <w:rFonts w:hint="eastAsia" w:ascii="方正仿宋_GBK" w:hAnsi="方正仿宋_GBK" w:eastAsia="方正仿宋_GBK" w:cs="方正仿宋_GBK"/>
          <w:sz w:val="32"/>
          <w:szCs w:val="32"/>
          <w:shd w:val="clear" w:color="auto" w:fill="FFFFFF"/>
          <w:lang w:val="en-US" w:eastAsia="zh-CN"/>
        </w:rPr>
        <w:t>2023年对2021年度的超额绩效进行了清算，共计29.65万元。</w:t>
      </w:r>
      <w:r>
        <w:rPr>
          <w:rFonts w:ascii="方正仿宋_GBK" w:hAnsi="方正仿宋_GBK" w:eastAsia="方正仿宋_GBK" w:cs="方正仿宋_GBK"/>
          <w:sz w:val="32"/>
          <w:szCs w:val="32"/>
          <w:shd w:val="clear" w:color="auto" w:fill="FFFFFF"/>
        </w:rPr>
        <w:t>人员经费用途主要包括</w:t>
      </w:r>
      <w:r>
        <w:rPr>
          <w:rFonts w:hint="default" w:ascii="Times New Roman" w:hAnsi="Times New Roman" w:eastAsia="方正仿宋_GBK" w:cs="Times New Roman"/>
          <w:sz w:val="32"/>
          <w:szCs w:val="32"/>
        </w:rPr>
        <w:t>基本工资、津贴补贴、奖金、社会保障缴费、公积金缴费、超额绩效等。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23.95</w:t>
      </w:r>
      <w:r>
        <w:rPr>
          <w:rFonts w:ascii="方正仿宋_GBK" w:hAnsi="方正仿宋_GBK" w:eastAsia="方正仿宋_GBK" w:cs="方正仿宋_GBK"/>
          <w:sz w:val="32"/>
          <w:szCs w:val="32"/>
          <w:shd w:val="clear" w:color="auto" w:fill="FFFFFF"/>
        </w:rPr>
        <w:t>万元，较上年决算数增加8.80万元，增长58.09%，主要原因是</w:t>
      </w:r>
      <w:r>
        <w:rPr>
          <w:rFonts w:hint="default" w:ascii="Times New Roman" w:hAnsi="Times New Roman" w:eastAsia="方正仿宋_GBK" w:cs="Times New Roman"/>
          <w:sz w:val="32"/>
          <w:szCs w:val="32"/>
        </w:rPr>
        <w:t>职业技能鉴定业务量</w:t>
      </w:r>
      <w:r>
        <w:rPr>
          <w:rFonts w:hint="eastAsia" w:ascii="Times New Roman" w:hAnsi="Times New Roman" w:eastAsia="方正仿宋_GBK" w:cs="Times New Roman"/>
          <w:sz w:val="32"/>
          <w:szCs w:val="32"/>
          <w:lang w:val="en-US" w:eastAsia="zh-CN"/>
        </w:rPr>
        <w:t>增加。</w:t>
      </w:r>
      <w:r>
        <w:rPr>
          <w:rFonts w:ascii="方正仿宋_GBK" w:hAnsi="方正仿宋_GBK" w:eastAsia="方正仿宋_GBK" w:cs="方正仿宋_GBK"/>
          <w:sz w:val="32"/>
          <w:szCs w:val="32"/>
          <w:shd w:val="clear" w:color="auto" w:fill="FFFFFF"/>
        </w:rPr>
        <w:t>公用经费用途主要包括</w:t>
      </w:r>
      <w:r>
        <w:rPr>
          <w:rFonts w:hint="default" w:ascii="Times New Roman" w:hAnsi="Times New Roman" w:eastAsia="方正仿宋_GBK" w:cs="Times New Roman"/>
          <w:sz w:val="32"/>
          <w:szCs w:val="32"/>
        </w:rPr>
        <w:t>办公费、印刷费、差旅费、食堂用餐伙食费、委托业务费等。</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本单位2023年度无政府性基金预算财政拨款收支。</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本单位2023年度无国有资本经营预算财政拨款支出。</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万元，较年初预算数减少0.70万元，下降18.92%，主要原因是</w:t>
      </w:r>
      <w:r>
        <w:rPr>
          <w:rFonts w:hint="default" w:ascii="Times New Roman" w:hAnsi="Times New Roman" w:eastAsia="方正仿宋_GBK" w:cs="Times New Roman"/>
          <w:sz w:val="32"/>
          <w:szCs w:val="32"/>
        </w:rPr>
        <w:t>认真贯彻落实中央八项规定精神和厉行节约要求，严格落实公车使用规定，严禁公车私用。</w:t>
      </w:r>
      <w:r>
        <w:rPr>
          <w:rFonts w:ascii="方正仿宋_GBK" w:hAnsi="方正仿宋_GBK" w:eastAsia="方正仿宋_GBK" w:cs="方正仿宋_GBK"/>
          <w:sz w:val="32"/>
          <w:szCs w:val="32"/>
          <w:shd w:val="clear" w:color="auto" w:fill="FFFFFF"/>
        </w:rPr>
        <w:t>较上年支出数减少0.81万元，下降21.26%，主要原因是</w:t>
      </w:r>
      <w:r>
        <w:rPr>
          <w:rFonts w:hint="default" w:ascii="Times New Roman" w:hAnsi="Times New Roman" w:eastAsia="方正仿宋_GBK" w:cs="Times New Roman"/>
          <w:sz w:val="32"/>
          <w:szCs w:val="32"/>
        </w:rPr>
        <w:t>认真贯彻落实中央八项规定精神和厉行节约要求，严格落实公车使用规定，严禁公车私用。</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spacing w:line="560" w:lineRule="exact"/>
        <w:ind w:firstLine="640" w:firstLineChars="2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1.202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年度本单位未发生因公出国（境）费用，</w:t>
      </w:r>
      <w:r>
        <w:rPr>
          <w:rFonts w:hint="default" w:ascii="Times New Roman" w:hAnsi="Times New Roman" w:eastAsia="方正仿宋_GBK" w:cs="Times New Roman"/>
          <w:color w:val="000000"/>
          <w:sz w:val="32"/>
          <w:szCs w:val="32"/>
        </w:rPr>
        <w:t>与年初预算数及上年决算数持平。</w:t>
      </w:r>
    </w:p>
    <w:p>
      <w:pPr>
        <w:spacing w:line="560" w:lineRule="exact"/>
        <w:ind w:firstLine="640" w:firstLineChars="200"/>
        <w:rPr>
          <w:rFonts w:hint="default" w:ascii="方正仿宋_GBK" w:hAnsi="方正仿宋_GBK" w:eastAsia="方正仿宋_GBK" w:cs="方正仿宋_GBK"/>
          <w:sz w:val="32"/>
          <w:szCs w:val="32"/>
        </w:rPr>
      </w:pPr>
      <w:r>
        <w:rPr>
          <w:rFonts w:hint="default" w:ascii="Times New Roman" w:hAnsi="Times New Roman" w:eastAsia="方正仿宋_GBK" w:cs="Times New Roman"/>
          <w:sz w:val="32"/>
          <w:szCs w:val="32"/>
        </w:rPr>
        <w:t>2.202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年度本单位未发生公务车购置费，</w:t>
      </w:r>
      <w:r>
        <w:rPr>
          <w:rFonts w:hint="default" w:ascii="Times New Roman" w:hAnsi="Times New Roman" w:eastAsia="方正仿宋_GBK" w:cs="Times New Roman"/>
          <w:color w:val="000000"/>
          <w:sz w:val="32"/>
          <w:szCs w:val="32"/>
        </w:rPr>
        <w:t>与年初预算数及上年决算数持平。</w:t>
      </w:r>
    </w:p>
    <w:p>
      <w:pPr>
        <w:pStyle w:val="6"/>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万元，主要用于</w:t>
      </w:r>
      <w:r>
        <w:rPr>
          <w:rFonts w:hint="default" w:ascii="Times New Roman" w:hAnsi="Times New Roman" w:eastAsia="方正仿宋_GBK" w:cs="Times New Roman"/>
          <w:sz w:val="32"/>
          <w:szCs w:val="32"/>
        </w:rPr>
        <w:t>机要文件交换、市内因公出行、社会保障业务检查等工作所需车辆的燃料费、维修费、过桥过路费、保险费等。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费用支出较年初预算数无增减，主要原因是</w:t>
      </w:r>
      <w:r>
        <w:rPr>
          <w:rFonts w:hint="eastAsia" w:ascii="方正仿宋_GBK" w:hAnsi="方正仿宋_GBK" w:eastAsia="方正仿宋_GBK" w:cs="方正仿宋_GBK"/>
          <w:color w:val="auto"/>
          <w:sz w:val="32"/>
          <w:szCs w:val="32"/>
          <w:shd w:val="clear" w:color="auto" w:fill="FFFFFF"/>
          <w:lang w:val="en-US" w:eastAsia="zh-CN"/>
        </w:rPr>
        <w:t>严格执行预算。</w:t>
      </w:r>
      <w:r>
        <w:rPr>
          <w:rFonts w:ascii="方正仿宋_GBK" w:hAnsi="方正仿宋_GBK" w:eastAsia="方正仿宋_GBK" w:cs="方正仿宋_GBK"/>
          <w:sz w:val="32"/>
          <w:szCs w:val="32"/>
          <w:shd w:val="clear" w:color="auto" w:fill="FFFFFF"/>
        </w:rPr>
        <w:t>较上年支出数减少0.81万元，下降21.26%，主要原因是</w:t>
      </w:r>
      <w:r>
        <w:rPr>
          <w:rFonts w:hint="default" w:ascii="Times New Roman" w:hAnsi="Times New Roman" w:eastAsia="方正仿宋_GBK" w:cs="Times New Roman"/>
          <w:sz w:val="32"/>
          <w:szCs w:val="32"/>
        </w:rPr>
        <w:t>认真贯彻落实中央八项规定精神和厉行节约要求，严格落实公车使用规定，严禁公车私用。</w:t>
      </w:r>
      <w:r>
        <w:rPr>
          <w:rFonts w:ascii="方正仿宋_GBK" w:hAnsi="方正仿宋_GBK" w:eastAsia="方正仿宋_GBK" w:cs="方正仿宋_GBK"/>
          <w:sz w:val="32"/>
          <w:szCs w:val="32"/>
          <w:shd w:val="clear" w:color="auto" w:fill="FFFFFF"/>
        </w:rPr>
        <w:t> </w:t>
      </w:r>
    </w:p>
    <w:p>
      <w:pPr>
        <w:pStyle w:val="6"/>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4.</w:t>
      </w: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年度本单位未发生公务</w:t>
      </w:r>
      <w:r>
        <w:rPr>
          <w:rFonts w:hint="eastAsia" w:ascii="Times New Roman" w:hAnsi="Times New Roman" w:eastAsia="方正仿宋_GBK" w:cs="Times New Roman"/>
          <w:sz w:val="32"/>
          <w:szCs w:val="32"/>
          <w:lang w:val="en-US" w:eastAsia="zh-CN"/>
        </w:rPr>
        <w:t>接待</w:t>
      </w:r>
      <w:r>
        <w:rPr>
          <w:rFonts w:hint="default" w:ascii="Times New Roman" w:hAnsi="Times New Roman" w:eastAsia="方正仿宋_GBK" w:cs="Times New Roman"/>
          <w:sz w:val="32"/>
          <w:szCs w:val="32"/>
        </w:rPr>
        <w:t>费，</w:t>
      </w:r>
      <w:r>
        <w:rPr>
          <w:rFonts w:hint="default" w:ascii="Times New Roman" w:hAnsi="Times New Roman" w:eastAsia="方正仿宋_GBK" w:cs="Times New Roman"/>
          <w:color w:val="000000"/>
          <w:sz w:val="32"/>
          <w:szCs w:val="32"/>
        </w:rPr>
        <w:t>与年初预算数及上年决算数持平。</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3.00</w:t>
      </w:r>
      <w:r>
        <w:rPr>
          <w:rFonts w:ascii="方正仿宋_GBK" w:hAnsi="方正仿宋_GBK" w:eastAsia="方正仿宋_GBK" w:cs="方正仿宋_GBK"/>
          <w:sz w:val="32"/>
          <w:szCs w:val="32"/>
          <w:shd w:val="clear" w:color="auto" w:fill="FFFFFF"/>
        </w:rPr>
        <w:t>万元。</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keepNext w:val="0"/>
        <w:keepLines w:val="0"/>
        <w:pageBreakBefore w:val="0"/>
        <w:widowControl/>
        <w:numPr>
          <w:ilvl w:val="0"/>
          <w:numId w:val="0"/>
        </w:numPr>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default" w:ascii="Times New Roman" w:hAnsi="Times New Roman" w:eastAsia="方正仿宋_GBK" w:cs="Times New Roman"/>
          <w:color w:val="000000"/>
          <w:sz w:val="32"/>
          <w:szCs w:val="32"/>
        </w:rPr>
        <w:t>与年初预算数及上年决算数持平</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w:t>
      </w:r>
      <w:r>
        <w:rPr>
          <w:rFonts w:hint="default" w:ascii="Times New Roman" w:hAnsi="Times New Roman" w:eastAsia="方正仿宋_GBK" w:cs="Times New Roman"/>
          <w:color w:val="000000"/>
          <w:sz w:val="32"/>
          <w:szCs w:val="32"/>
        </w:rPr>
        <w:t>与年初预算数及上年决算数持平。</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rPr>
      </w:pPr>
      <w:r>
        <w:rPr>
          <w:rFonts w:hint="default" w:ascii="方正仿宋_GBK" w:hAnsi="方正仿宋_GBK" w:eastAsia="方正仿宋_GBK" w:cs="方正仿宋_GBK"/>
          <w:color w:val="auto"/>
          <w:sz w:val="32"/>
          <w:szCs w:val="32"/>
        </w:rPr>
        <w:t>按照部门决算列报口径，我单位不在机关运行经费统计范围之内。</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2023年度我单位未发生政府采购事项，无相关经费支出。</w:t>
      </w:r>
    </w:p>
    <w:p>
      <w:pPr>
        <w:pStyle w:val="6"/>
        <w:keepNext w:val="0"/>
        <w:keepLines w:val="0"/>
        <w:pageBreakBefore w:val="0"/>
        <w:widowControl/>
        <w:numPr>
          <w:ilvl w:val="0"/>
          <w:numId w:val="1"/>
        </w:numPr>
        <w:shd w:val="clear" w:color="auto" w:fill="FFFFFF"/>
        <w:kinsoku/>
        <w:overflowPunct/>
        <w:topLinePunct w:val="0"/>
        <w:autoSpaceDN/>
        <w:bidi w:val="0"/>
        <w:adjustRightInd/>
        <w:spacing w:beforeAutospacing="0" w:after="0" w:afterAutospacing="0" w:line="600" w:lineRule="exact"/>
        <w:ind w:left="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1"/>
        <w:keepNext w:val="0"/>
        <w:keepLines w:val="0"/>
        <w:pageBreakBefore w:val="0"/>
        <w:widowControl/>
        <w:numPr>
          <w:ilvl w:val="0"/>
          <w:numId w:val="0"/>
        </w:numPr>
        <w:kinsoku/>
        <w:overflowPunct/>
        <w:topLinePunct w:val="0"/>
        <w:autoSpaceDE w:val="0"/>
        <w:autoSpaceDN/>
        <w:bidi w:val="0"/>
        <w:adjustRightInd/>
        <w:spacing w:beforeAutospacing="0" w:afterAutospacing="0" w:line="600" w:lineRule="exact"/>
        <w:ind w:firstLine="640" w:firstLineChars="200"/>
        <w:rPr>
          <w:rFonts w:hint="eastAsia" w:ascii="方正仿宋_GBK" w:hAnsi="方正仿宋_GBK" w:eastAsia="方正仿宋_GBK" w:cs="方正仿宋_GBK"/>
          <w:sz w:val="32"/>
          <w:szCs w:val="32"/>
          <w:highlight w:val="yellow"/>
          <w:shd w:val="clear" w:color="auto" w:fill="FFFFFF"/>
          <w:lang w:eastAsia="zh-CN"/>
        </w:rPr>
      </w:pPr>
      <w:r>
        <w:rPr>
          <w:rFonts w:hint="eastAsia" w:ascii="方正仿宋_GBK" w:hAnsi="方正仿宋_GBK" w:eastAsia="方正仿宋_GBK" w:cs="方正仿宋_GBK"/>
          <w:sz w:val="32"/>
          <w:szCs w:val="32"/>
          <w:shd w:val="clear" w:color="auto" w:fill="FFFFFF"/>
        </w:rPr>
        <w:t>根据预算绩效管理要求，我单位对</w:t>
      </w:r>
      <w:r>
        <w:rPr>
          <w:rFonts w:hint="eastAsia" w:ascii="方正仿宋_GBK" w:hAnsi="方正仿宋_GBK" w:eastAsia="方正仿宋_GBK" w:cs="方正仿宋_GBK"/>
          <w:sz w:val="32"/>
          <w:szCs w:val="32"/>
          <w:shd w:val="clear" w:color="auto" w:fill="FFFFFF"/>
          <w:lang w:val="en-US" w:eastAsia="zh-CN"/>
        </w:rPr>
        <w:t>4</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hint="eastAsia" w:ascii="方正仿宋_GBK" w:hAnsi="方正仿宋_GBK" w:eastAsia="方正仿宋_GBK" w:cs="方正仿宋_GBK"/>
          <w:sz w:val="32"/>
          <w:szCs w:val="32"/>
          <w:shd w:val="clear" w:color="auto" w:fill="FFFFFF"/>
          <w:lang w:val="en-US" w:eastAsia="zh-CN"/>
        </w:rPr>
        <w:t>33.66</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bidi="ar-SA"/>
        </w:rPr>
        <w:t>详见附件1。</w:t>
      </w:r>
    </w:p>
    <w:p>
      <w:pPr>
        <w:pStyle w:val="11"/>
        <w:keepNext w:val="0"/>
        <w:keepLines w:val="0"/>
        <w:pageBreakBefore w:val="0"/>
        <w:widowControl/>
        <w:numPr>
          <w:ilvl w:val="0"/>
          <w:numId w:val="2"/>
        </w:numPr>
        <w:kinsoku/>
        <w:overflowPunct/>
        <w:topLinePunct w:val="0"/>
        <w:autoSpaceDE w:val="0"/>
        <w:autoSpaceDN/>
        <w:bidi w:val="0"/>
        <w:adjustRightInd/>
        <w:spacing w:beforeAutospacing="0" w:afterAutospacing="0" w:line="600" w:lineRule="exact"/>
        <w:ind w:left="0" w:firstLine="643"/>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pPr>
        <w:pStyle w:val="11"/>
        <w:keepNext w:val="0"/>
        <w:keepLines w:val="0"/>
        <w:pageBreakBefore w:val="0"/>
        <w:widowControl/>
        <w:numPr>
          <w:ilvl w:val="0"/>
          <w:numId w:val="0"/>
        </w:numPr>
        <w:kinsoku/>
        <w:overflowPunct/>
        <w:topLinePunct w:val="0"/>
        <w:autoSpaceDE w:val="0"/>
        <w:autoSpaceDN/>
        <w:bidi w:val="0"/>
        <w:adjustRightInd/>
        <w:spacing w:beforeAutospacing="0" w:afterAutospacing="0" w:line="600" w:lineRule="exact"/>
        <w:ind w:leftChars="200" w:firstLine="320" w:firstLineChars="1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我单位未组织开展绩效评价。</w:t>
      </w:r>
    </w:p>
    <w:p>
      <w:pPr>
        <w:pStyle w:val="11"/>
        <w:keepNext w:val="0"/>
        <w:keepLines w:val="0"/>
        <w:pageBreakBefore w:val="0"/>
        <w:widowControl/>
        <w:numPr>
          <w:ilvl w:val="0"/>
          <w:numId w:val="2"/>
        </w:numPr>
        <w:kinsoku/>
        <w:overflowPunct/>
        <w:topLinePunct w:val="0"/>
        <w:autoSpaceDE w:val="0"/>
        <w:autoSpaceDN/>
        <w:bidi w:val="0"/>
        <w:adjustRightInd/>
        <w:spacing w:beforeAutospacing="0" w:afterAutospacing="0" w:line="600" w:lineRule="exact"/>
        <w:ind w:left="0" w:leftChars="0" w:firstLine="643" w:firstLineChars="200"/>
        <w:rPr>
          <w:rFonts w:hint="eastAsia"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财政绩效评价情况</w:t>
      </w:r>
    </w:p>
    <w:p>
      <w:pPr>
        <w:pStyle w:val="11"/>
        <w:keepNext w:val="0"/>
        <w:keepLines w:val="0"/>
        <w:pageBreakBefore w:val="0"/>
        <w:widowControl/>
        <w:numPr>
          <w:ilvl w:val="0"/>
          <w:numId w:val="0"/>
        </w:numPr>
        <w:kinsoku/>
        <w:overflowPunct/>
        <w:topLinePunct w:val="0"/>
        <w:autoSpaceDE w:val="0"/>
        <w:autoSpaceDN/>
        <w:bidi w:val="0"/>
        <w:adjustRightInd/>
        <w:spacing w:beforeAutospacing="0" w:afterAutospacing="0" w:line="600" w:lineRule="exact"/>
        <w:ind w:leftChars="200"/>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市财政局未委托第三方对我单位开展绩效评价。</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keepNext w:val="0"/>
        <w:keepLines w:val="0"/>
        <w:pageBreakBefore w:val="0"/>
        <w:widowControl/>
        <w:kinsoku/>
        <w:overflowPunct/>
        <w:topLinePunct w:val="0"/>
        <w:autoSpaceDN/>
        <w:bidi w:val="0"/>
        <w:adjustRightInd/>
        <w:snapToGrid w:val="0"/>
        <w:spacing w:before="0" w:beforeAutospacing="0" w:after="0" w:afterAutospacing="0" w:line="600" w:lineRule="exact"/>
        <w:ind w:left="0"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overflowPunct/>
        <w:topLinePunct w:val="0"/>
        <w:autoSpaceDN/>
        <w:bidi w:val="0"/>
        <w:adjustRightInd/>
        <w:spacing w:beforeAutospacing="0" w:after="0" w:afterAutospacing="0" w:line="600" w:lineRule="exact"/>
        <w:ind w:left="0"/>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hd w:val="clear" w:color="auto" w:fill="FFFFFF"/>
        <w:spacing w:before="0" w:beforeAutospacing="0" w:after="0" w:afterAutospacing="0" w:line="600" w:lineRule="exact"/>
        <w:ind w:firstLine="640" w:firstLineChars="200"/>
        <w:rPr>
          <w:rFonts w:hint="default" w:ascii="Times New Roman" w:hAnsi="Times New Roman" w:eastAsia="方正仿宋_GBK" w:cs="Times New Roman"/>
          <w:sz w:val="32"/>
          <w:szCs w:val="32"/>
        </w:rPr>
      </w:pPr>
      <w:r>
        <w:rPr>
          <w:rFonts w:ascii="方正仿宋_GBK" w:hAnsi="方正仿宋_GBK" w:eastAsia="方正仿宋_GBK" w:cs="方正仿宋_GBK"/>
          <w:sz w:val="32"/>
          <w:szCs w:val="32"/>
          <w:shd w:val="clear" w:color="auto" w:fill="FFFFFF"/>
        </w:rPr>
        <w:t>本单位决算公开信息反馈和联系方式：</w:t>
      </w:r>
      <w:r>
        <w:rPr>
          <w:rFonts w:hint="default" w:ascii="Times New Roman" w:hAnsi="Times New Roman" w:eastAsia="方正仿宋_GBK" w:cs="Times New Roman"/>
          <w:sz w:val="32"/>
          <w:szCs w:val="32"/>
        </w:rPr>
        <w:t>代鑫  023-70605558</w:t>
      </w:r>
    </w:p>
    <w:p>
      <w:pPr>
        <w:pStyle w:val="11"/>
        <w:keepNext w:val="0"/>
        <w:keepLines w:val="0"/>
        <w:pageBreakBefore w:val="0"/>
        <w:widowControl/>
        <w:kinsoku/>
        <w:overflowPunct/>
        <w:topLinePunct w:val="0"/>
        <w:autoSpaceDE w:val="0"/>
        <w:autoSpaceDN/>
        <w:bidi w:val="0"/>
        <w:adjustRightInd/>
        <w:spacing w:beforeAutospacing="0" w:afterAutospacing="0" w:line="600" w:lineRule="exact"/>
        <w:ind w:left="0"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cs="Arial"/>
                <w:color w:val="000000"/>
                <w:sz w:val="22"/>
                <w:szCs w:val="22"/>
              </w:rPr>
            </w:pPr>
            <w:r>
              <w:rPr>
                <w:rFonts w:cs="宋体"/>
                <w:sz w:val="20"/>
                <w:szCs w:val="20"/>
              </w:rPr>
              <w:t>公开单位：</w:t>
            </w:r>
            <w:r>
              <w:rPr>
                <w:sz w:val="20"/>
                <w:u w:color="auto"/>
              </w:rPr>
              <w:t>重庆市丰都县人力资源考试测评服务中心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217.45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201.20</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8.62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7.62</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217.45</w:t>
            </w: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217.45</w:t>
            </w: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217.45</w:t>
            </w:r>
            <w:r>
              <w:rPr>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217.45</w:t>
            </w:r>
            <w:r>
              <w:rPr>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cs="宋体"/>
          <w:sz w:val="20"/>
          <w:szCs w:val="20"/>
        </w:rPr>
      </w:pPr>
    </w:p>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0"/>
          <w:szCs w:val="20"/>
        </w:rPr>
      </w:pPr>
      <w:r>
        <w:rPr>
          <w:rFonts w:cs="宋体"/>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r>
              <w:rPr>
                <w:rFonts w:cs="宋体"/>
                <w:sz w:val="20"/>
                <w:szCs w:val="20"/>
              </w:rPr>
              <w:t>公开单位：</w:t>
            </w:r>
            <w:r>
              <w:rPr>
                <w:sz w:val="20"/>
                <w:u w:color="auto"/>
              </w:rPr>
              <w:t>重庆市丰都县人力资源考试测评服务中心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bCs/>
                <w:color w:val="000000"/>
                <w:sz w:val="20"/>
                <w:szCs w:val="20"/>
              </w:rPr>
              <w:t>217.45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bCs/>
                <w:color w:val="000000"/>
                <w:sz w:val="20"/>
                <w:szCs w:val="20"/>
              </w:rPr>
              <w:t>217.45</w:t>
            </w: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201.20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201.20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150.45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150.45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其他人力资源和社会保障管理事务支出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150.45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150.45</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18.75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18.75</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9.24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9.24</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9.52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9.52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32.00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32.00</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32.00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32.00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8.62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8.62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8.62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8.62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2.92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7.62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7.62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7.62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7.62</w:t>
            </w:r>
            <w:r>
              <w:rPr>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7.62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7.62</w:t>
            </w: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0"/>
          <w:szCs w:val="20"/>
        </w:rPr>
      </w:pPr>
      <w:r>
        <w:rPr>
          <w:rFonts w:cs="宋体"/>
          <w:sz w:val="20"/>
          <w:szCs w:val="20"/>
        </w:rPr>
        <w:br w:type="page"/>
      </w:r>
    </w:p>
    <w:tbl>
      <w:tblPr>
        <w:tblStyle w:val="7"/>
        <w:tblW w:w="5000" w:type="pct"/>
        <w:tblInd w:w="0" w:type="dxa"/>
        <w:tblLayout w:type="autofit"/>
        <w:tblCellMar>
          <w:top w:w="0" w:type="dxa"/>
          <w:left w:w="0" w:type="dxa"/>
          <w:bottom w:w="0" w:type="dxa"/>
          <w:right w:w="0" w:type="dxa"/>
        </w:tblCellMar>
      </w:tblPr>
      <w:tblGrid>
        <w:gridCol w:w="1791"/>
        <w:gridCol w:w="3430"/>
        <w:gridCol w:w="1690"/>
        <w:gridCol w:w="1690"/>
        <w:gridCol w:w="1690"/>
        <w:gridCol w:w="1675"/>
        <w:gridCol w:w="1675"/>
        <w:gridCol w:w="1737"/>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 xml:space="preserve">重庆市丰都县人力资源考试测评服务中心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bCs/>
                <w:color w:val="000000"/>
                <w:sz w:val="20"/>
                <w:szCs w:val="20"/>
              </w:rPr>
              <w:t>217.45</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bCs/>
                <w:color w:val="000000"/>
                <w:sz w:val="20"/>
                <w:szCs w:val="20"/>
              </w:rPr>
              <w:t>184.11</w:t>
            </w:r>
            <w:r>
              <w:rPr>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bCs/>
                <w:color w:val="000000"/>
                <w:sz w:val="20"/>
                <w:szCs w:val="20"/>
              </w:rPr>
              <w:t>33.34</w:t>
            </w: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201.20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167.86</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33.34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150.45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149.11</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1.34</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其他人力资源和社会保障管理事务支出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150.45</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149.11</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1.34</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18.75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18.75</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9.24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9.24</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9.52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9.52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32.00</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32.00</w:t>
            </w:r>
            <w:r>
              <w:rPr>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32.00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32.00</w:t>
            </w: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8.62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8.62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8.62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8.62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5.70</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2.92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7.62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7.62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7.62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b/>
                <w:color w:val="000000"/>
                <w:sz w:val="20"/>
                <w:szCs w:val="20"/>
              </w:rPr>
              <w:t>7.62</w:t>
            </w:r>
            <w:r>
              <w:rPr>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7.62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rFonts w:cs="宋体"/>
                <w:color w:val="000000"/>
                <w:sz w:val="20"/>
                <w:szCs w:val="20"/>
              </w:rPr>
              <w:t>7.62</w:t>
            </w:r>
            <w:r>
              <w:rPr>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20"/>
                <w:szCs w:val="20"/>
              </w:rPr>
            </w:pPr>
            <w:r>
              <w:rPr>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1"/>
          <w:szCs w:val="21"/>
        </w:rPr>
      </w:pPr>
      <w:r>
        <w:rPr>
          <w:rFonts w:cs="宋体"/>
          <w:sz w:val="21"/>
          <w:szCs w:val="21"/>
        </w:rPr>
        <w:br w:type="page"/>
      </w:r>
    </w:p>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重庆市丰都县人力资源考试测评服务中心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217.45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201.20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201.20</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8.62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8.62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7.62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7.62</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217.45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217.45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217.45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217.45</w:t>
            </w:r>
            <w:r>
              <w:rPr>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217.45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217.45</w:t>
            </w:r>
            <w:r>
              <w:rPr>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重庆市丰都县人力资源考试测评服务中心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bCs/>
                <w:color w:val="000000"/>
                <w:sz w:val="20"/>
                <w:szCs w:val="20"/>
              </w:rPr>
              <w:t>217.45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bCs/>
                <w:color w:val="000000"/>
                <w:sz w:val="20"/>
                <w:szCs w:val="20"/>
              </w:rPr>
              <w:t>184.11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bCs/>
                <w:color w:val="000000"/>
                <w:sz w:val="20"/>
                <w:szCs w:val="20"/>
              </w:rPr>
              <w:t>33.34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201.20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167.86</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33.34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150.45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149.11</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1.34</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其他人力资源和社会保障管理事务支出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150.45</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149.11</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1.34</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18.75</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18.75</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9.24</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9.24</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9.52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9.52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32.00</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32.00</w:t>
            </w:r>
            <w:r>
              <w:rPr>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32.00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32.00</w:t>
            </w: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8.62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8.62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8.62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8.62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5.70</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5.70</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2.92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2.92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7.62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7.62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7.62</w:t>
            </w:r>
            <w:r>
              <w:rPr>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b/>
                <w:color w:val="000000"/>
                <w:sz w:val="20"/>
                <w:szCs w:val="20"/>
              </w:rPr>
              <w:t>7.62</w:t>
            </w:r>
            <w:r>
              <w:rPr>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7.62</w:t>
            </w:r>
            <w:r>
              <w:rPr>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rFonts w:cs="宋体"/>
                <w:color w:val="000000"/>
                <w:sz w:val="20"/>
                <w:szCs w:val="20"/>
              </w:rPr>
              <w:t>7.62</w:t>
            </w:r>
            <w:r>
              <w:rPr>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ind w:left="0" w:firstLine="630" w:firstLineChars="300"/>
        <w:rPr>
          <w:rFonts w:hint="default" w:cs="宋体"/>
          <w:sz w:val="21"/>
          <w:szCs w:val="21"/>
        </w:rPr>
      </w:pPr>
      <w:r>
        <w:rPr>
          <w:rFonts w:cs="宋体"/>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u w:color="auto"/>
              </w:rPr>
              <w:t>重庆市丰都县人力资源考试测评服务中心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159.84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23.95</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36.37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0.09</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1.16</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87.07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0.11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9.24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0.38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9.52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0.98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5.70</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1.64</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7.87</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1.28</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0.32</w:t>
            </w: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17.78</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3.00</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0.61</w:t>
            </w: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bottom"/>
              <w:rPr>
                <w:rFonts w:hint="default" w:cs="宋体"/>
                <w:color w:val="000000"/>
                <w:sz w:val="18"/>
                <w:szCs w:val="18"/>
              </w:rPr>
            </w:pPr>
            <w:r>
              <w:rPr>
                <w:rFonts w:cs="宋体"/>
                <w:color w:val="000000"/>
                <w:sz w:val="18"/>
                <w:szCs w:val="18"/>
              </w:rPr>
              <w:t>160.16</w:t>
            </w:r>
            <w:r>
              <w:rPr>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color w:val="000000"/>
                <w:sz w:val="18"/>
                <w:szCs w:val="18"/>
              </w:rPr>
            </w:pPr>
            <w:r>
              <w:rPr>
                <w:rFonts w:cs="宋体"/>
                <w:color w:val="000000"/>
                <w:sz w:val="18"/>
                <w:szCs w:val="18"/>
              </w:rPr>
              <w:t>23.95</w:t>
            </w:r>
            <w:r>
              <w:rPr>
                <w:color w:val="000000"/>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重庆市丰都县人力资源考试测评服务中心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1"/>
          <w:szCs w:val="21"/>
        </w:rPr>
      </w:pP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重庆市丰都县人力资源考试测评服务中心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jc w:val="right"/>
              <w:textAlignment w:val="center"/>
              <w:rPr>
                <w:rFonts w:hint="default" w:cs="宋体"/>
                <w:b/>
                <w:color w:val="000000"/>
                <w:sz w:val="20"/>
                <w:szCs w:val="20"/>
              </w:rPr>
            </w:pPr>
            <w:r>
              <w:rPr>
                <w:b/>
                <w:color w:val="000000"/>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u w:color="auto"/>
              </w:rPr>
              <w:t>重庆市丰都县人力资源考试测评服务中心</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3.00</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rFonts w:cs="宋体"/>
                <w:color w:val="000000"/>
                <w:sz w:val="16"/>
                <w:szCs w:val="16"/>
              </w:rPr>
              <w:t>1</w:t>
            </w: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textAlignment w:val="bottom"/>
              <w:rPr>
                <w:rFonts w:hint="default" w:cs="宋体"/>
                <w:color w:val="000000"/>
                <w:sz w:val="16"/>
                <w:szCs w:val="16"/>
              </w:rPr>
            </w:pPr>
            <w:r>
              <w:rPr>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jc w:val="right"/>
              <w:rPr>
                <w:rFonts w:hint="default" w:cs="宋体"/>
                <w:color w:val="000000"/>
                <w:sz w:val="16"/>
                <w:szCs w:val="16"/>
              </w:rPr>
            </w:pPr>
          </w:p>
        </w:tc>
      </w:tr>
    </w:tbl>
    <w:p>
      <w:pPr>
        <w:keepNext w:val="0"/>
        <w:keepLines w:val="0"/>
        <w:pageBreakBefore w:val="0"/>
        <w:widowControl/>
        <w:kinsoku/>
        <w:overflowPunct/>
        <w:topLinePunct w:val="0"/>
        <w:autoSpaceDN/>
        <w:bidi w:val="0"/>
        <w:adjustRightInd/>
        <w:spacing w:beforeAutospacing="0" w:afterAutospacing="0" w:line="600" w:lineRule="exact"/>
        <w:ind w:left="0"/>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FB8C4646"/>
    <w:multiLevelType w:val="singleLevel"/>
    <w:tmpl w:val="FB8C464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C825B21"/>
    <w:rsid w:val="2FCA4B37"/>
    <w:rsid w:val="2FE029D7"/>
    <w:rsid w:val="2FF06E00"/>
    <w:rsid w:val="30586FEC"/>
    <w:rsid w:val="315F0B22"/>
    <w:rsid w:val="31D84415"/>
    <w:rsid w:val="32285F6F"/>
    <w:rsid w:val="32770556"/>
    <w:rsid w:val="329C0913"/>
    <w:rsid w:val="32AA0460"/>
    <w:rsid w:val="3337290D"/>
    <w:rsid w:val="335E7C27"/>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AD78D0"/>
    <w:rsid w:val="3FCD675E"/>
    <w:rsid w:val="4004000C"/>
    <w:rsid w:val="40BD5482"/>
    <w:rsid w:val="411B6CE5"/>
    <w:rsid w:val="412070D7"/>
    <w:rsid w:val="41314E40"/>
    <w:rsid w:val="41E0734B"/>
    <w:rsid w:val="41FF0D95"/>
    <w:rsid w:val="426C1EA8"/>
    <w:rsid w:val="42736402"/>
    <w:rsid w:val="42E86A87"/>
    <w:rsid w:val="43307B09"/>
    <w:rsid w:val="439A3EB9"/>
    <w:rsid w:val="43BB152F"/>
    <w:rsid w:val="44557EC0"/>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4D5A77"/>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7B5D86"/>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4001</Words>
  <Characters>22811</Characters>
  <Lines>190</Lines>
  <Paragraphs>53</Paragraphs>
  <TotalTime>4</TotalTime>
  <ScaleCrop>false</ScaleCrop>
  <LinksUpToDate>false</LinksUpToDate>
  <CharactersWithSpaces>26759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Lenovo</cp:lastModifiedBy>
  <cp:lastPrinted>2024-09-25T03:15:44Z</cp:lastPrinted>
  <dcterms:modified xsi:type="dcterms:W3CDTF">2024-09-25T03:19:49Z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BB46EABDBB2749749395447164B066B3_12</vt:lpwstr>
  </property>
</Properties>
</file>