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overflowPunct/>
        <w:topLinePunct w:val="0"/>
        <w:autoSpaceDN/>
        <w:bidi w:val="0"/>
        <w:adjustRightInd/>
        <w:spacing w:before="0" w:beforeAutospacing="0" w:after="0" w:afterAutospacing="0" w:line="600" w:lineRule="exact"/>
        <w:ind w:left="0"/>
        <w:jc w:val="both"/>
        <w:rPr>
          <w:rFonts w:ascii="方正小标宋_GBK" w:hAnsi="方正小标宋_GBK" w:eastAsia="方正小标宋_GBK" w:cs="方正小标宋_GBK"/>
          <w:color w:val="auto"/>
          <w:spacing w:val="-23"/>
          <w:sz w:val="44"/>
          <w:szCs w:val="44"/>
        </w:rPr>
      </w:pPr>
      <w:r>
        <w:rPr>
          <w:rFonts w:ascii="方正小标宋_GBK" w:hAnsi="方正小标宋_GBK" w:eastAsia="方正小标宋_GBK" w:cs="方正小标宋_GBK"/>
          <w:color w:val="auto"/>
          <w:spacing w:val="-23"/>
          <w:sz w:val="44"/>
          <w:szCs w:val="44"/>
        </w:rPr>
        <w:t>重庆市丰都县人力资源和社会保障行政执法支队</w:t>
      </w:r>
    </w:p>
    <w:p>
      <w:pPr>
        <w:pStyle w:val="6"/>
        <w:keepNext w:val="0"/>
        <w:keepLines w:val="0"/>
        <w:pageBreakBefore w:val="0"/>
        <w:widowControl/>
        <w:kinsoku/>
        <w:overflowPunct/>
        <w:topLinePunct w:val="0"/>
        <w:autoSpaceDN/>
        <w:bidi w:val="0"/>
        <w:adjustRightInd/>
        <w:spacing w:before="0" w:beforeAutospacing="0" w:after="0" w:afterAutospacing="0" w:line="600" w:lineRule="exact"/>
        <w:ind w:left="0" w:firstLine="880" w:firstLineChars="200"/>
        <w:jc w:val="center"/>
        <w:rPr>
          <w:rFonts w:hint="default" w:ascii="方正小标宋_GBK" w:hAnsi="方正小标宋_GBK" w:eastAsia="方正小标宋_GBK" w:cs="方正小标宋_GBK"/>
          <w:color w:val="auto"/>
          <w:sz w:val="36"/>
          <w:szCs w:val="36"/>
          <w:shd w:val="clear" w:color="auto" w:fill="FFFFFF"/>
        </w:rPr>
      </w:pPr>
      <w:r>
        <w:rPr>
          <w:rFonts w:ascii="方正小标宋_GBK" w:hAnsi="方正小标宋_GBK" w:eastAsia="方正小标宋_GBK" w:cs="方正小标宋_GBK"/>
          <w:color w:val="auto"/>
          <w:sz w:val="44"/>
          <w:szCs w:val="44"/>
          <w:shd w:val="clear" w:color="auto" w:fill="FFFFFF"/>
        </w:rPr>
        <w:t>2023年度决算公开说明</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firstLine="643" w:firstLineChars="200"/>
        <w:textAlignment w:val="auto"/>
        <w:rPr>
          <w:rFonts w:hint="default" w:ascii="黑体" w:hAnsi="黑体" w:eastAsia="黑体" w:cs="黑体"/>
          <w:color w:val="auto"/>
          <w:sz w:val="32"/>
          <w:szCs w:val="32"/>
        </w:rPr>
      </w:pPr>
      <w:r>
        <w:rPr>
          <w:rStyle w:val="10"/>
          <w:rFonts w:ascii="黑体" w:hAnsi="黑体" w:eastAsia="黑体" w:cs="黑体"/>
          <w:color w:val="auto"/>
          <w:sz w:val="32"/>
          <w:szCs w:val="32"/>
          <w:shd w:val="clear" w:color="auto" w:fill="FFFFFF"/>
        </w:rPr>
        <w:t>一、单位基本情况</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firstLine="643" w:firstLineChars="200"/>
        <w:textAlignment w:val="auto"/>
        <w:rPr>
          <w:rStyle w:val="10"/>
          <w:rFonts w:ascii="楷体" w:hAnsi="楷体" w:eastAsia="楷体" w:cs="楷体"/>
          <w:color w:val="auto"/>
          <w:sz w:val="32"/>
          <w:szCs w:val="32"/>
          <w:shd w:val="clear" w:color="auto" w:fill="FFFFFF"/>
        </w:rPr>
      </w:pPr>
      <w:r>
        <w:rPr>
          <w:rStyle w:val="10"/>
          <w:rFonts w:ascii="楷体" w:hAnsi="楷体" w:eastAsia="楷体" w:cs="楷体"/>
          <w:color w:val="auto"/>
          <w:sz w:val="32"/>
          <w:szCs w:val="32"/>
          <w:shd w:val="clear" w:color="auto" w:fill="FFFFFF"/>
        </w:rPr>
        <w:t>（一）职能职责</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hint="eastAsia" w:ascii="方正仿宋_GBK" w:hAnsi="方正仿宋_GBK" w:eastAsia="方正仿宋_GBK" w:cs="方正仿宋_GBK"/>
          <w:color w:val="auto"/>
          <w:sz w:val="32"/>
          <w:szCs w:val="32"/>
          <w:shd w:val="clear" w:color="auto" w:fill="FFFFFF"/>
          <w:lang w:eastAsia="zh-CN"/>
        </w:rPr>
        <w:t>贯彻执行劳动保障、人事管理及其争议方面的法律、法规、规章和方针政策；起草劳动监察、劳动人事争议仲裁的措施办法并承担相关工作。按县人力资源和社会保障局的委托，实时劳动保障监察工作，承担实施劳动保障法律、法规、规章及政策的监督检查；督促用人单位依法用工；依法纠正和查处用人单位违反劳动保障法律、法规、规章的行为。受理辖区内违反劳动保障法律、法规和规章行为的举报、投诉。根据《中华人民共和国劳动争议调解仲裁法》和《人事争议处理规定》等有劳动人事争议规定，受理、调解、仲裁管辖范围内的劳动人事争议仲裁案件；负责开展劳动人事争议预防并指导用人单位合法用工。</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firstLine="643" w:firstLineChars="200"/>
        <w:textAlignment w:val="auto"/>
        <w:rPr>
          <w:rFonts w:hint="default" w:ascii="楷体" w:hAnsi="楷体" w:eastAsia="楷体" w:cs="楷体"/>
          <w:color w:val="auto"/>
          <w:sz w:val="32"/>
          <w:szCs w:val="32"/>
        </w:rPr>
      </w:pPr>
      <w:r>
        <w:rPr>
          <w:rStyle w:val="10"/>
          <w:rFonts w:ascii="楷体" w:hAnsi="楷体" w:eastAsia="楷体" w:cs="楷体"/>
          <w:color w:val="auto"/>
          <w:sz w:val="32"/>
          <w:szCs w:val="32"/>
          <w:shd w:val="clear" w:color="auto" w:fill="FFFFFF"/>
        </w:rPr>
        <w:t>（二）机构设置</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本单位内设</w:t>
      </w:r>
      <w:r>
        <w:rPr>
          <w:rFonts w:hint="eastAsia" w:ascii="仿宋_GB2312" w:hAnsi="仿宋" w:eastAsia="仿宋_GB2312"/>
          <w:color w:val="auto"/>
          <w:sz w:val="32"/>
          <w:szCs w:val="32"/>
          <w:lang w:val="en-US" w:eastAsia="zh-CN"/>
        </w:rPr>
        <w:t>3个科室，即综合科、法制科和执法大队。</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二、单位决算情况说明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1.总体情况。</w:t>
      </w:r>
      <w:r>
        <w:rPr>
          <w:rFonts w:ascii="方正仿宋_GBK" w:hAnsi="方正仿宋_GBK" w:eastAsia="方正仿宋_GBK" w:cs="方正仿宋_GBK"/>
          <w:color w:val="auto"/>
          <w:sz w:val="32"/>
          <w:szCs w:val="32"/>
          <w:shd w:val="clear" w:color="auto" w:fill="FFFFFF"/>
        </w:rPr>
        <w:t>2023年度收入总计421.09万元，支出总计421.09万元。收支较上年决算数增加60.65万元，增长16.83%，主要原因是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val="en-US" w:eastAsia="zh-CN"/>
        </w:rPr>
        <w:t>2023年人员增加及调资调待</w:t>
      </w:r>
      <w:r>
        <w:rPr>
          <w:rFonts w:hint="eastAsia"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2.收入情况。</w:t>
      </w:r>
      <w:r>
        <w:rPr>
          <w:rFonts w:ascii="方正仿宋_GBK" w:hAnsi="方正仿宋_GBK" w:eastAsia="方正仿宋_GBK" w:cs="方正仿宋_GBK"/>
          <w:color w:val="auto"/>
          <w:sz w:val="32"/>
          <w:szCs w:val="32"/>
          <w:shd w:val="clear" w:color="auto" w:fill="FFFFFF"/>
        </w:rPr>
        <w:t>2023年度收入合计421.09万元，较上年决算数增加61.89万元，增长17.23%，主要原因是</w:t>
      </w:r>
      <w:r>
        <w:rPr>
          <w:rFonts w:hint="eastAsia" w:ascii="方正仿宋_GBK" w:hAnsi="方正仿宋_GBK" w:eastAsia="方正仿宋_GBK" w:cs="方正仿宋_GBK"/>
          <w:color w:val="auto"/>
          <w:sz w:val="32"/>
          <w:szCs w:val="32"/>
          <w:shd w:val="clear" w:color="auto" w:fill="FFFFFF"/>
        </w:rPr>
        <w:t>本单位</w:t>
      </w:r>
      <w:r>
        <w:rPr>
          <w:rFonts w:hint="eastAsia" w:ascii="方正仿宋_GBK" w:hAnsi="方正仿宋_GBK" w:eastAsia="方正仿宋_GBK" w:cs="方正仿宋_GBK"/>
          <w:color w:val="auto"/>
          <w:sz w:val="32"/>
          <w:szCs w:val="32"/>
          <w:shd w:val="clear" w:color="auto" w:fill="FFFFFF"/>
          <w:lang w:val="en-US" w:eastAsia="zh-CN"/>
        </w:rPr>
        <w:t>2023年人员增加及调资调待</w:t>
      </w:r>
      <w:r>
        <w:rPr>
          <w:rFonts w:ascii="方正仿宋_GBK" w:hAnsi="方正仿宋_GBK" w:eastAsia="方正仿宋_GBK" w:cs="方正仿宋_GBK"/>
          <w:color w:val="auto"/>
          <w:sz w:val="32"/>
          <w:szCs w:val="32"/>
          <w:shd w:val="clear" w:color="auto" w:fill="FFFFFF"/>
        </w:rPr>
        <w:t>。其中：财政拨款收入</w:t>
      </w:r>
      <w:r>
        <w:rPr>
          <w:rFonts w:ascii="方正仿宋_GBK" w:hAnsi="方正仿宋_GBK" w:eastAsia="方正仿宋_GBK" w:cs="方正仿宋_GBK"/>
          <w:color w:val="auto"/>
          <w:sz w:val="32"/>
          <w:szCs w:val="32"/>
        </w:rPr>
        <w:t>421.09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100.00</w:t>
      </w:r>
      <w:r>
        <w:rPr>
          <w:rFonts w:ascii="方正仿宋_GBK" w:hAnsi="方正仿宋_GBK" w:eastAsia="方正仿宋_GBK" w:cs="方正仿宋_GBK"/>
          <w:color w:val="auto"/>
          <w:sz w:val="32"/>
          <w:szCs w:val="32"/>
          <w:shd w:val="clear" w:color="auto" w:fill="FFFFFF"/>
        </w:rPr>
        <w:t>%。此外，使用非财政拨款结余和专用结余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万元，年初结转和结余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3.支出情况。</w:t>
      </w:r>
      <w:r>
        <w:rPr>
          <w:rFonts w:ascii="方正仿宋_GBK" w:hAnsi="方正仿宋_GBK" w:eastAsia="方正仿宋_GBK" w:cs="方正仿宋_GBK"/>
          <w:color w:val="auto"/>
          <w:sz w:val="32"/>
          <w:szCs w:val="32"/>
          <w:shd w:val="clear" w:color="auto" w:fill="FFFFFF"/>
        </w:rPr>
        <w:t>2023年度支出合计</w:t>
      </w:r>
      <w:r>
        <w:rPr>
          <w:rFonts w:ascii="方正仿宋_GBK" w:hAnsi="方正仿宋_GBK" w:eastAsia="方正仿宋_GBK" w:cs="方正仿宋_GBK"/>
          <w:color w:val="auto"/>
          <w:sz w:val="32"/>
          <w:szCs w:val="32"/>
        </w:rPr>
        <w:t>421.09</w:t>
      </w:r>
      <w:r>
        <w:rPr>
          <w:rFonts w:ascii="方正仿宋_GBK" w:hAnsi="方正仿宋_GBK" w:eastAsia="方正仿宋_GBK" w:cs="方正仿宋_GBK"/>
          <w:color w:val="auto"/>
          <w:sz w:val="32"/>
          <w:szCs w:val="32"/>
          <w:shd w:val="clear" w:color="auto" w:fill="FFFFFF"/>
        </w:rPr>
        <w:t>万元，较上年决算数增加61.89万元，增长17.23%，主要原因是</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val="en-US" w:eastAsia="zh-CN"/>
        </w:rPr>
        <w:t>2023年人员增加及</w:t>
      </w:r>
      <w:r>
        <w:rPr>
          <w:rFonts w:hint="eastAsia" w:ascii="仿宋_GB2312" w:hAnsi="仿宋" w:eastAsia="仿宋_GB2312"/>
          <w:color w:val="auto"/>
          <w:sz w:val="32"/>
          <w:szCs w:val="32"/>
          <w:lang w:val="en-US" w:eastAsia="zh-CN"/>
        </w:rPr>
        <w:t>根治欠薪工作较往年形势更加严峻</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其中：基本支出</w:t>
      </w:r>
      <w:r>
        <w:rPr>
          <w:rFonts w:ascii="方正仿宋_GBK" w:hAnsi="方正仿宋_GBK" w:eastAsia="方正仿宋_GBK" w:cs="方正仿宋_GBK"/>
          <w:color w:val="auto"/>
          <w:sz w:val="32"/>
          <w:szCs w:val="32"/>
        </w:rPr>
        <w:t>274.29</w:t>
      </w:r>
      <w:r>
        <w:rPr>
          <w:rFonts w:ascii="方正仿宋_GBK" w:hAnsi="方正仿宋_GBK" w:eastAsia="方正仿宋_GBK" w:cs="方正仿宋_GBK"/>
          <w:color w:val="auto"/>
          <w:sz w:val="32"/>
          <w:szCs w:val="32"/>
          <w:shd w:val="clear" w:color="auto" w:fill="FFFFFF"/>
        </w:rPr>
        <w:t>万元，占65.14%；项目支出</w:t>
      </w:r>
      <w:r>
        <w:rPr>
          <w:rFonts w:ascii="方正仿宋_GBK" w:hAnsi="方正仿宋_GBK" w:eastAsia="方正仿宋_GBK" w:cs="方正仿宋_GBK"/>
          <w:color w:val="auto"/>
          <w:sz w:val="32"/>
          <w:szCs w:val="32"/>
        </w:rPr>
        <w:t>146.80</w:t>
      </w:r>
      <w:r>
        <w:rPr>
          <w:rFonts w:ascii="方正仿宋_GBK" w:hAnsi="方正仿宋_GBK" w:eastAsia="方正仿宋_GBK" w:cs="方正仿宋_GBK"/>
          <w:color w:val="auto"/>
          <w:sz w:val="32"/>
          <w:szCs w:val="32"/>
          <w:shd w:val="clear" w:color="auto" w:fill="FFFFFF"/>
        </w:rPr>
        <w:t>万元，占34.86%。此外，结余分配</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lang w:val="en-US" w:eastAsia="zh-CN"/>
        </w:rPr>
      </w:pPr>
      <w:r>
        <w:rPr>
          <w:rStyle w:val="10"/>
          <w:rFonts w:ascii="方正仿宋_GBK" w:hAnsi="方正仿宋_GBK" w:eastAsia="方正仿宋_GBK" w:cs="方正仿宋_GBK"/>
          <w:color w:val="auto"/>
          <w:sz w:val="32"/>
          <w:szCs w:val="32"/>
          <w:shd w:val="clear" w:color="auto" w:fill="FFFFFF"/>
        </w:rPr>
        <w:t>4.结转结余情况。</w:t>
      </w:r>
      <w:r>
        <w:rPr>
          <w:rFonts w:ascii="方正仿宋_GBK" w:hAnsi="方正仿宋_GBK" w:eastAsia="方正仿宋_GBK" w:cs="方正仿宋_GBK"/>
          <w:color w:val="auto"/>
          <w:sz w:val="32"/>
          <w:szCs w:val="32"/>
          <w:shd w:val="clear" w:color="auto" w:fill="FFFFFF"/>
        </w:rPr>
        <w:t>2023年度年末结转和结余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万元，较上年决算数减少1.23万元，下降100.00%，主要原因是</w:t>
      </w:r>
      <w:r>
        <w:rPr>
          <w:rFonts w:hint="eastAsia" w:ascii="方正仿宋_GBK" w:hAnsi="方正仿宋_GBK" w:eastAsia="方正仿宋_GBK" w:cs="方正仿宋_GBK"/>
          <w:color w:val="auto"/>
          <w:sz w:val="32"/>
          <w:szCs w:val="32"/>
          <w:shd w:val="clear" w:color="auto" w:fill="FFFFFF"/>
          <w:lang w:val="en-US" w:eastAsia="zh-CN"/>
        </w:rPr>
        <w:t>结余资金支付。</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2023年度财政拨款收、支总计421.09万元。与2022年相比，财</w:t>
      </w:r>
      <w:r>
        <w:rPr>
          <w:rFonts w:ascii="方正仿宋_GBK" w:hAnsi="方正仿宋_GBK" w:eastAsia="方正仿宋_GBK" w:cs="方正仿宋_GBK"/>
          <w:color w:val="auto"/>
          <w:sz w:val="32"/>
          <w:szCs w:val="32"/>
          <w:shd w:val="clear" w:color="auto" w:fill="FFFFFF"/>
        </w:rPr>
        <w:t>政拨款收、支总计各增加60.65万元，增长16.83%。主要原因是</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val="en-US" w:eastAsia="zh-CN"/>
        </w:rPr>
        <w:t>2023年人员增加及</w:t>
      </w:r>
      <w:r>
        <w:rPr>
          <w:rFonts w:hint="eastAsia" w:ascii="方正仿宋_GBK" w:hAnsi="方正仿宋_GBK" w:eastAsia="方正仿宋_GBK" w:cs="方正仿宋_GBK"/>
          <w:color w:val="auto"/>
          <w:kern w:val="0"/>
          <w:sz w:val="32"/>
          <w:szCs w:val="32"/>
          <w:shd w:val="clear" w:color="auto" w:fill="FFFFFF"/>
          <w:lang w:val="en-US" w:eastAsia="zh-CN" w:bidi="ar-SA"/>
        </w:rPr>
        <w:t>调资调待</w:t>
      </w:r>
      <w:r>
        <w:rPr>
          <w:rFonts w:hint="eastAsia" w:ascii="仿宋_GB2312" w:hAnsi="仿宋_GB2312" w:eastAsia="仿宋_GB2312" w:cs="仿宋_GB2312"/>
          <w:color w:val="auto"/>
          <w:sz w:val="32"/>
          <w:szCs w:val="32"/>
          <w:lang w:val="en-US" w:eastAsia="zh-CN"/>
        </w:rPr>
        <w:t>，同时</w:t>
      </w:r>
      <w:r>
        <w:rPr>
          <w:rFonts w:hint="eastAsia" w:ascii="仿宋_GB2312" w:hAnsi="仿宋" w:eastAsia="仿宋_GB2312"/>
          <w:color w:val="auto"/>
          <w:sz w:val="32"/>
          <w:szCs w:val="32"/>
          <w:lang w:val="en-US" w:eastAsia="zh-CN"/>
        </w:rPr>
        <w:t>根治欠薪工作较往年形势更加严峻，</w:t>
      </w:r>
      <w:r>
        <w:rPr>
          <w:rFonts w:hint="eastAsia" w:ascii="仿宋_GB2312" w:hAnsi="仿宋_GB2312" w:eastAsia="仿宋_GB2312" w:cs="仿宋_GB2312"/>
          <w:color w:val="auto"/>
          <w:sz w:val="32"/>
          <w:szCs w:val="32"/>
          <w:lang w:val="en-US" w:eastAsia="zh-CN"/>
        </w:rPr>
        <w:t>导致财政拨款收入和支出增加</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1.收入情况。</w:t>
      </w:r>
      <w:r>
        <w:rPr>
          <w:rFonts w:ascii="方正仿宋_GBK" w:hAnsi="方正仿宋_GBK" w:eastAsia="方正仿宋_GBK" w:cs="方正仿宋_GBK"/>
          <w:color w:val="auto"/>
          <w:sz w:val="32"/>
          <w:szCs w:val="32"/>
          <w:shd w:val="clear" w:color="auto" w:fill="FFFFFF"/>
        </w:rPr>
        <w:t>2023年度一般公共预算财政拨款收入</w:t>
      </w:r>
      <w:r>
        <w:rPr>
          <w:rFonts w:ascii="方正仿宋_GBK" w:hAnsi="方正仿宋_GBK" w:eastAsia="方正仿宋_GBK" w:cs="方正仿宋_GBK"/>
          <w:color w:val="auto"/>
          <w:sz w:val="32"/>
          <w:szCs w:val="32"/>
        </w:rPr>
        <w:t>421.09</w:t>
      </w:r>
      <w:r>
        <w:rPr>
          <w:rFonts w:ascii="方正仿宋_GBK" w:hAnsi="方正仿宋_GBK" w:eastAsia="方正仿宋_GBK" w:cs="方正仿宋_GBK"/>
          <w:color w:val="auto"/>
          <w:sz w:val="32"/>
          <w:szCs w:val="32"/>
          <w:shd w:val="clear" w:color="auto" w:fill="FFFFFF"/>
        </w:rPr>
        <w:t>万元，较上年决</w:t>
      </w:r>
      <w:r>
        <w:rPr>
          <w:rFonts w:ascii="方正仿宋_GBK" w:hAnsi="方正仿宋_GBK" w:eastAsia="方正仿宋_GBK" w:cs="方正仿宋_GBK"/>
          <w:color w:val="auto"/>
          <w:sz w:val="32"/>
          <w:szCs w:val="32"/>
          <w:shd w:val="clear" w:color="auto" w:fill="FFFFFF"/>
        </w:rPr>
        <w:t>算数增加61.89万元，增长17.23%。主要原因是</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val="en-US" w:eastAsia="zh-CN"/>
        </w:rPr>
        <w:t>2023年人员增加及</w:t>
      </w:r>
      <w:r>
        <w:rPr>
          <w:rFonts w:hint="eastAsia" w:ascii="方正仿宋_GBK" w:hAnsi="方正仿宋_GBK" w:eastAsia="方正仿宋_GBK" w:cs="方正仿宋_GBK"/>
          <w:color w:val="auto"/>
          <w:kern w:val="0"/>
          <w:sz w:val="32"/>
          <w:szCs w:val="32"/>
          <w:shd w:val="clear" w:color="auto" w:fill="FFFFFF"/>
          <w:lang w:val="en-US" w:eastAsia="zh-CN" w:bidi="ar-SA"/>
        </w:rPr>
        <w:t>调资调待</w:t>
      </w:r>
      <w:r>
        <w:rPr>
          <w:rFonts w:ascii="方正仿宋_GBK" w:hAnsi="方正仿宋_GBK" w:eastAsia="方正仿宋_GBK" w:cs="方正仿宋_GBK"/>
          <w:color w:val="auto"/>
          <w:sz w:val="32"/>
          <w:szCs w:val="32"/>
          <w:shd w:val="clear" w:color="auto" w:fill="FFFFFF"/>
        </w:rPr>
        <w:t>。较年初预算数增加111.21万元，增长35.89%。主要原因是</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val="en-US" w:eastAsia="zh-CN"/>
        </w:rPr>
        <w:t>2023年人员增加，同时</w:t>
      </w:r>
      <w:r>
        <w:rPr>
          <w:rFonts w:hint="eastAsia" w:ascii="仿宋_GB2312" w:hAnsi="仿宋" w:eastAsia="仿宋_GB2312"/>
          <w:color w:val="auto"/>
          <w:sz w:val="32"/>
          <w:szCs w:val="32"/>
          <w:lang w:val="en-US" w:eastAsia="zh-CN"/>
        </w:rPr>
        <w:t>根治欠薪工作较往年形势更加严峻</w:t>
      </w:r>
      <w:r>
        <w:rPr>
          <w:rFonts w:ascii="方正仿宋_GBK" w:hAnsi="方正仿宋_GBK" w:eastAsia="方正仿宋_GBK" w:cs="方正仿宋_GBK"/>
          <w:color w:val="auto"/>
          <w:sz w:val="32"/>
          <w:szCs w:val="32"/>
          <w:shd w:val="clear" w:color="auto" w:fill="FFFFFF"/>
        </w:rPr>
        <w:t>。此外，年初财政拨款结转和结余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2.支出情况。</w:t>
      </w:r>
      <w:r>
        <w:rPr>
          <w:rFonts w:ascii="方正仿宋_GBK" w:hAnsi="方正仿宋_GBK" w:eastAsia="方正仿宋_GBK" w:cs="方正仿宋_GBK"/>
          <w:color w:val="auto"/>
          <w:sz w:val="32"/>
          <w:szCs w:val="32"/>
          <w:shd w:val="clear" w:color="auto" w:fill="FFFFFF"/>
        </w:rPr>
        <w:t>2023年度一般公共预算财政拨款支出</w:t>
      </w:r>
      <w:r>
        <w:rPr>
          <w:rFonts w:ascii="方正仿宋_GBK" w:hAnsi="方正仿宋_GBK" w:eastAsia="方正仿宋_GBK" w:cs="方正仿宋_GBK"/>
          <w:color w:val="auto"/>
          <w:sz w:val="32"/>
          <w:szCs w:val="32"/>
        </w:rPr>
        <w:t>421.09</w:t>
      </w:r>
      <w:r>
        <w:rPr>
          <w:rFonts w:ascii="方正仿宋_GBK" w:hAnsi="方正仿宋_GBK" w:eastAsia="方正仿宋_GBK" w:cs="方正仿宋_GBK"/>
          <w:color w:val="auto"/>
          <w:sz w:val="32"/>
          <w:szCs w:val="32"/>
          <w:shd w:val="clear" w:color="auto" w:fill="FFFFFF"/>
        </w:rPr>
        <w:t>万元，较上年决算数增加61.89万元，增长17.23%。主要原因是</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val="en-US" w:eastAsia="zh-CN"/>
        </w:rPr>
        <w:t>2023年人员增加，同时</w:t>
      </w:r>
      <w:r>
        <w:rPr>
          <w:rFonts w:hint="eastAsia" w:ascii="仿宋_GB2312" w:hAnsi="仿宋" w:eastAsia="仿宋_GB2312"/>
          <w:color w:val="auto"/>
          <w:sz w:val="32"/>
          <w:szCs w:val="32"/>
          <w:lang w:val="en-US" w:eastAsia="zh-CN"/>
        </w:rPr>
        <w:t>根治欠薪工作较往年形势更加</w:t>
      </w:r>
      <w:r>
        <w:rPr>
          <w:rFonts w:hint="eastAsia" w:ascii="仿宋_GB2312" w:hAnsi="仿宋" w:eastAsia="仿宋_GB2312"/>
          <w:color w:val="auto"/>
          <w:sz w:val="32"/>
          <w:szCs w:val="32"/>
          <w:lang w:val="en-US" w:eastAsia="zh-CN"/>
        </w:rPr>
        <w:t>严峻</w:t>
      </w:r>
      <w:r>
        <w:rPr>
          <w:rFonts w:ascii="方正仿宋_GBK" w:hAnsi="方正仿宋_GBK" w:eastAsia="方正仿宋_GBK" w:cs="方正仿宋_GBK"/>
          <w:color w:val="auto"/>
          <w:sz w:val="32"/>
          <w:szCs w:val="32"/>
          <w:shd w:val="clear" w:color="auto" w:fill="FFFFFF"/>
        </w:rPr>
        <w:t>。较年初预算数增加111.21万元，增长35.89%。主要原因是</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val="en-US" w:eastAsia="zh-CN"/>
        </w:rPr>
        <w:t>2023年人员增加，同时</w:t>
      </w:r>
      <w:r>
        <w:rPr>
          <w:rFonts w:hint="eastAsia" w:ascii="仿宋_GB2312" w:hAnsi="仿宋" w:eastAsia="仿宋_GB2312"/>
          <w:color w:val="auto"/>
          <w:sz w:val="32"/>
          <w:szCs w:val="32"/>
          <w:lang w:val="en-US" w:eastAsia="zh-CN"/>
        </w:rPr>
        <w:t>根治欠薪工作较往年形势更加严峻</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3.结转结余情况。</w:t>
      </w:r>
      <w:r>
        <w:rPr>
          <w:rFonts w:ascii="方正仿宋_GBK" w:hAnsi="方正仿宋_GBK" w:eastAsia="方正仿宋_GBK" w:cs="方正仿宋_GBK"/>
          <w:color w:val="auto"/>
          <w:sz w:val="32"/>
          <w:szCs w:val="32"/>
          <w:shd w:val="clear" w:color="auto" w:fill="FFFFFF"/>
        </w:rPr>
        <w:t>2023年度年末一般公共预算财政拨款结转和结余</w:t>
      </w:r>
      <w:r>
        <w:rPr>
          <w:rFonts w:ascii="方正仿宋_GBK" w:hAnsi="方正仿宋_GBK" w:eastAsia="方正仿宋_GBK" w:cs="方正仿宋_GBK"/>
          <w:color w:val="auto"/>
          <w:sz w:val="32"/>
          <w:szCs w:val="32"/>
        </w:rPr>
        <w:t>0.00</w:t>
      </w:r>
      <w:r>
        <w:rPr>
          <w:rFonts w:ascii="方正仿宋_GBK" w:hAnsi="方正仿宋_GBK" w:eastAsia="方正仿宋_GBK" w:cs="方正仿宋_GBK"/>
          <w:color w:val="auto"/>
          <w:sz w:val="32"/>
          <w:szCs w:val="32"/>
          <w:shd w:val="clear" w:color="auto" w:fill="FFFFFF"/>
        </w:rPr>
        <w:t>万元，较上年决算数减少1.23万元，下降100.00%，主要原因是</w:t>
      </w:r>
      <w:r>
        <w:rPr>
          <w:rFonts w:hint="eastAsia" w:ascii="方正仿宋_GBK" w:hAnsi="方正仿宋_GBK" w:eastAsia="方正仿宋_GBK" w:cs="方正仿宋_GBK"/>
          <w:color w:val="auto"/>
          <w:sz w:val="32"/>
          <w:szCs w:val="32"/>
          <w:shd w:val="clear" w:color="auto" w:fill="FFFFFF"/>
          <w:lang w:val="en-US" w:eastAsia="zh-CN"/>
        </w:rPr>
        <w:t>结余资金支付。</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highlight w:val="cyan"/>
          <w:shd w:val="clear" w:color="auto" w:fill="FFFFFF"/>
        </w:rPr>
      </w:pPr>
      <w:r>
        <w:rPr>
          <w:rStyle w:val="10"/>
          <w:rFonts w:ascii="方正仿宋_GBK" w:hAnsi="方正仿宋_GBK" w:eastAsia="方正仿宋_GBK" w:cs="方正仿宋_GBK"/>
          <w:color w:val="auto"/>
          <w:sz w:val="32"/>
          <w:szCs w:val="32"/>
          <w:shd w:val="clear" w:color="auto" w:fill="FFFFFF"/>
        </w:rPr>
        <w:t xml:space="preserve"> 4.比较情况。</w:t>
      </w:r>
      <w:r>
        <w:rPr>
          <w:rFonts w:ascii="方正仿宋_GBK" w:hAnsi="方正仿宋_GBK" w:eastAsia="方正仿宋_GBK" w:cs="方正仿宋_GBK"/>
          <w:color w:val="auto"/>
          <w:sz w:val="32"/>
          <w:szCs w:val="32"/>
          <w:shd w:val="clear" w:color="auto" w:fill="FFFFFF"/>
        </w:rPr>
        <w:t>本单位2023年度一般公共预算财政拨款支出主要用于以下几个方面：</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eastAsia="zh-CN"/>
        </w:rPr>
      </w:pPr>
      <w:r>
        <w:rPr>
          <w:rFonts w:ascii="方正仿宋_GBK" w:hAnsi="方正仿宋_GBK" w:eastAsia="方正仿宋_GBK" w:cs="方正仿宋_GBK"/>
          <w:color w:val="auto"/>
          <w:sz w:val="32"/>
          <w:szCs w:val="32"/>
          <w:shd w:val="clear" w:color="auto" w:fill="FFFFFF"/>
        </w:rPr>
        <w:t>（1）社会保障与就业支出</w:t>
      </w:r>
      <w:r>
        <w:rPr>
          <w:rFonts w:ascii="方正仿宋_GBK" w:hAnsi="方正仿宋_GBK" w:eastAsia="方正仿宋_GBK" w:cs="方正仿宋_GBK"/>
          <w:color w:val="auto"/>
          <w:sz w:val="32"/>
          <w:szCs w:val="32"/>
        </w:rPr>
        <w:t>400.69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95.15</w:t>
      </w:r>
      <w:r>
        <w:rPr>
          <w:rFonts w:ascii="方正仿宋_GBK" w:hAnsi="方正仿宋_GBK" w:eastAsia="方正仿宋_GBK" w:cs="方正仿宋_GBK"/>
          <w:color w:val="auto"/>
          <w:sz w:val="32"/>
          <w:szCs w:val="32"/>
          <w:shd w:val="clear" w:color="auto" w:fill="FFFFFF"/>
        </w:rPr>
        <w:t>%，较年初预算数增加118.02</w:t>
      </w:r>
      <w:r>
        <w:rPr>
          <w:rFonts w:ascii="方正仿宋_GBK" w:hAnsi="方正仿宋_GBK" w:eastAsia="方正仿宋_GBK" w:cs="方正仿宋_GBK"/>
          <w:color w:val="auto"/>
          <w:sz w:val="32"/>
          <w:szCs w:val="32"/>
          <w:shd w:val="clear" w:color="auto" w:fill="FFFFFF"/>
        </w:rPr>
        <w:t>万元，增长41.75%，主要原因是</w:t>
      </w:r>
      <w:r>
        <w:rPr>
          <w:rFonts w:hint="eastAsia" w:ascii="仿宋_GB2312" w:hAnsi="仿宋_GB2312" w:eastAsia="仿宋_GB2312" w:cs="仿宋_GB2312"/>
          <w:color w:val="auto"/>
          <w:sz w:val="32"/>
          <w:szCs w:val="32"/>
        </w:rPr>
        <w:t>本单位</w:t>
      </w:r>
      <w:r>
        <w:rPr>
          <w:rFonts w:hint="eastAsia" w:ascii="仿宋_GB2312" w:hAnsi="仿宋_GB2312" w:eastAsia="仿宋_GB2312" w:cs="仿宋_GB2312"/>
          <w:color w:val="auto"/>
          <w:sz w:val="32"/>
          <w:szCs w:val="32"/>
          <w:lang w:val="en-US" w:eastAsia="zh-CN"/>
        </w:rPr>
        <w:t>2023年人员增加及</w:t>
      </w:r>
      <w:r>
        <w:rPr>
          <w:rFonts w:hint="eastAsia" w:ascii="方正仿宋_GBK" w:hAnsi="方正仿宋_GBK" w:eastAsia="方正仿宋_GBK" w:cs="方正仿宋_GBK"/>
          <w:color w:val="auto"/>
          <w:kern w:val="0"/>
          <w:sz w:val="32"/>
          <w:szCs w:val="32"/>
          <w:shd w:val="clear" w:color="auto" w:fill="FFFFFF"/>
          <w:lang w:val="en-US" w:eastAsia="zh-CN" w:bidi="ar-SA"/>
        </w:rPr>
        <w:t>调资调待</w:t>
      </w:r>
      <w:r>
        <w:rPr>
          <w:rFonts w:hint="eastAsia" w:ascii="仿宋_GB2312" w:hAnsi="仿宋_GB2312" w:eastAsia="仿宋_GB2312" w:cs="仿宋_GB2312"/>
          <w:color w:val="auto"/>
          <w:sz w:val="32"/>
          <w:szCs w:val="32"/>
          <w:lang w:val="en-US" w:eastAsia="zh-CN"/>
        </w:rPr>
        <w:t>，导致工资福利费用及公用经费增长，同时社保等缴费基数上调，导致费用增加，</w:t>
      </w:r>
      <w:r>
        <w:rPr>
          <w:rFonts w:hint="eastAsia" w:ascii="方正仿宋_GBK" w:hAnsi="方正仿宋_GBK" w:eastAsia="方正仿宋_GBK" w:cs="方正仿宋_GBK"/>
          <w:color w:val="auto"/>
          <w:sz w:val="32"/>
          <w:szCs w:val="32"/>
          <w:shd w:val="clear" w:color="auto" w:fill="FFFFFF"/>
          <w:lang w:val="en-US" w:eastAsia="zh-CN"/>
        </w:rPr>
        <w:t>2023年</w:t>
      </w:r>
      <w:r>
        <w:rPr>
          <w:rFonts w:hint="eastAsia" w:ascii="仿宋_GB2312" w:hAnsi="仿宋" w:eastAsia="仿宋_GB2312"/>
          <w:color w:val="auto"/>
          <w:sz w:val="32"/>
          <w:szCs w:val="32"/>
          <w:lang w:val="en-US" w:eastAsia="zh-CN"/>
        </w:rPr>
        <w:t>根治欠薪工作较往年形势更加严峻。</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卫生健康支出</w:t>
      </w:r>
      <w:r>
        <w:rPr>
          <w:rFonts w:ascii="方正仿宋_GBK" w:hAnsi="方正仿宋_GBK" w:eastAsia="方正仿宋_GBK" w:cs="方正仿宋_GBK"/>
          <w:color w:val="auto"/>
          <w:sz w:val="32"/>
          <w:szCs w:val="32"/>
        </w:rPr>
        <w:t>10.99</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2.61</w:t>
      </w: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与</w:t>
      </w:r>
      <w:r>
        <w:rPr>
          <w:rFonts w:ascii="方正仿宋_GBK" w:hAnsi="方正仿宋_GBK" w:eastAsia="方正仿宋_GBK" w:cs="方正仿宋_GBK"/>
          <w:color w:val="auto"/>
          <w:sz w:val="32"/>
          <w:szCs w:val="32"/>
          <w:shd w:val="clear" w:color="auto" w:fill="FFFFFF"/>
        </w:rPr>
        <w:t>年初预算数</w:t>
      </w:r>
      <w:r>
        <w:rPr>
          <w:rFonts w:hint="eastAsia" w:ascii="方正仿宋_GBK" w:hAnsi="方正仿宋_GBK" w:eastAsia="方正仿宋_GBK" w:cs="方正仿宋_GBK"/>
          <w:color w:val="auto"/>
          <w:kern w:val="0"/>
          <w:sz w:val="32"/>
          <w:szCs w:val="32"/>
          <w:shd w:val="clear" w:color="auto" w:fill="FFFFFF"/>
          <w:lang w:val="en-US" w:eastAsia="zh-CN" w:bidi="ar-SA"/>
        </w:rPr>
        <w:t>持平</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lang w:val="en-US"/>
        </w:rPr>
      </w:pPr>
      <w:r>
        <w:rPr>
          <w:rFonts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住房保障支出9.42</w:t>
      </w:r>
      <w:r>
        <w:rPr>
          <w:rFonts w:ascii="方正仿宋_GBK" w:hAnsi="方正仿宋_GBK" w:eastAsia="方正仿宋_GBK" w:cs="方正仿宋_GBK"/>
          <w:color w:val="auto"/>
          <w:sz w:val="32"/>
          <w:szCs w:val="32"/>
          <w:shd w:val="clear" w:color="auto" w:fill="FFFFFF"/>
        </w:rPr>
        <w:t>万元，占</w:t>
      </w:r>
      <w:r>
        <w:rPr>
          <w:rFonts w:ascii="方正仿宋_GBK" w:hAnsi="方正仿宋_GBK" w:eastAsia="方正仿宋_GBK" w:cs="方正仿宋_GBK"/>
          <w:color w:val="auto"/>
          <w:sz w:val="32"/>
          <w:szCs w:val="32"/>
        </w:rPr>
        <w:t>2.24</w:t>
      </w:r>
      <w:r>
        <w:rPr>
          <w:rFonts w:ascii="方正仿宋_GBK" w:hAnsi="方正仿宋_GBK" w:eastAsia="方正仿宋_GBK" w:cs="方正仿宋_GBK"/>
          <w:color w:val="auto"/>
          <w:sz w:val="32"/>
          <w:szCs w:val="32"/>
          <w:shd w:val="clear" w:color="auto" w:fill="FFFFFF"/>
        </w:rPr>
        <w:t>%，较年初预算数减少6.80万元，下降41.92%，主要原因是</w:t>
      </w:r>
      <w:r>
        <w:rPr>
          <w:rFonts w:hint="eastAsia" w:ascii="方正仿宋_GBK" w:hAnsi="方正仿宋_GBK" w:eastAsia="方正仿宋_GBK" w:cs="方正仿宋_GBK"/>
          <w:color w:val="auto"/>
          <w:sz w:val="32"/>
          <w:szCs w:val="32"/>
          <w:shd w:val="clear" w:color="auto" w:fill="FFFFFF"/>
          <w:lang w:val="en-US" w:eastAsia="zh-CN"/>
        </w:rPr>
        <w:t>2023年年初预算是基数偏高，执行时严格按照政策执行，导致公积金缴费较年初预算减少。</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2023年度一般公共财政拨款基本支出</w:t>
      </w:r>
      <w:r>
        <w:rPr>
          <w:rFonts w:ascii="方正仿宋_GBK" w:hAnsi="方正仿宋_GBK" w:eastAsia="方正仿宋_GBK" w:cs="方正仿宋_GBK"/>
          <w:color w:val="auto"/>
          <w:sz w:val="32"/>
          <w:szCs w:val="32"/>
        </w:rPr>
        <w:t>274.29</w:t>
      </w:r>
      <w:r>
        <w:rPr>
          <w:rFonts w:ascii="方正仿宋_GBK" w:hAnsi="方正仿宋_GBK" w:eastAsia="方正仿宋_GBK" w:cs="方正仿宋_GBK"/>
          <w:color w:val="auto"/>
          <w:sz w:val="32"/>
          <w:szCs w:val="32"/>
          <w:shd w:val="clear" w:color="auto" w:fill="FFFFFF"/>
        </w:rPr>
        <w:t>万元。其中：人员经费</w:t>
      </w:r>
      <w:r>
        <w:rPr>
          <w:rFonts w:ascii="方正仿宋_GBK" w:hAnsi="方正仿宋_GBK" w:eastAsia="方正仿宋_GBK" w:cs="方正仿宋_GBK"/>
          <w:color w:val="auto"/>
          <w:sz w:val="32"/>
          <w:szCs w:val="32"/>
        </w:rPr>
        <w:t>243.93</w:t>
      </w:r>
      <w:r>
        <w:rPr>
          <w:rFonts w:ascii="方正仿宋_GBK" w:hAnsi="方正仿宋_GBK" w:eastAsia="方正仿宋_GBK" w:cs="方正仿宋_GBK"/>
          <w:color w:val="auto"/>
          <w:sz w:val="32"/>
          <w:szCs w:val="32"/>
          <w:shd w:val="clear" w:color="auto" w:fill="FFFFFF"/>
        </w:rPr>
        <w:t>万元，较上年决算数增加35.99万元，增长17.31%，主要原因是</w:t>
      </w:r>
      <w:r>
        <w:rPr>
          <w:rFonts w:hint="eastAsia" w:ascii="方正仿宋_GBK" w:hAnsi="方正仿宋_GBK" w:eastAsia="方正仿宋_GBK" w:cs="方正仿宋_GBK"/>
          <w:color w:val="auto"/>
          <w:sz w:val="32"/>
          <w:szCs w:val="32"/>
          <w:shd w:val="clear" w:color="auto" w:fill="FFFFFF"/>
          <w:lang w:val="en-US" w:eastAsia="zh-CN"/>
        </w:rPr>
        <w:t>人员增加导致工资福利费用增长</w:t>
      </w:r>
      <w:r>
        <w:rPr>
          <w:rFonts w:ascii="方正仿宋_GBK" w:hAnsi="方正仿宋_GBK" w:eastAsia="方正仿宋_GBK" w:cs="方正仿宋_GBK"/>
          <w:color w:val="auto"/>
          <w:sz w:val="32"/>
          <w:szCs w:val="32"/>
          <w:shd w:val="clear" w:color="auto" w:fill="FFFFFF"/>
        </w:rPr>
        <w:t>。人员经费用途主要包括</w:t>
      </w:r>
      <w:r>
        <w:rPr>
          <w:rFonts w:hint="eastAsia" w:ascii="方正仿宋_GBK" w:hAnsi="方正仿宋_GBK" w:eastAsia="方正仿宋_GBK" w:cs="方正仿宋_GBK"/>
          <w:color w:val="auto"/>
          <w:sz w:val="32"/>
          <w:szCs w:val="32"/>
          <w:shd w:val="clear" w:color="auto" w:fill="FFFFFF"/>
          <w:lang w:val="en-US" w:eastAsia="zh-CN"/>
        </w:rPr>
        <w:t>发放工资福利、缴纳社会保险、住房公积金等</w:t>
      </w:r>
      <w:r>
        <w:rPr>
          <w:rFonts w:ascii="方正仿宋_GBK" w:hAnsi="方正仿宋_GBK" w:eastAsia="方正仿宋_GBK" w:cs="方正仿宋_GBK"/>
          <w:color w:val="auto"/>
          <w:sz w:val="32"/>
          <w:szCs w:val="32"/>
          <w:shd w:val="clear" w:color="auto" w:fill="FFFFFF"/>
        </w:rPr>
        <w:t>。公用经费30.36万元，较上年决算数增加15.25万元，增长100.93%，主要原因是</w:t>
      </w:r>
      <w:r>
        <w:rPr>
          <w:rFonts w:hint="eastAsia" w:ascii="方正仿宋_GBK" w:hAnsi="方正仿宋_GBK" w:eastAsia="方正仿宋_GBK" w:cs="方正仿宋_GBK"/>
          <w:color w:val="auto"/>
          <w:sz w:val="32"/>
          <w:szCs w:val="32"/>
          <w:shd w:val="clear" w:color="auto" w:fill="FFFFFF"/>
          <w:lang w:val="en-US" w:eastAsia="zh-CN"/>
        </w:rPr>
        <w:t>人员增加导致公用经费增长</w:t>
      </w:r>
      <w:r>
        <w:rPr>
          <w:rFonts w:ascii="方正仿宋_GBK" w:hAnsi="方正仿宋_GBK" w:eastAsia="方正仿宋_GBK" w:cs="方正仿宋_GBK"/>
          <w:color w:val="auto"/>
          <w:sz w:val="32"/>
          <w:szCs w:val="32"/>
          <w:shd w:val="clear" w:color="auto" w:fill="FFFFFF"/>
        </w:rPr>
        <w:t>。公用经费用途主要包括</w:t>
      </w:r>
      <w:r>
        <w:rPr>
          <w:rFonts w:hint="eastAsia" w:ascii="方正仿宋_GBK" w:hAnsi="方正仿宋_GBK" w:eastAsia="方正仿宋_GBK" w:cs="方正仿宋_GBK"/>
          <w:color w:val="auto"/>
          <w:sz w:val="32"/>
          <w:szCs w:val="32"/>
          <w:shd w:val="clear" w:color="auto" w:fill="FFFFFF"/>
          <w:lang w:eastAsia="zh-CN"/>
        </w:rPr>
        <w:t>办公费、水电费、差旅费</w:t>
      </w:r>
      <w:r>
        <w:rPr>
          <w:rFonts w:hint="eastAsia" w:ascii="方正仿宋_GBK" w:hAnsi="方正仿宋_GBK" w:eastAsia="方正仿宋_GBK" w:cs="方正仿宋_GBK"/>
          <w:color w:val="auto"/>
          <w:sz w:val="32"/>
          <w:szCs w:val="32"/>
          <w:shd w:val="clear" w:color="auto" w:fill="FFFFFF"/>
          <w:lang w:val="en-US" w:eastAsia="zh-CN"/>
        </w:rPr>
        <w:t>等</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本单位2023年度无政府性基金预算财政拨款收支。</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本单位2023年度无国有资本经营预算财政拨款支出。</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三、“三公”经费情况说明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xml:space="preserve"> （一）“三公”经费支出总体情况说明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w:t>
      </w:r>
      <w:r>
        <w:rPr>
          <w:rFonts w:ascii="方正仿宋_GBK" w:hAnsi="方正仿宋_GBK" w:eastAsia="方正仿宋_GBK" w:cs="方正仿宋_GBK"/>
          <w:color w:val="auto"/>
          <w:sz w:val="32"/>
          <w:szCs w:val="32"/>
          <w:shd w:val="clear" w:color="auto" w:fill="FFFFFF"/>
        </w:rPr>
        <w:t>度“三公”经费支出共计</w:t>
      </w:r>
      <w:r>
        <w:rPr>
          <w:rFonts w:ascii="方正仿宋_GBK" w:hAnsi="方正仿宋_GBK" w:eastAsia="方正仿宋_GBK" w:cs="方正仿宋_GBK"/>
          <w:color w:val="auto"/>
          <w:sz w:val="32"/>
          <w:szCs w:val="32"/>
        </w:rPr>
        <w:t>3.00</w:t>
      </w:r>
      <w:r>
        <w:rPr>
          <w:rFonts w:ascii="方正仿宋_GBK" w:hAnsi="方正仿宋_GBK" w:eastAsia="方正仿宋_GBK" w:cs="方正仿宋_GBK"/>
          <w:color w:val="auto"/>
          <w:sz w:val="32"/>
          <w:szCs w:val="32"/>
          <w:shd w:val="clear" w:color="auto" w:fill="FFFFFF"/>
        </w:rPr>
        <w:t>万元，较年初预算数无增减，主要原因是</w:t>
      </w:r>
      <w:r>
        <w:rPr>
          <w:rFonts w:hint="eastAsia" w:ascii="方正仿宋_GBK" w:eastAsia="方正仿宋_GBK"/>
          <w:color w:val="auto"/>
          <w:sz w:val="32"/>
          <w:szCs w:val="32"/>
        </w:rPr>
        <w:t>严格落实公车使用规定，严禁公车私用</w:t>
      </w:r>
      <w:r>
        <w:rPr>
          <w:rFonts w:ascii="方正仿宋_GBK" w:hAnsi="方正仿宋_GBK" w:eastAsia="方正仿宋_GBK" w:cs="方正仿宋_GBK"/>
          <w:color w:val="auto"/>
          <w:sz w:val="32"/>
          <w:szCs w:val="32"/>
          <w:shd w:val="clear" w:color="auto" w:fill="FFFFFF"/>
        </w:rPr>
        <w:t>。较上年支出数减少0.86万元，下降22.28%，主要原因是</w:t>
      </w:r>
      <w:r>
        <w:rPr>
          <w:rFonts w:hint="eastAsia" w:ascii="方正仿宋_GBK" w:hAnsi="方正仿宋_GBK" w:eastAsia="方正仿宋_GBK" w:cs="方正仿宋_GBK"/>
          <w:color w:val="auto"/>
          <w:sz w:val="32"/>
          <w:szCs w:val="32"/>
          <w:shd w:val="clear" w:color="auto" w:fill="FFFFFF"/>
          <w:lang w:val="en-US" w:eastAsia="zh-CN"/>
        </w:rPr>
        <w:t>厉行节约，</w:t>
      </w:r>
      <w:r>
        <w:rPr>
          <w:rFonts w:hint="eastAsia" w:ascii="方正仿宋_GBK" w:hAnsi="方正仿宋_GBK" w:eastAsia="方正仿宋_GBK" w:cs="方正仿宋_GBK"/>
          <w:color w:val="auto"/>
          <w:kern w:val="2"/>
          <w:sz w:val="32"/>
          <w:szCs w:val="22"/>
          <w:lang w:val="en-US" w:eastAsia="zh-CN" w:bidi="ar-SA"/>
        </w:rPr>
        <w:t>压缩开支</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（二）“三公”经费分项支出情况</w:t>
      </w:r>
    </w:p>
    <w:p>
      <w:pPr>
        <w:pStyle w:val="6"/>
        <w:keepNext w:val="0"/>
        <w:keepLines w:val="0"/>
        <w:pageBreakBefore w:val="0"/>
        <w:widowControl w:val="0"/>
        <w:shd w:val="clear" w:color="auto" w:fill="FFFFFF"/>
        <w:kinsoku/>
        <w:wordWrap/>
        <w:overflowPunct/>
        <w:topLinePunct w:val="0"/>
        <w:autoSpaceDN/>
        <w:bidi w:val="0"/>
        <w:adjustRightInd/>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kern w:val="2"/>
          <w:sz w:val="32"/>
          <w:szCs w:val="22"/>
          <w:lang w:val="en-US" w:eastAsia="zh-CN" w:bidi="ar-SA"/>
        </w:rPr>
        <w:t>未发生因公出国（境）费用支出，与年初预算数、上年决算数持平。</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kern w:val="2"/>
          <w:sz w:val="32"/>
          <w:szCs w:val="22"/>
          <w:lang w:val="en-US" w:eastAsia="zh-CN" w:bidi="ar-SA"/>
        </w:rPr>
        <w:t>未发生公务车购置费用支出，与年初预算数、上年决算数持平</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公务车运行维护费</w:t>
      </w:r>
      <w:r>
        <w:rPr>
          <w:rFonts w:ascii="方正仿宋_GBK" w:hAnsi="方正仿宋_GBK" w:eastAsia="方正仿宋_GBK" w:cs="方正仿宋_GBK"/>
          <w:color w:val="auto"/>
          <w:sz w:val="32"/>
          <w:szCs w:val="32"/>
        </w:rPr>
        <w:t>3.00</w:t>
      </w:r>
      <w:r>
        <w:rPr>
          <w:rFonts w:ascii="方正仿宋_GBK" w:hAnsi="方正仿宋_GBK" w:eastAsia="方正仿宋_GBK" w:cs="方正仿宋_GBK"/>
          <w:color w:val="auto"/>
          <w:sz w:val="32"/>
          <w:szCs w:val="32"/>
          <w:shd w:val="clear" w:color="auto" w:fill="FFFFFF"/>
        </w:rPr>
        <w:t>万元，主要用于</w:t>
      </w:r>
      <w:r>
        <w:rPr>
          <w:rFonts w:hint="eastAsia" w:ascii="方正仿宋_GBK" w:eastAsia="方正仿宋_GBK"/>
          <w:color w:val="auto"/>
          <w:sz w:val="32"/>
          <w:szCs w:val="32"/>
        </w:rPr>
        <w:t>机要文件交换、市内因公出行、监察执法活动等工作所需车辆的燃料费、维修费、过桥过路费、保险费等</w:t>
      </w:r>
      <w:r>
        <w:rPr>
          <w:rFonts w:hint="eastAsia" w:ascii="方正仿宋_GBK" w:hAnsi="方正仿宋_GBK" w:eastAsia="方正仿宋_GBK" w:cs="方正仿宋_GBK"/>
          <w:color w:val="auto"/>
          <w:kern w:val="2"/>
          <w:sz w:val="32"/>
          <w:szCs w:val="22"/>
          <w:lang w:val="en-US" w:eastAsia="zh-CN" w:bidi="ar-SA"/>
        </w:rPr>
        <w:t>。</w:t>
      </w:r>
      <w:r>
        <w:rPr>
          <w:rFonts w:ascii="方正仿宋_GBK" w:hAnsi="方正仿宋_GBK" w:eastAsia="方正仿宋_GBK" w:cs="方正仿宋_GBK"/>
          <w:color w:val="auto"/>
          <w:sz w:val="32"/>
          <w:szCs w:val="32"/>
          <w:shd w:val="clear" w:color="auto" w:fill="FFFFFF"/>
        </w:rPr>
        <w:t>费用支出较年初预算数无增减，主要原因是</w:t>
      </w:r>
      <w:r>
        <w:rPr>
          <w:rFonts w:hint="eastAsia" w:ascii="方正仿宋_GBK" w:eastAsia="方正仿宋_GBK"/>
          <w:color w:val="auto"/>
          <w:sz w:val="32"/>
          <w:szCs w:val="32"/>
        </w:rPr>
        <w:t>严格落实公车使用规定，严禁公车私用</w:t>
      </w:r>
      <w:r>
        <w:rPr>
          <w:rFonts w:ascii="方正仿宋_GBK" w:hAnsi="方正仿宋_GBK" w:eastAsia="方正仿宋_GBK" w:cs="方正仿宋_GBK"/>
          <w:color w:val="auto"/>
          <w:sz w:val="32"/>
          <w:szCs w:val="32"/>
          <w:shd w:val="clear" w:color="auto" w:fill="FFFFFF"/>
        </w:rPr>
        <w:t>。较上年支出数减少0.66万元，下降18.03%，主要原因是</w:t>
      </w:r>
      <w:r>
        <w:rPr>
          <w:rFonts w:hint="eastAsia" w:ascii="方正仿宋_GBK" w:eastAsia="方正仿宋_GBK"/>
          <w:color w:val="auto"/>
          <w:sz w:val="32"/>
          <w:szCs w:val="32"/>
        </w:rPr>
        <w:t>严格落实公车使用规定，严禁公车私用，减少公车出差频次</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w:t>
      </w:r>
      <w:r>
        <w:rPr>
          <w:rFonts w:hint="eastAsia" w:ascii="方正仿宋_GBK" w:hAnsi="方正仿宋_GBK" w:eastAsia="方正仿宋_GBK" w:cs="方正仿宋_GBK"/>
          <w:color w:val="auto"/>
          <w:kern w:val="2"/>
          <w:sz w:val="32"/>
          <w:szCs w:val="22"/>
          <w:lang w:val="en-US" w:eastAsia="zh-CN" w:bidi="ar-SA"/>
        </w:rPr>
        <w:t>未发生</w:t>
      </w:r>
      <w:r>
        <w:rPr>
          <w:rFonts w:ascii="方正仿宋_GBK" w:hAnsi="方正仿宋_GBK" w:eastAsia="方正仿宋_GBK" w:cs="方正仿宋_GBK"/>
          <w:color w:val="auto"/>
          <w:sz w:val="32"/>
          <w:szCs w:val="32"/>
          <w:shd w:val="clear" w:color="auto" w:fill="FFFFFF"/>
        </w:rPr>
        <w:t>公务接待费，费用支出较年初预算数无增减，较上年支出数减少0.20万元，下降100.00%，主要原因是</w:t>
      </w:r>
      <w:r>
        <w:rPr>
          <w:rFonts w:hint="eastAsia" w:ascii="方正仿宋_GBK" w:eastAsia="方正仿宋_GBK"/>
          <w:color w:val="auto"/>
          <w:sz w:val="32"/>
          <w:szCs w:val="32"/>
        </w:rPr>
        <w:t>强化公务接待支出管理，严格遵守公务接待开支范围和开支标准，对应由接待对象承担的费用一律由接待对象自行支付</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2023年度本单位因公出国（境）共计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个团组，</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人；公务用车购置</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辆，公务车保有量为</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辆；国内公务接待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人，其中：国内外事接待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人；国（境）外公务接待</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批次，</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人。2023年本单位人均接待费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元，车均购置费</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万元，车均维护费</w:t>
      </w:r>
      <w:r>
        <w:rPr>
          <w:rFonts w:ascii="方正仿宋_GBK" w:hAnsi="方正仿宋_GBK" w:eastAsia="方正仿宋_GBK" w:cs="方正仿宋_GBK"/>
          <w:color w:val="auto"/>
          <w:sz w:val="32"/>
          <w:szCs w:val="32"/>
        </w:rPr>
        <w:t>3.00</w:t>
      </w:r>
      <w:r>
        <w:rPr>
          <w:rFonts w:ascii="方正仿宋_GBK" w:hAnsi="方正仿宋_GBK" w:eastAsia="方正仿宋_GBK" w:cs="方正仿宋_GBK"/>
          <w:color w:val="auto"/>
          <w:sz w:val="32"/>
          <w:szCs w:val="32"/>
          <w:shd w:val="clear" w:color="auto" w:fill="FFFFFF"/>
        </w:rPr>
        <w:t>万元。</w:t>
      </w:r>
    </w:p>
    <w:p>
      <w:pPr>
        <w:pStyle w:val="6"/>
        <w:keepNext w:val="0"/>
        <w:keepLines w:val="0"/>
        <w:pageBreakBefore w:val="0"/>
        <w:widowControl/>
        <w:shd w:val="clear" w:color="auto" w:fill="FFFFFF"/>
        <w:kinsoku/>
        <w:wordWrap/>
        <w:overflowPunct/>
        <w:topLinePunct w:val="0"/>
        <w:autoSpaceDN/>
        <w:bidi w:val="0"/>
        <w:adjustRightInd/>
        <w:spacing w:beforeAutospacing="0" w:after="0" w:afterAutospacing="0" w:line="600" w:lineRule="exact"/>
        <w:ind w:left="0" w:firstLine="643" w:firstLineChars="200"/>
        <w:textAlignment w:val="auto"/>
        <w:rPr>
          <w:rStyle w:val="10"/>
          <w:rFonts w:hint="default" w:ascii="方正仿宋_GBK" w:hAnsi="方正仿宋_GBK" w:eastAsia="方正仿宋_GBK" w:cs="方正仿宋_GBK"/>
          <w:color w:val="auto"/>
          <w:sz w:val="32"/>
          <w:szCs w:val="32"/>
          <w:shd w:val="clear" w:color="auto" w:fill="FFFFFF"/>
        </w:rPr>
      </w:pPr>
      <w:r>
        <w:rPr>
          <w:rStyle w:val="10"/>
          <w:rFonts w:ascii="黑体" w:hAnsi="黑体" w:eastAsia="黑体" w:cs="黑体"/>
          <w:color w:val="auto"/>
          <w:sz w:val="32"/>
          <w:szCs w:val="32"/>
          <w:shd w:val="clear" w:color="auto" w:fill="FFFFFF"/>
        </w:rPr>
        <w:t>四、其他需要说明的事项</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  （一）财政拨款会议费和培训费情况说明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firstLineChars="200"/>
        <w:textAlignment w:val="auto"/>
        <w:rPr>
          <w:rFonts w:ascii="方正仿宋_GBK" w:hAnsi="方正仿宋_GBK" w:eastAsia="方正仿宋_GBK" w:cs="方正仿宋_GBK"/>
          <w:color w:val="auto"/>
          <w:sz w:val="32"/>
          <w:szCs w:val="32"/>
          <w:shd w:val="clear" w:color="auto" w:fill="FFFFFF"/>
        </w:rPr>
      </w:pPr>
      <w:bookmarkStart w:id="0" w:name="_GoBack"/>
      <w:r>
        <w:rPr>
          <w:rFonts w:ascii="方正仿宋_GBK" w:hAnsi="方正仿宋_GBK" w:eastAsia="方正仿宋_GBK" w:cs="方正仿宋_GBK"/>
          <w:color w:val="auto"/>
          <w:sz w:val="32"/>
          <w:szCs w:val="32"/>
          <w:shd w:val="clear" w:color="auto" w:fill="FFFFFF"/>
        </w:rPr>
        <w:t>本年度会议费支出</w:t>
      </w:r>
      <w:r>
        <w:rPr>
          <w:rFonts w:ascii="方正仿宋_GBK" w:hAnsi="方正仿宋_GBK" w:eastAsia="方正仿宋_GBK" w:cs="方正仿宋_GBK"/>
          <w:color w:val="auto"/>
          <w:sz w:val="32"/>
          <w:szCs w:val="32"/>
        </w:rPr>
        <w:t>0.08</w:t>
      </w:r>
      <w:r>
        <w:rPr>
          <w:rFonts w:ascii="方正仿宋_GBK" w:hAnsi="方正仿宋_GBK" w:eastAsia="方正仿宋_GBK" w:cs="方正仿宋_GBK"/>
          <w:color w:val="auto"/>
          <w:sz w:val="32"/>
          <w:szCs w:val="32"/>
          <w:shd w:val="clear" w:color="auto" w:fill="FFFFFF"/>
        </w:rPr>
        <w:t>万元，较上年决算数增加0.08</w:t>
      </w:r>
      <w:bookmarkEnd w:id="0"/>
      <w:r>
        <w:rPr>
          <w:rFonts w:ascii="方正仿宋_GBK" w:hAnsi="方正仿宋_GBK" w:eastAsia="方正仿宋_GBK" w:cs="方正仿宋_GBK"/>
          <w:color w:val="auto"/>
          <w:sz w:val="32"/>
          <w:szCs w:val="32"/>
          <w:shd w:val="clear" w:color="auto" w:fill="FFFFFF"/>
        </w:rPr>
        <w:t>万元，增长100.00%，主要原因是</w:t>
      </w:r>
      <w:r>
        <w:rPr>
          <w:rFonts w:hint="eastAsia" w:ascii="仿宋_GB2312" w:hAnsi="仿宋" w:eastAsia="仿宋_GB2312"/>
          <w:color w:val="auto"/>
          <w:sz w:val="32"/>
          <w:szCs w:val="32"/>
          <w:lang w:val="en-US" w:eastAsia="zh-CN"/>
        </w:rPr>
        <w:t>根治欠薪工作较往年形势更加严峻</w:t>
      </w:r>
      <w:r>
        <w:rPr>
          <w:rFonts w:ascii="方正仿宋_GBK" w:hAnsi="方正仿宋_GBK" w:eastAsia="方正仿宋_GBK" w:cs="方正仿宋_GBK"/>
          <w:color w:val="auto"/>
          <w:sz w:val="32"/>
          <w:szCs w:val="32"/>
          <w:shd w:val="clear" w:color="auto" w:fill="FFFFFF"/>
        </w:rPr>
        <w:t>。</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w:t>
      </w:r>
      <w:r>
        <w:rPr>
          <w:rFonts w:hint="eastAsia" w:ascii="方正仿宋_GBK" w:hAnsi="方正仿宋_GBK" w:eastAsia="方正仿宋_GBK" w:cs="方正仿宋_GBK"/>
          <w:color w:val="auto"/>
          <w:kern w:val="2"/>
          <w:sz w:val="32"/>
          <w:szCs w:val="22"/>
          <w:lang w:val="en-US" w:eastAsia="zh-CN" w:bidi="ar-SA"/>
        </w:rPr>
        <w:t>未发</w:t>
      </w:r>
      <w:r>
        <w:rPr>
          <w:rFonts w:hint="eastAsia" w:ascii="方正仿宋_GBK" w:hAnsi="方正仿宋_GBK" w:eastAsia="方正仿宋_GBK" w:cs="方正仿宋_GBK"/>
          <w:color w:val="auto"/>
          <w:sz w:val="32"/>
          <w:szCs w:val="32"/>
          <w:shd w:val="clear" w:color="auto" w:fill="FFFFFF"/>
          <w:lang w:val="en-US" w:eastAsia="zh-CN"/>
        </w:rPr>
        <w:t>生</w:t>
      </w:r>
      <w:r>
        <w:rPr>
          <w:rFonts w:hint="eastAsia" w:ascii="方正仿宋_GBK" w:hAnsi="方正仿宋_GBK" w:eastAsia="方正仿宋_GBK" w:cs="方正仿宋_GBK"/>
          <w:color w:val="auto"/>
          <w:sz w:val="32"/>
          <w:szCs w:val="32"/>
          <w:shd w:val="clear" w:color="auto" w:fill="FFFFFF"/>
        </w:rPr>
        <w:t>培训费</w:t>
      </w:r>
      <w:r>
        <w:rPr>
          <w:rFonts w:hint="eastAsia" w:ascii="方正仿宋_GBK" w:hAnsi="方正仿宋_GBK" w:eastAsia="方正仿宋_GBK" w:cs="方正仿宋_GBK"/>
          <w:color w:val="auto"/>
          <w:sz w:val="32"/>
          <w:szCs w:val="32"/>
          <w:shd w:val="clear" w:color="auto" w:fill="FFFFFF"/>
          <w:lang w:val="en-US" w:eastAsia="zh-CN"/>
        </w:rPr>
        <w:t>，与上</w:t>
      </w:r>
      <w:r>
        <w:rPr>
          <w:rFonts w:hint="eastAsia" w:ascii="方正仿宋_GBK" w:hAnsi="方正仿宋_GBK" w:eastAsia="方正仿宋_GBK" w:cs="方正仿宋_GBK"/>
          <w:color w:val="auto"/>
          <w:kern w:val="2"/>
          <w:sz w:val="32"/>
          <w:szCs w:val="22"/>
          <w:lang w:val="en-US" w:eastAsia="zh-CN" w:bidi="ar-SA"/>
        </w:rPr>
        <w:t>年持平</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2023年度本单位机关运行经费支出</w:t>
      </w:r>
      <w:r>
        <w:rPr>
          <w:rFonts w:ascii="方正仿宋_GBK" w:hAnsi="方正仿宋_GBK" w:eastAsia="方正仿宋_GBK" w:cs="方正仿宋_GBK"/>
          <w:color w:val="auto"/>
          <w:sz w:val="32"/>
          <w:szCs w:val="32"/>
        </w:rPr>
        <w:t>30.36</w:t>
      </w:r>
      <w:r>
        <w:rPr>
          <w:rFonts w:ascii="方正仿宋_GBK" w:hAnsi="方正仿宋_GBK" w:eastAsia="方正仿宋_GBK" w:cs="方正仿宋_GBK"/>
          <w:color w:val="auto"/>
          <w:sz w:val="32"/>
          <w:szCs w:val="32"/>
          <w:shd w:val="clear" w:color="auto" w:fill="FFFFFF"/>
        </w:rPr>
        <w:t>万元，机关运行经费主要用于开支</w:t>
      </w:r>
      <w:r>
        <w:rPr>
          <w:rFonts w:hint="eastAsia" w:ascii="方正仿宋_GBK" w:hAnsi="方正仿宋_GBK" w:eastAsia="方正仿宋_GBK" w:cs="方正仿宋_GBK"/>
          <w:color w:val="auto"/>
          <w:sz w:val="32"/>
          <w:szCs w:val="32"/>
          <w:shd w:val="clear" w:color="auto" w:fill="FFFFFF"/>
          <w:lang w:eastAsia="zh-CN"/>
        </w:rPr>
        <w:t>办公费、水电费、差旅费</w:t>
      </w:r>
      <w:r>
        <w:rPr>
          <w:rFonts w:hint="eastAsia" w:ascii="方正仿宋_GBK" w:hAnsi="方正仿宋_GBK" w:eastAsia="方正仿宋_GBK" w:cs="方正仿宋_GBK"/>
          <w:color w:val="auto"/>
          <w:sz w:val="32"/>
          <w:szCs w:val="32"/>
          <w:shd w:val="clear" w:color="auto" w:fill="FFFFFF"/>
          <w:lang w:val="en-US" w:eastAsia="zh-CN"/>
        </w:rPr>
        <w:t>等</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机关运行经费较上年支出数增加15.25万元，增长100.93%，主要原因</w:t>
      </w:r>
      <w:r>
        <w:rPr>
          <w:rFonts w:hint="eastAsia" w:ascii="方正仿宋_GBK" w:hAnsi="方正仿宋_GBK" w:eastAsia="方正仿宋_GBK" w:cs="方正仿宋_GBK"/>
          <w:color w:val="auto"/>
          <w:sz w:val="32"/>
          <w:szCs w:val="32"/>
          <w:shd w:val="clear" w:color="auto" w:fill="FFFFFF"/>
          <w:lang w:val="en-US" w:eastAsia="zh-CN"/>
        </w:rPr>
        <w:t>是2023年度人员增加导致公用经费增长，同时</w:t>
      </w:r>
      <w:r>
        <w:rPr>
          <w:rFonts w:hint="eastAsia" w:ascii="仿宋_GB2312" w:hAnsi="仿宋" w:eastAsia="仿宋_GB2312"/>
          <w:color w:val="auto"/>
          <w:sz w:val="32"/>
          <w:szCs w:val="32"/>
          <w:lang w:val="en-US" w:eastAsia="zh-CN"/>
        </w:rPr>
        <w:t>根治欠薪工作较往年形势更加严峻</w:t>
      </w:r>
      <w:r>
        <w:rPr>
          <w:rFonts w:ascii="方正仿宋_GBK" w:hAnsi="方正仿宋_GBK" w:eastAsia="方正仿宋_GBK" w:cs="方正仿宋_GBK"/>
          <w:color w:val="auto"/>
          <w:sz w:val="32"/>
          <w:szCs w:val="32"/>
          <w:shd w:val="clear" w:color="auto" w:fill="FFFFFF"/>
        </w:rPr>
        <w:t>。</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  截至2023年12月31日，本单位共有车辆</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辆，其中，副部（省）级及以上领导用车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辆、主要负责人用车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辆、机要通信用车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辆、应急保障用车</w:t>
      </w:r>
      <w:r>
        <w:rPr>
          <w:rFonts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shd w:val="clear" w:color="auto" w:fill="FFFFFF"/>
        </w:rPr>
        <w:t>辆、执法执勤用车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辆，特种专业技术用车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辆，离退休干部用车</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辆。单价100万元（含）以上专用设备</w:t>
      </w:r>
      <w:r>
        <w:rPr>
          <w:rFonts w:ascii="方正仿宋_GBK" w:hAnsi="方正仿宋_GBK" w:eastAsia="方正仿宋_GBK" w:cs="方正仿宋_GBK"/>
          <w:color w:val="auto"/>
          <w:sz w:val="32"/>
          <w:szCs w:val="32"/>
        </w:rPr>
        <w:t>0</w:t>
      </w:r>
      <w:r>
        <w:rPr>
          <w:rFonts w:ascii="方正仿宋_GBK" w:hAnsi="方正仿宋_GBK" w:eastAsia="方正仿宋_GBK" w:cs="方正仿宋_GBK"/>
          <w:color w:val="auto"/>
          <w:sz w:val="32"/>
          <w:szCs w:val="32"/>
          <w:shd w:val="clear" w:color="auto" w:fill="FFFFFF"/>
        </w:rPr>
        <w:t>台（套）。</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pPr>
        <w:pStyle w:val="6"/>
        <w:keepNext w:val="0"/>
        <w:keepLines w:val="0"/>
        <w:pageBreakBefore w:val="0"/>
        <w:widowControl/>
        <w:kinsoku/>
        <w:wordWrap/>
        <w:overflowPunct/>
        <w:topLinePunct w:val="0"/>
        <w:autoSpaceDN/>
        <w:bidi w:val="0"/>
        <w:adjustRightInd/>
        <w:snapToGrid w:val="0"/>
        <w:spacing w:before="0" w:beforeAutospacing="0" w:after="0" w:afterAutospacing="0" w:line="600" w:lineRule="exact"/>
        <w:ind w:left="0" w:firstLine="640" w:firstLineChars="200"/>
        <w:jc w:val="both"/>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  2023年度我单位未发生政府采购事项，无相关经费支出。</w:t>
      </w:r>
    </w:p>
    <w:p>
      <w:pPr>
        <w:pStyle w:val="6"/>
        <w:keepNext w:val="0"/>
        <w:keepLines w:val="0"/>
        <w:pageBreakBefore w:val="0"/>
        <w:widowControl/>
        <w:numPr>
          <w:ilvl w:val="0"/>
          <w:numId w:val="1"/>
        </w:numPr>
        <w:shd w:val="clear" w:color="auto" w:fill="FFFFFF"/>
        <w:kinsoku/>
        <w:wordWrap/>
        <w:overflowPunct/>
        <w:topLinePunct w:val="0"/>
        <w:autoSpaceDN/>
        <w:bidi w:val="0"/>
        <w:adjustRightInd/>
        <w:spacing w:beforeAutospacing="0" w:after="0" w:afterAutospacing="0" w:line="600" w:lineRule="exact"/>
        <w:ind w:left="0" w:firstLine="643" w:firstLineChars="200"/>
        <w:textAlignment w:val="auto"/>
        <w:rPr>
          <w:rStyle w:val="10"/>
          <w:rFonts w:hint="default" w:ascii="黑体" w:hAnsi="黑体" w:eastAsia="黑体" w:cs="黑体"/>
          <w:color w:val="auto"/>
          <w:sz w:val="32"/>
          <w:szCs w:val="32"/>
          <w:shd w:val="clear" w:color="auto" w:fill="FFFFFF"/>
        </w:rPr>
      </w:pPr>
      <w:r>
        <w:rPr>
          <w:rStyle w:val="10"/>
          <w:rFonts w:ascii="黑体" w:hAnsi="黑体" w:eastAsia="黑体" w:cs="黑体"/>
          <w:color w:val="auto"/>
          <w:sz w:val="32"/>
          <w:szCs w:val="32"/>
          <w:shd w:val="clear" w:color="auto" w:fill="FFFFFF"/>
        </w:rPr>
        <w:t>预算绩效管理情况说明</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（一）单位自评情况</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方正仿宋_GBK" w:hAnsi="方正仿宋_GBK" w:eastAsia="方正仿宋_GBK" w:cs="方正仿宋_GBK"/>
          <w:color w:val="auto"/>
          <w:sz w:val="32"/>
          <w:szCs w:val="32"/>
          <w:highlight w:val="yellow"/>
          <w:shd w:val="clear" w:color="auto" w:fill="FFFFFF"/>
          <w:lang w:val="en-US"/>
        </w:rPr>
      </w:pPr>
      <w:r>
        <w:rPr>
          <w:rFonts w:hint="eastAsia" w:ascii="方正仿宋_GBK" w:hAnsi="方正仿宋_GBK" w:eastAsia="方正仿宋_GBK" w:cs="方正仿宋_GBK"/>
          <w:color w:val="auto"/>
          <w:sz w:val="32"/>
          <w:szCs w:val="32"/>
          <w:shd w:val="clear" w:color="auto" w:fill="FFFFFF"/>
        </w:rPr>
        <w:t>根据预算绩效管理要求，我单位对</w:t>
      </w:r>
      <w:r>
        <w:rPr>
          <w:rFonts w:hint="eastAsia" w:ascii="方正仿宋_GBK" w:hAnsi="方正仿宋_GBK" w:eastAsia="方正仿宋_GBK" w:cs="方正仿宋_GBK"/>
          <w:color w:val="auto"/>
          <w:sz w:val="32"/>
          <w:szCs w:val="32"/>
          <w:shd w:val="clear" w:color="auto" w:fill="FFFFFF"/>
          <w:lang w:val="en-US" w:eastAsia="zh-CN"/>
        </w:rPr>
        <w:t>单位4</w:t>
      </w:r>
      <w:r>
        <w:rPr>
          <w:rFonts w:hint="eastAsia" w:ascii="方正仿宋_GBK" w:hAnsi="方正仿宋_GBK" w:eastAsia="方正仿宋_GBK" w:cs="方正仿宋_GBK"/>
          <w:color w:val="auto"/>
          <w:sz w:val="32"/>
          <w:szCs w:val="32"/>
          <w:shd w:val="clear" w:color="auto" w:fill="FFFFFF"/>
        </w:rPr>
        <w:t>个</w:t>
      </w:r>
      <w:r>
        <w:rPr>
          <w:rFonts w:hint="eastAsia" w:ascii="方正仿宋_GBK" w:hAnsi="方正仿宋_GBK" w:eastAsia="方正仿宋_GBK" w:cs="方正仿宋_GBK"/>
          <w:color w:val="auto"/>
          <w:sz w:val="32"/>
          <w:szCs w:val="32"/>
          <w:shd w:val="clear" w:color="auto" w:fill="FFFFFF"/>
          <w:lang w:val="en-US" w:eastAsia="zh-CN"/>
        </w:rPr>
        <w:t>二</w:t>
      </w:r>
      <w:r>
        <w:rPr>
          <w:rFonts w:hint="eastAsia" w:ascii="方正仿宋_GBK" w:hAnsi="方正仿宋_GBK" w:eastAsia="方正仿宋_GBK" w:cs="方正仿宋_GBK"/>
          <w:color w:val="auto"/>
          <w:sz w:val="32"/>
          <w:szCs w:val="32"/>
          <w:shd w:val="clear" w:color="auto" w:fill="FFFFFF"/>
        </w:rPr>
        <w:t>级项目开展了绩效自评，涉及财政拨款项目支出资金</w:t>
      </w:r>
      <w:r>
        <w:rPr>
          <w:rFonts w:hint="default" w:ascii="方正仿宋_GBK" w:hAnsi="方正仿宋_GBK" w:eastAsia="方正仿宋_GBK" w:cs="方正仿宋_GBK"/>
          <w:color w:val="auto"/>
          <w:sz w:val="32"/>
          <w:szCs w:val="32"/>
          <w:shd w:val="clear" w:color="auto" w:fill="FFFFFF"/>
          <w:lang w:val="en-US" w:eastAsia="zh-CN"/>
        </w:rPr>
        <w:t>146.8</w:t>
      </w:r>
      <w:r>
        <w:rPr>
          <w:rFonts w:hint="eastAsia" w:ascii="方正仿宋_GBK" w:hAnsi="方正仿宋_GBK" w:eastAsia="方正仿宋_GBK" w:cs="方正仿宋_GBK"/>
          <w:color w:val="auto"/>
          <w:sz w:val="32"/>
          <w:szCs w:val="32"/>
          <w:shd w:val="clear" w:color="auto" w:fill="FFFFFF"/>
        </w:rPr>
        <w:t>万元</w:t>
      </w:r>
      <w:r>
        <w:rPr>
          <w:rFonts w:hint="eastAsia" w:ascii="方正仿宋_GBK" w:hAnsi="方正仿宋_GBK" w:eastAsia="方正仿宋_GBK" w:cs="方正仿宋_GBK"/>
          <w:color w:val="auto"/>
          <w:sz w:val="32"/>
          <w:szCs w:val="32"/>
          <w:shd w:val="clear" w:color="auto" w:fill="FFFFFF"/>
          <w:lang w:val="en-US" w:eastAsia="zh-CN"/>
        </w:rPr>
        <w:t>。从评价情况来看，项目立项较为规范，绩效目标明确，预算编制合理，管理科学规范，资金到位及时，完成情况较好，有力保障了劳动监察、仲裁工作的顺利开展，完成了本年的目标任务，项目基本达到了预期绩效目标。详见附件1。</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（二）单位绩效评价情况</w:t>
      </w:r>
    </w:p>
    <w:p>
      <w:pPr>
        <w:pStyle w:val="11"/>
        <w:keepNext w:val="0"/>
        <w:keepLines w:val="0"/>
        <w:pageBreakBefore w:val="0"/>
        <w:widowControl/>
        <w:kinsoku/>
        <w:wordWrap/>
        <w:overflowPunct/>
        <w:topLinePunct w:val="0"/>
        <w:autoSpaceDE w:val="0"/>
        <w:autoSpaceDN/>
        <w:bidi w:val="0"/>
        <w:adjustRightInd/>
        <w:spacing w:beforeAutospacing="0" w:afterAutospacing="0" w:line="600" w:lineRule="exact"/>
        <w:ind w:left="0"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rPr>
      </w:pPr>
      <w:r>
        <w:rPr>
          <w:rFonts w:hint="eastAsia" w:ascii="方正仿宋_GBK" w:hAnsi="方正仿宋_GBK" w:eastAsia="方正仿宋_GBK" w:cs="方正仿宋_GBK"/>
          <w:color w:val="auto"/>
          <w:sz w:val="32"/>
          <w:szCs w:val="32"/>
          <w:shd w:val="clear" w:color="auto" w:fill="FFFFFF"/>
        </w:rPr>
        <w:t>我单位</w:t>
      </w:r>
      <w:r>
        <w:rPr>
          <w:rFonts w:hint="eastAsia" w:ascii="方正仿宋_GBK" w:hAnsi="方正仿宋_GBK" w:eastAsia="方正仿宋_GBK" w:cs="方正仿宋_GBK"/>
          <w:color w:val="auto"/>
          <w:sz w:val="32"/>
          <w:szCs w:val="32"/>
          <w:shd w:val="clear" w:color="auto" w:fill="FFFFFF"/>
          <w:lang w:val="en-US" w:eastAsia="zh-CN"/>
        </w:rPr>
        <w:t>未组织开展绩效评价。</w:t>
      </w:r>
    </w:p>
    <w:p>
      <w:pPr>
        <w:pStyle w:val="11"/>
        <w:keepNext w:val="0"/>
        <w:keepLines w:val="0"/>
        <w:pageBreakBefore w:val="0"/>
        <w:widowControl/>
        <w:numPr>
          <w:ilvl w:val="0"/>
          <w:numId w:val="2"/>
        </w:numPr>
        <w:kinsoku/>
        <w:wordWrap/>
        <w:overflowPunct/>
        <w:topLinePunct w:val="0"/>
        <w:autoSpaceDE w:val="0"/>
        <w:autoSpaceDN/>
        <w:bidi w:val="0"/>
        <w:adjustRightInd/>
        <w:spacing w:beforeAutospacing="0" w:afterAutospacing="0" w:line="600" w:lineRule="exact"/>
        <w:ind w:left="0" w:firstLine="643" w:firstLineChars="200"/>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财政绩效评价情况</w:t>
      </w:r>
    </w:p>
    <w:p>
      <w:pPr>
        <w:pStyle w:val="11"/>
        <w:keepNext w:val="0"/>
        <w:keepLines w:val="0"/>
        <w:pageBreakBefore w:val="0"/>
        <w:widowControl/>
        <w:numPr>
          <w:ilvl w:val="0"/>
          <w:numId w:val="0"/>
        </w:numPr>
        <w:kinsoku/>
        <w:wordWrap/>
        <w:overflowPunct/>
        <w:topLinePunct w:val="0"/>
        <w:autoSpaceDE w:val="0"/>
        <w:autoSpaceDN/>
        <w:bidi w:val="0"/>
        <w:adjustRightInd/>
        <w:spacing w:beforeAutospacing="0" w:afterAutospacing="0" w:line="600" w:lineRule="exact"/>
        <w:ind w:left="0" w:firstLine="640" w:firstLineChars="200"/>
        <w:textAlignment w:val="auto"/>
        <w:rPr>
          <w:rFonts w:hint="eastAsia" w:ascii="方正仿宋_GBK" w:hAnsi="方正仿宋_GBK" w:eastAsia="方正仿宋_GBK" w:cs="方正仿宋_GBK"/>
          <w:color w:val="auto"/>
          <w:sz w:val="32"/>
          <w:szCs w:val="32"/>
          <w:shd w:val="clear" w:color="auto" w:fill="FFFFFF"/>
          <w:lang w:val="en-US" w:eastAsia="zh-CN" w:bidi="ar-SA"/>
        </w:rPr>
      </w:pPr>
      <w:r>
        <w:rPr>
          <w:rFonts w:hint="eastAsia" w:ascii="方正仿宋_GBK" w:hAnsi="方正仿宋_GBK" w:eastAsia="方正仿宋_GBK" w:cs="方正仿宋_GBK"/>
          <w:color w:val="auto"/>
          <w:sz w:val="32"/>
          <w:szCs w:val="32"/>
          <w:shd w:val="clear" w:color="auto" w:fill="FFFFFF"/>
          <w:lang w:val="en-US" w:eastAsia="zh-CN" w:bidi="ar-SA"/>
        </w:rPr>
        <w:t>市财政局未委托第三方对我单位开展绩效评价。</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0" w:afterAutospacing="0" w:line="600" w:lineRule="exact"/>
        <w:ind w:left="0" w:firstLine="643" w:firstLineChars="200"/>
        <w:textAlignment w:val="auto"/>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六、专业名词解释</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b/>
          <w:bCs/>
          <w:color w:val="auto"/>
          <w:sz w:val="32"/>
          <w:szCs w:val="32"/>
          <w:shd w:val="clear" w:color="auto" w:fill="FFFFFF"/>
        </w:rPr>
        <w:t> </w:t>
      </w:r>
      <w:r>
        <w:rPr>
          <w:rFonts w:ascii="楷体" w:hAnsi="楷体" w:eastAsia="楷体" w:cs="楷体"/>
          <w:b/>
          <w:bCs/>
          <w:color w:val="auto"/>
          <w:sz w:val="32"/>
          <w:szCs w:val="32"/>
          <w:shd w:val="clear" w:color="auto" w:fill="FFFFFF"/>
        </w:rPr>
        <w:t>（一）财政拨款收入：</w:t>
      </w:r>
      <w:r>
        <w:rPr>
          <w:rFonts w:ascii="方正仿宋_GBK" w:hAnsi="方正仿宋_GBK" w:eastAsia="方正仿宋_GBK" w:cs="方正仿宋_GBK"/>
          <w:color w:val="auto"/>
          <w:sz w:val="32"/>
          <w:szCs w:val="32"/>
          <w:shd w:val="clear" w:color="auto" w:fill="FFFFFF"/>
        </w:rPr>
        <w:t>指本年度从本级财政部门取得的财政拨款，包括一般公共预算财政拨款和政府性基金预算财政拨款。</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（二）事业收入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指事业单位开展专业业务活动及其辅助活动取得的现金流入；事业单位收到的财政专户实际核拨的教育收费等资金在此反映。</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（三）经营收入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指事业单位在专业业务活动及其辅助活动之外开展非独立核算经营活动取得的现金流入。</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（四）其他收入</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（五）使用非财政拨款结余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（六）年初结转和结余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指单位上年结转本年使用的基本支出结转、项目支出结转和结余、经营结余。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（七）结余分配</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指单位按照国家有关规定，缴纳所得税、提取专用基金、转入非财政拨款结余等当年结余的分配情况。</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（八）年末结转和结余</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指单位结转下年的基本支出结转、项目支出结转和结余、经营结余。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（九）基本支出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（十）项目支出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指在基本支出之外为完成特定行政任务和事业发展目标所发生的支出。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（十一）经营支出</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指事业单位在专业业务活动及其辅助活动之外开展非独立核算经营活动发生的支出。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（十二）“三公”经费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（十三）机关运行经费</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（十四）工资福利支出（支出经济分类科目类级）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反映单位开支的在职职工和编制外长期聘用人员的各类劳动报酬，以及为上述人员缴纳的各项社会保险费等。</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（十五）商品和服务支出（支出经济分类科目类级）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反映单位购买商品和服务的支出（不包括用于购置固定资产的支出、战略性和应急储备支出）。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楷体" w:hAnsi="楷体" w:eastAsia="楷体" w:cs="楷体"/>
          <w:color w:val="auto"/>
          <w:sz w:val="32"/>
          <w:szCs w:val="32"/>
          <w:shd w:val="clear" w:color="auto" w:fill="FFFFFF"/>
        </w:rPr>
        <w:t> （十六）对个人和家庭的补助（支出经济分类科目类级）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反映用于对个人和家庭的补助支出。</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3" w:firstLineChars="200"/>
        <w:jc w:val="both"/>
        <w:textAlignment w:val="auto"/>
        <w:rPr>
          <w:rFonts w:hint="default" w:ascii="方正仿宋_GBK" w:hAnsi="方正仿宋_GBK" w:eastAsia="方正仿宋_GBK" w:cs="方正仿宋_GBK"/>
          <w:color w:val="auto"/>
          <w:sz w:val="32"/>
          <w:szCs w:val="32"/>
        </w:rPr>
      </w:pPr>
      <w:r>
        <w:rPr>
          <w:rStyle w:val="10"/>
          <w:rFonts w:ascii="方正仿宋_GBK" w:hAnsi="方正仿宋_GBK" w:eastAsia="方正仿宋_GBK" w:cs="方正仿宋_GBK"/>
          <w:color w:val="auto"/>
          <w:sz w:val="32"/>
          <w:szCs w:val="32"/>
          <w:shd w:val="clear" w:color="auto" w:fill="FFFFFF"/>
        </w:rPr>
        <w:t> </w:t>
      </w:r>
      <w:r>
        <w:rPr>
          <w:rStyle w:val="10"/>
          <w:rFonts w:ascii="楷体" w:hAnsi="楷体" w:eastAsia="楷体" w:cs="楷体"/>
          <w:color w:val="auto"/>
          <w:sz w:val="32"/>
          <w:szCs w:val="32"/>
          <w:shd w:val="clear" w:color="auto" w:fill="FFFFFF"/>
        </w:rPr>
        <w:t>（十七）其他资本性支出（支出经济分类科目类级）</w:t>
      </w:r>
      <w:r>
        <w:rPr>
          <w:rFonts w:ascii="楷体" w:hAnsi="楷体" w:eastAsia="楷体" w:cs="楷体"/>
          <w:color w:val="auto"/>
          <w:sz w:val="32"/>
          <w:szCs w:val="32"/>
          <w:shd w:val="clear" w:color="auto" w:fill="FFFFFF"/>
        </w:rPr>
        <w:t>：</w:t>
      </w:r>
      <w:r>
        <w:rPr>
          <w:rFonts w:ascii="方正仿宋_GBK" w:hAnsi="方正仿宋_GBK" w:eastAsia="方正仿宋_GBK" w:cs="方正仿宋_GBK"/>
          <w:color w:val="auto"/>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keepNext w:val="0"/>
        <w:keepLines w:val="0"/>
        <w:pageBreakBefore w:val="0"/>
        <w:widowControl/>
        <w:shd w:val="clear" w:color="auto" w:fill="FFFFFF"/>
        <w:kinsoku/>
        <w:wordWrap/>
        <w:overflowPunct/>
        <w:topLinePunct w:val="0"/>
        <w:autoSpaceDE/>
        <w:autoSpaceDN/>
        <w:bidi w:val="0"/>
        <w:adjustRightInd/>
        <w:spacing w:beforeAutospacing="0" w:after="0" w:afterAutospacing="0" w:line="600" w:lineRule="exact"/>
        <w:ind w:left="0" w:firstLine="643" w:firstLineChars="200"/>
        <w:textAlignment w:val="auto"/>
        <w:rPr>
          <w:rStyle w:val="10"/>
          <w:rFonts w:hint="default" w:ascii="方正仿宋_GBK" w:hAnsi="方正仿宋_GBK" w:eastAsia="方正仿宋_GBK" w:cs="方正仿宋_GBK"/>
          <w:color w:val="auto"/>
          <w:sz w:val="32"/>
          <w:szCs w:val="32"/>
          <w:shd w:val="clear" w:color="auto" w:fill="FFFFFF"/>
        </w:rPr>
      </w:pPr>
      <w:r>
        <w:rPr>
          <w:rStyle w:val="10"/>
          <w:rFonts w:ascii="方正仿宋_GBK" w:hAnsi="方正仿宋_GBK" w:eastAsia="方正仿宋_GBK" w:cs="方正仿宋_GBK"/>
          <w:color w:val="auto"/>
          <w:sz w:val="32"/>
          <w:szCs w:val="32"/>
          <w:shd w:val="clear" w:color="auto" w:fill="FFFFFF"/>
        </w:rPr>
        <w:t xml:space="preserve">  </w:t>
      </w:r>
      <w:r>
        <w:rPr>
          <w:rStyle w:val="10"/>
          <w:rFonts w:ascii="黑体" w:hAnsi="黑体" w:eastAsia="黑体" w:cs="黑体"/>
          <w:color w:val="auto"/>
          <w:sz w:val="32"/>
          <w:szCs w:val="32"/>
          <w:shd w:val="clear" w:color="auto" w:fill="FFFFFF"/>
        </w:rPr>
        <w:t>七、决算公开联系方式及信息反馈渠道</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596" w:firstLineChars="200"/>
        <w:jc w:val="both"/>
        <w:textAlignment w:val="auto"/>
        <w:rPr>
          <w:rFonts w:hint="default" w:ascii="方正仿宋_GBK" w:hAnsi="方正仿宋_GBK" w:eastAsia="方正仿宋_GBK" w:cs="方正仿宋_GBK"/>
          <w:color w:val="auto"/>
          <w:spacing w:val="-11"/>
          <w:sz w:val="32"/>
          <w:szCs w:val="32"/>
          <w:shd w:val="clear" w:color="auto" w:fill="FFFFFF"/>
        </w:rPr>
      </w:pPr>
      <w:r>
        <w:rPr>
          <w:rFonts w:ascii="方正仿宋_GBK" w:hAnsi="方正仿宋_GBK" w:eastAsia="方正仿宋_GBK" w:cs="方正仿宋_GBK"/>
          <w:color w:val="auto"/>
          <w:spacing w:val="-11"/>
          <w:sz w:val="32"/>
          <w:szCs w:val="32"/>
          <w:shd w:val="clear" w:color="auto" w:fill="FFFFFF"/>
        </w:rPr>
        <w:t>本单位决算公开信息反馈和联系方式：</w:t>
      </w:r>
      <w:r>
        <w:rPr>
          <w:rFonts w:hint="eastAsia" w:ascii="方正仿宋_GBK" w:hAnsi="方正仿宋_GBK" w:eastAsia="方正仿宋_GBK" w:cs="方正仿宋_GBK"/>
          <w:color w:val="auto"/>
          <w:spacing w:val="-11"/>
          <w:sz w:val="32"/>
          <w:szCs w:val="32"/>
          <w:shd w:val="clear" w:color="auto" w:fill="FFFFFF"/>
          <w:lang w:val="en-US" w:eastAsia="zh-CN"/>
        </w:rPr>
        <w:t>陈丽娟</w:t>
      </w:r>
      <w:r>
        <w:rPr>
          <w:rFonts w:ascii="方正仿宋_GBK" w:hAnsi="方正仿宋_GBK" w:eastAsia="方正仿宋_GBK" w:cs="方正仿宋_GBK"/>
          <w:color w:val="auto"/>
          <w:spacing w:val="-11"/>
          <w:sz w:val="32"/>
          <w:szCs w:val="32"/>
          <w:shd w:val="clear" w:color="auto" w:fill="FFFFFF"/>
        </w:rPr>
        <w:t>023-</w:t>
      </w:r>
      <w:r>
        <w:rPr>
          <w:rFonts w:hint="eastAsia" w:ascii="方正仿宋_GBK" w:hAnsi="方正仿宋_GBK" w:eastAsia="方正仿宋_GBK" w:cs="方正仿宋_GBK"/>
          <w:color w:val="auto"/>
          <w:spacing w:val="-11"/>
          <w:sz w:val="32"/>
          <w:szCs w:val="32"/>
          <w:shd w:val="clear" w:color="auto" w:fill="FFFFFF"/>
          <w:lang w:val="en-US" w:eastAsia="zh-CN"/>
        </w:rPr>
        <w:t>70709557</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600" w:lineRule="exact"/>
        <w:ind w:left="0" w:firstLine="640" w:firstLineChars="200"/>
        <w:jc w:val="both"/>
        <w:textAlignment w:val="auto"/>
        <w:rPr>
          <w:rFonts w:ascii="方正仿宋_GBK" w:hAnsi="方正仿宋_GBK" w:eastAsia="方正仿宋_GBK" w:cs="方正仿宋_GBK"/>
          <w:color w:val="auto"/>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p>
    <w:p>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default" w:cs="宋体"/>
          <w:color w:val="auto"/>
          <w:sz w:val="21"/>
          <w:szCs w:val="21"/>
        </w:rPr>
      </w:pPr>
    </w:p>
    <w:tbl>
      <w:tblPr>
        <w:tblStyle w:val="7"/>
        <w:tblW w:w="5005" w:type="pct"/>
        <w:tblInd w:w="0" w:type="dxa"/>
        <w:tblLayout w:type="autofit"/>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cs="Arial"/>
                <w:color w:val="auto"/>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cs="Arial"/>
                <w:color w:val="auto"/>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cs="Arial"/>
                <w:color w:val="auto"/>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ascii="Arial" w:hAnsi="Arial" w:cs="Arial"/>
                <w:color w:val="auto"/>
                <w:sz w:val="22"/>
                <w:szCs w:val="22"/>
              </w:rPr>
            </w:pPr>
            <w:r>
              <w:rPr>
                <w:rFonts w:cs="宋体"/>
                <w:color w:val="auto"/>
                <w:sz w:val="20"/>
                <w:szCs w:val="20"/>
              </w:rPr>
              <w:t>公开单位：</w:t>
            </w:r>
            <w:r>
              <w:rPr>
                <w:color w:val="auto"/>
                <w:sz w:val="20"/>
                <w:u w:color="auto"/>
              </w:rPr>
              <w:t>重庆市丰都县人力资源和社会保障行政执法支队</w:t>
            </w:r>
          </w:p>
        </w:tc>
        <w:tc>
          <w:tcPr>
            <w:tcW w:w="156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40" w:firstLineChars="200"/>
              <w:rPr>
                <w:rFonts w:hint="default" w:ascii="Arial" w:hAnsi="Arial" w:cs="Arial"/>
                <w:color w:val="auto"/>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421.09</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400.69</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10.99</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ascii="Arial" w:hAnsi="Arial" w:cs="Arial"/>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9.42</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421.09</w:t>
            </w: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421.09</w:t>
            </w: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421.09</w:t>
            </w:r>
            <w:r>
              <w:rPr>
                <w:color w:val="auto"/>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421.09</w:t>
            </w:r>
            <w:r>
              <w:rPr>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备注：1.本表反映单位本年度的总收支和年末结转结余情况。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公开单位：</w:t>
            </w:r>
            <w:r>
              <w:rPr>
                <w:color w:val="auto"/>
                <w:sz w:val="20"/>
                <w:u w:color="auto"/>
              </w:rPr>
              <w:t>重庆市丰都县人力资源和社会保障行政执法支队</w:t>
            </w: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bottom"/>
              <w:rPr>
                <w:rFonts w:hint="default" w:cs="宋体"/>
                <w:b/>
                <w:color w:val="auto"/>
                <w:sz w:val="20"/>
                <w:szCs w:val="20"/>
              </w:rPr>
            </w:pPr>
            <w:r>
              <w:rPr>
                <w:rFonts w:cs="宋体"/>
                <w:b/>
                <w:color w:val="auto"/>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bottom"/>
              <w:rPr>
                <w:rFonts w:hint="default" w:cs="宋体"/>
                <w:b/>
                <w:color w:val="auto"/>
                <w:sz w:val="20"/>
                <w:szCs w:val="20"/>
              </w:rPr>
            </w:pPr>
            <w:r>
              <w:rPr>
                <w:rFonts w:cs="宋体"/>
                <w:b/>
                <w:color w:val="auto"/>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421.09</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421.09</w:t>
            </w: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400.69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400.69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300.77</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300.77</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203.97</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203.97</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劳动保障监察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76.80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76.80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劳动人事争议调解仲裁</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49.92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49.92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23.61</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23.61</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16.52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16.52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9.78</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9.78</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50.00</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50.00</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50.00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50.00</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6.83</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6.83</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4.16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4.16</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9.42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9.42</w:t>
            </w: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备注：1.本表反映单位本年度取得的各项收入情况。</w:t>
      </w:r>
      <w:r>
        <w:rPr>
          <w:rFonts w:cs="宋体"/>
          <w:color w:val="auto"/>
          <w:sz w:val="20"/>
          <w:szCs w:val="20"/>
        </w:rPr>
        <w:br w:type="textWrapping"/>
      </w:r>
      <w:r>
        <w:rPr>
          <w:rFonts w:cs="宋体"/>
          <w:color w:val="auto"/>
          <w:sz w:val="20"/>
          <w:szCs w:val="20"/>
        </w:rPr>
        <w:t>2.本套报表金额单位转换时可能存在尾数误差。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br w:type="page"/>
      </w:r>
    </w:p>
    <w:tbl>
      <w:tblPr>
        <w:tblStyle w:val="7"/>
        <w:tblW w:w="5000" w:type="pct"/>
        <w:tblInd w:w="0" w:type="dxa"/>
        <w:tblLayout w:type="autofit"/>
        <w:tblCellMar>
          <w:top w:w="0" w:type="dxa"/>
          <w:left w:w="0" w:type="dxa"/>
          <w:bottom w:w="0" w:type="dxa"/>
          <w:right w:w="0" w:type="dxa"/>
        </w:tblCellMar>
      </w:tblPr>
      <w:tblGrid>
        <w:gridCol w:w="2117"/>
        <w:gridCol w:w="3710"/>
        <w:gridCol w:w="1589"/>
        <w:gridCol w:w="1589"/>
        <w:gridCol w:w="1589"/>
        <w:gridCol w:w="1574"/>
        <w:gridCol w:w="1574"/>
        <w:gridCol w:w="1636"/>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 xml:space="preserve">重庆市丰都县人力资源和社会保障行政执法支队 </w:t>
            </w: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bottom"/>
              <w:rPr>
                <w:rFonts w:hint="default" w:cs="宋体"/>
                <w:b/>
                <w:color w:val="auto"/>
                <w:sz w:val="20"/>
                <w:szCs w:val="20"/>
              </w:rPr>
            </w:pPr>
            <w:r>
              <w:rPr>
                <w:rFonts w:cs="宋体"/>
                <w:b/>
                <w:color w:val="auto"/>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421.09</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274.29</w:t>
            </w:r>
            <w:r>
              <w:rPr>
                <w:b/>
                <w:color w:val="auto"/>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146.80</w:t>
            </w: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400.69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253.89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146.80</w:t>
            </w:r>
            <w:r>
              <w:rPr>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300.77</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203.97</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96.80</w:t>
            </w:r>
            <w:r>
              <w:rPr>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203.97</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203.97</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劳动保障监察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76.80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76.80</w:t>
            </w: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劳动人事争议调解仲裁</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20.00</w:t>
            </w: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49.92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49.92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23.61</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23.61</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16.52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16.52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9.78</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9.78</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50.00</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50.00</w:t>
            </w:r>
            <w:r>
              <w:rPr>
                <w:b/>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50.00</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50.00</w:t>
            </w: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10.99</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6.83</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6.83</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4.16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4.16</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color w:val="auto"/>
                <w:sz w:val="20"/>
                <w:szCs w:val="20"/>
              </w:rPr>
            </w:pPr>
            <w:r>
              <w:rPr>
                <w:rFonts w:cs="宋体"/>
                <w:b/>
                <w:color w:val="auto"/>
                <w:sz w:val="20"/>
                <w:szCs w:val="20"/>
              </w:rPr>
              <w:t>9.42</w:t>
            </w:r>
            <w:r>
              <w:rPr>
                <w:b/>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9.42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rFonts w:cs="宋体"/>
                <w:color w:val="auto"/>
                <w:sz w:val="20"/>
                <w:szCs w:val="20"/>
              </w:rPr>
              <w:t>9.42</w:t>
            </w:r>
            <w:r>
              <w:rPr>
                <w:color w:val="auto"/>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color w:val="auto"/>
                <w:sz w:val="20"/>
                <w:szCs w:val="20"/>
              </w:rPr>
            </w:pPr>
            <w:r>
              <w:rPr>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备注：1.本表反映单位本年度各项支出情况。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default" w:cs="宋体"/>
          <w:color w:val="auto"/>
          <w:sz w:val="21"/>
          <w:szCs w:val="21"/>
        </w:rPr>
      </w:pPr>
      <w:r>
        <w:rPr>
          <w:rFonts w:cs="宋体"/>
          <w:color w:val="auto"/>
          <w:sz w:val="21"/>
          <w:szCs w:val="21"/>
        </w:rPr>
        <w:br w:type="page"/>
      </w:r>
    </w:p>
    <w:p>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default" w:cs="宋体"/>
          <w:color w:val="auto"/>
          <w:sz w:val="21"/>
          <w:szCs w:val="21"/>
        </w:rPr>
      </w:pPr>
    </w:p>
    <w:tbl>
      <w:tblPr>
        <w:tblStyle w:val="7"/>
        <w:tblW w:w="4790" w:type="pct"/>
        <w:tblInd w:w="0" w:type="dxa"/>
        <w:tblLayout w:type="autofit"/>
        <w:tblCellMar>
          <w:top w:w="0" w:type="dxa"/>
          <w:left w:w="0" w:type="dxa"/>
          <w:bottom w:w="0" w:type="dxa"/>
          <w:right w:w="0" w:type="dxa"/>
        </w:tblCellMar>
      </w:tblPr>
      <w:tblGrid>
        <w:gridCol w:w="3030"/>
        <w:gridCol w:w="1512"/>
        <w:gridCol w:w="3210"/>
        <w:gridCol w:w="1686"/>
        <w:gridCol w:w="1686"/>
        <w:gridCol w:w="1686"/>
        <w:gridCol w:w="1922"/>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18"/>
                <w:szCs w:val="18"/>
              </w:rPr>
            </w:pPr>
            <w:r>
              <w:rPr>
                <w:rFonts w:cs="宋体"/>
                <w:color w:val="auto"/>
                <w:sz w:val="20"/>
                <w:szCs w:val="20"/>
              </w:rPr>
              <w:t>公开单位</w:t>
            </w:r>
            <w:r>
              <w:rPr>
                <w:rFonts w:cs="宋体"/>
                <w:color w:val="auto"/>
                <w:sz w:val="20"/>
                <w:szCs w:val="20"/>
              </w:rPr>
              <w:t xml:space="preserve">： </w:t>
            </w:r>
            <w:r>
              <w:rPr>
                <w:color w:val="auto"/>
                <w:sz w:val="20"/>
                <w:u w:color="auto"/>
              </w:rPr>
              <w:t>重庆市丰都县人力资源和社会保障行政执法支队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421.09</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400.69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400.69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10.99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10.99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9.42</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9.42</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421.09</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421.09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421.09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421.09</w:t>
            </w:r>
            <w:r>
              <w:rPr>
                <w:color w:val="auto"/>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421.09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421.09</w:t>
            </w:r>
            <w:r>
              <w:rPr>
                <w:color w:val="auto"/>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备注：1.本表反映单位本年度一般公共预算财政拨款、政府性基金预算财政拨款及国有资本经营预算财政拨款的总收支和年末结转结余情况。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17"/>
        <w:gridCol w:w="3710"/>
        <w:gridCol w:w="3278"/>
        <w:gridCol w:w="3279"/>
        <w:gridCol w:w="3294"/>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重庆市丰都县人力资源和社会保障行政执法支队</w:t>
            </w: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421.09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274.29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bCs/>
                <w:color w:val="auto"/>
                <w:sz w:val="20"/>
                <w:szCs w:val="20"/>
              </w:rPr>
              <w:t>146.80</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400.69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253.89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146.80</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300.77</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203.97</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96.80</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203.97</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203.97</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劳动保障监察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76.80</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76.80</w:t>
            </w: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2080112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劳动人事争议调解仲裁</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20.00</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20.00</w:t>
            </w: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49.92</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49.92</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23.61</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23.61</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16.52</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16.52</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9.78</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9.78</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50.00</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50.00</w:t>
            </w:r>
            <w:r>
              <w:rPr>
                <w:b/>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2089999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50.00</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50.00</w:t>
            </w: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10.99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10.99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10.99</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10.99</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6.83</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6.83</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4.16</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4.16</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9.42</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9.42</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textAlignment w:val="center"/>
              <w:rPr>
                <w:rFonts w:hint="default" w:cs="宋体"/>
                <w:color w:val="auto"/>
                <w:sz w:val="20"/>
                <w:szCs w:val="20"/>
              </w:rPr>
            </w:pPr>
            <w:r>
              <w:rPr>
                <w:rFonts w:cs="宋体"/>
                <w:b/>
                <w:color w:val="auto"/>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9.42</w:t>
            </w:r>
            <w:r>
              <w:rPr>
                <w:b/>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rFonts w:cs="宋体"/>
                <w:b/>
                <w:color w:val="auto"/>
                <w:sz w:val="20"/>
                <w:szCs w:val="20"/>
              </w:rPr>
              <w:t>9.42</w:t>
            </w:r>
            <w:r>
              <w:rPr>
                <w:b/>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textAlignment w:val="center"/>
              <w:rPr>
                <w:rFonts w:hint="default" w:cs="宋体"/>
                <w:color w:val="auto"/>
                <w:sz w:val="20"/>
                <w:szCs w:val="20"/>
              </w:rPr>
            </w:pPr>
            <w:r>
              <w:rPr>
                <w:rFonts w:cs="宋体"/>
                <w:color w:val="auto"/>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9.42</w:t>
            </w:r>
            <w:r>
              <w:rPr>
                <w:color w:val="auto"/>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rFonts w:cs="宋体"/>
                <w:color w:val="auto"/>
                <w:sz w:val="20"/>
                <w:szCs w:val="20"/>
              </w:rPr>
              <w:t>9.42</w:t>
            </w:r>
            <w:r>
              <w:rPr>
                <w:color w:val="auto"/>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0" w:firstLineChars="200"/>
              <w:jc w:val="right"/>
              <w:textAlignment w:val="center"/>
              <w:rPr>
                <w:rFonts w:hint="default" w:cs="宋体"/>
                <w:b/>
                <w:color w:val="auto"/>
                <w:sz w:val="20"/>
                <w:szCs w:val="20"/>
              </w:rPr>
            </w:pPr>
            <w:r>
              <w:rPr>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1"/>
          <w:szCs w:val="21"/>
        </w:rPr>
      </w:pPr>
      <w:r>
        <w:rPr>
          <w:rFonts w:cs="宋体"/>
          <w:color w:val="auto"/>
          <w:sz w:val="20"/>
          <w:szCs w:val="20"/>
        </w:rPr>
        <w:t>备注：1.本表反映单位本年度一般公共预算财政拨款支出情况。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default" w:cs="宋体"/>
          <w:color w:val="auto"/>
          <w:sz w:val="21"/>
          <w:szCs w:val="21"/>
        </w:rPr>
      </w:pPr>
      <w:r>
        <w:rPr>
          <w:rFonts w:cs="宋体"/>
          <w:color w:val="auto"/>
          <w:sz w:val="21"/>
          <w:szCs w:val="21"/>
        </w:rPr>
        <w:br w:type="page"/>
      </w:r>
    </w:p>
    <w:tbl>
      <w:tblPr>
        <w:tblStyle w:val="7"/>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18"/>
                <w:szCs w:val="18"/>
              </w:rPr>
            </w:pPr>
            <w:r>
              <w:rPr>
                <w:rFonts w:cs="宋体"/>
                <w:color w:val="auto"/>
                <w:sz w:val="20"/>
                <w:szCs w:val="20"/>
              </w:rPr>
              <w:t>公开单位</w:t>
            </w:r>
            <w:r>
              <w:rPr>
                <w:rFonts w:cs="宋体"/>
                <w:color w:val="auto"/>
                <w:sz w:val="20"/>
                <w:szCs w:val="20"/>
              </w:rPr>
              <w:t xml:space="preserve">： </w:t>
            </w:r>
            <w:r>
              <w:rPr>
                <w:color w:val="auto"/>
                <w:sz w:val="20"/>
                <w:u w:color="auto"/>
              </w:rPr>
              <w:t>重庆市丰都县人力资源和社会保障行政执法支队</w:t>
            </w: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公开06表</w:t>
            </w:r>
          </w:p>
        </w:tc>
      </w:tr>
      <w:tr>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经济分类科目（按“款”级</w:t>
            </w:r>
            <w:r>
              <w:rPr>
                <w:rFonts w:hint="eastAsia" w:cs="宋体"/>
                <w:b/>
                <w:color w:val="auto"/>
                <w:sz w:val="18"/>
                <w:szCs w:val="18"/>
                <w:lang w:val="en-US" w:eastAsia="zh-CN"/>
              </w:rPr>
              <w:t>经济</w:t>
            </w:r>
            <w:r>
              <w:rPr>
                <w:rFonts w:cs="宋体"/>
                <w:b/>
                <w:color w:val="auto"/>
                <w:sz w:val="18"/>
                <w:szCs w:val="18"/>
              </w:rPr>
              <w:t>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经济分类科目（按“款”级</w:t>
            </w:r>
            <w:r>
              <w:rPr>
                <w:rFonts w:hint="eastAsia" w:cs="宋体"/>
                <w:b/>
                <w:color w:val="auto"/>
                <w:sz w:val="18"/>
                <w:szCs w:val="18"/>
                <w:lang w:val="en-US" w:eastAsia="zh-CN"/>
              </w:rPr>
              <w:t>经济</w:t>
            </w:r>
            <w:r>
              <w:rPr>
                <w:rFonts w:cs="宋体"/>
                <w:b/>
                <w:color w:val="auto"/>
                <w:sz w:val="18"/>
                <w:szCs w:val="18"/>
              </w:rPr>
              <w:t>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经济分类科目（按“款”级</w:t>
            </w:r>
            <w:r>
              <w:rPr>
                <w:rFonts w:hint="eastAsia" w:cs="宋体"/>
                <w:b/>
                <w:color w:val="auto"/>
                <w:sz w:val="18"/>
                <w:szCs w:val="18"/>
                <w:lang w:val="en-US" w:eastAsia="zh-CN"/>
              </w:rPr>
              <w:t>经济</w:t>
            </w:r>
            <w:r>
              <w:rPr>
                <w:rFonts w:cs="宋体"/>
                <w:b/>
                <w:color w:val="auto"/>
                <w:sz w:val="18"/>
                <w:szCs w:val="18"/>
              </w:rPr>
              <w:t>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rPr>
                <w:rFonts w:hint="default" w:cs="宋体"/>
                <w:b/>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234.16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30.36</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80.59</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1.29</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5.01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68.66</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24.23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0.80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18.91</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3.46</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9.25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2.23</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3.82</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22.75</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2.52</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9.78</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0.08</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0.08</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9.78</w:t>
            </w: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11.02</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3.00</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6.75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0.05</w:t>
            </w: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textAlignment w:val="center"/>
              <w:rPr>
                <w:rFonts w:hint="default" w:cs="宋体"/>
                <w:color w:val="auto"/>
                <w:sz w:val="18"/>
                <w:szCs w:val="18"/>
              </w:rPr>
            </w:pPr>
            <w:r>
              <w:rPr>
                <w:rFonts w:cs="宋体"/>
                <w:color w:val="auto"/>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color w:val="auto"/>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rPr>
                <w:rFonts w:hint="default" w:cs="宋体"/>
                <w:color w:val="auto"/>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0" w:firstLineChars="200"/>
              <w:jc w:val="right"/>
              <w:rPr>
                <w:rFonts w:hint="default" w:cs="宋体"/>
                <w:color w:val="auto"/>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bottom"/>
              <w:rPr>
                <w:rFonts w:hint="default" w:cs="宋体"/>
                <w:color w:val="auto"/>
                <w:sz w:val="18"/>
                <w:szCs w:val="18"/>
              </w:rPr>
            </w:pPr>
            <w:r>
              <w:rPr>
                <w:rFonts w:cs="宋体"/>
                <w:color w:val="auto"/>
                <w:sz w:val="18"/>
                <w:szCs w:val="18"/>
              </w:rPr>
              <w:t>243.93</w:t>
            </w:r>
            <w:r>
              <w:rPr>
                <w:color w:val="auto"/>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61" w:firstLineChars="200"/>
              <w:jc w:val="center"/>
              <w:textAlignment w:val="center"/>
              <w:rPr>
                <w:rFonts w:hint="default" w:cs="宋体"/>
                <w:b/>
                <w:color w:val="auto"/>
                <w:sz w:val="18"/>
                <w:szCs w:val="18"/>
              </w:rPr>
            </w:pPr>
            <w:r>
              <w:rPr>
                <w:rFonts w:cs="宋体"/>
                <w:b/>
                <w:color w:val="auto"/>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360" w:firstLineChars="200"/>
              <w:jc w:val="right"/>
              <w:textAlignment w:val="center"/>
              <w:rPr>
                <w:rFonts w:hint="default" w:cs="宋体"/>
                <w:color w:val="auto"/>
                <w:sz w:val="18"/>
                <w:szCs w:val="18"/>
              </w:rPr>
            </w:pPr>
            <w:r>
              <w:rPr>
                <w:rFonts w:cs="宋体"/>
                <w:color w:val="auto"/>
                <w:sz w:val="18"/>
                <w:szCs w:val="18"/>
              </w:rPr>
              <w:t>30.36</w:t>
            </w:r>
            <w:r>
              <w:rPr>
                <w:color w:val="auto"/>
                <w:sz w:val="18"/>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备注：1.本表反映单位本年度一般公共预算财政拨款基本支出明细情况。</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54"/>
        <w:gridCol w:w="3088"/>
        <w:gridCol w:w="1707"/>
        <w:gridCol w:w="1707"/>
        <w:gridCol w:w="1707"/>
        <w:gridCol w:w="1707"/>
        <w:gridCol w:w="1772"/>
        <w:gridCol w:w="1836"/>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重庆市丰都县人力资源和社会保障行政执法支队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1"/>
          <w:szCs w:val="21"/>
        </w:rPr>
      </w:pPr>
      <w:r>
        <w:rPr>
          <w:rFonts w:cs="宋体"/>
          <w:color w:val="auto"/>
          <w:sz w:val="20"/>
          <w:szCs w:val="20"/>
        </w:rPr>
        <w:t>备注：本表反映单位本年度政府性基金预算财政拨款收入支出及结转和结余情况。本单位无政府性基金收支，故本表无数据。</w:t>
      </w:r>
      <w:r>
        <w:rPr>
          <w:rFonts w:cs="宋体"/>
          <w:color w:val="auto"/>
          <w:sz w:val="20"/>
          <w:szCs w:val="20"/>
        </w:rPr>
        <w:br w:type="textWrapping"/>
      </w:r>
      <w:r>
        <w:rPr>
          <w:rFonts w:cs="宋体"/>
          <w:color w:val="auto"/>
          <w:sz w:val="20"/>
          <w:szCs w:val="20"/>
        </w:rPr>
        <w:br w:type="textWrapping"/>
      </w:r>
    </w:p>
    <w:p>
      <w:pPr>
        <w:keepNext w:val="0"/>
        <w:keepLines w:val="0"/>
        <w:pageBreakBefore w:val="0"/>
        <w:widowControl/>
        <w:kinsoku/>
        <w:overflowPunct/>
        <w:topLinePunct w:val="0"/>
        <w:autoSpaceDN/>
        <w:bidi w:val="0"/>
        <w:adjustRightInd/>
        <w:spacing w:beforeAutospacing="0" w:afterAutospacing="0" w:line="600" w:lineRule="exact"/>
        <w:ind w:left="0" w:firstLine="420" w:firstLineChars="200"/>
        <w:rPr>
          <w:rFonts w:hint="default" w:cs="宋体"/>
          <w:color w:val="auto"/>
          <w:sz w:val="21"/>
          <w:szCs w:val="21"/>
        </w:rPr>
      </w:pPr>
      <w:r>
        <w:rPr>
          <w:rFonts w:cs="宋体"/>
          <w:color w:val="auto"/>
          <w:sz w:val="21"/>
          <w:szCs w:val="21"/>
        </w:rPr>
        <w:br w:type="page"/>
      </w:r>
    </w:p>
    <w:tbl>
      <w:tblPr>
        <w:tblStyle w:val="7"/>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重庆市丰都县人力资源和社会保障行政执法支队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bottom"/>
              <w:rPr>
                <w:rFonts w:hint="default" w:cs="宋体"/>
                <w:b/>
                <w:color w:val="auto"/>
                <w:sz w:val="20"/>
                <w:szCs w:val="20"/>
              </w:rPr>
            </w:pPr>
            <w:r>
              <w:rPr>
                <w:rFonts w:cs="宋体"/>
                <w:b/>
                <w:color w:val="auto"/>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bottom"/>
              <w:rPr>
                <w:rFonts w:hint="default" w:cs="宋体"/>
                <w:b/>
                <w:color w:val="auto"/>
                <w:sz w:val="20"/>
                <w:szCs w:val="20"/>
              </w:rPr>
            </w:pPr>
            <w:r>
              <w:rPr>
                <w:rFonts w:cs="宋体"/>
                <w:b/>
                <w:color w:val="auto"/>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rPr>
                <w:rFonts w:hint="default" w:cs="宋体"/>
                <w:b/>
                <w:color w:val="auto"/>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center"/>
              <w:textAlignment w:val="center"/>
              <w:rPr>
                <w:rFonts w:hint="default" w:cs="宋体"/>
                <w:b/>
                <w:color w:val="auto"/>
                <w:sz w:val="20"/>
                <w:szCs w:val="20"/>
              </w:rPr>
            </w:pPr>
            <w:r>
              <w:rPr>
                <w:rFonts w:cs="宋体"/>
                <w:b/>
                <w:color w:val="auto"/>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402" w:firstLineChars="200"/>
              <w:jc w:val="right"/>
              <w:rPr>
                <w:rFonts w:hint="default" w:cs="宋体"/>
                <w:b/>
                <w:color w:val="auto"/>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val="0"/>
              <w:overflowPunct/>
              <w:topLinePunct w:val="0"/>
              <w:autoSpaceDN/>
              <w:bidi w:val="0"/>
              <w:adjustRightInd/>
              <w:spacing w:beforeAutospacing="0" w:afterAutospacing="0" w:line="600" w:lineRule="exact"/>
              <w:ind w:left="0" w:firstLine="402" w:firstLineChars="200"/>
              <w:jc w:val="right"/>
              <w:textAlignment w:val="center"/>
              <w:rPr>
                <w:rFonts w:hint="default" w:cs="宋体"/>
                <w:b/>
                <w:color w:val="auto"/>
                <w:sz w:val="20"/>
                <w:szCs w:val="20"/>
              </w:rPr>
            </w:pPr>
            <w:r>
              <w:rPr>
                <w:b/>
                <w:color w:val="auto"/>
                <w:sz w:val="20"/>
                <w:u w:color="auto"/>
              </w:rPr>
              <w:t xml:space="preserve"> </w:t>
            </w: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1"/>
          <w:szCs w:val="21"/>
        </w:rPr>
      </w:pPr>
      <w:r>
        <w:rPr>
          <w:rFonts w:cs="宋体"/>
          <w:color w:val="auto"/>
          <w:sz w:val="20"/>
          <w:szCs w:val="20"/>
        </w:rPr>
        <w:t>备注：本表反映单位本年度国有资本经营预算财政拨款支出情况。本单位无国有资本经营收支，故本表无数据。</w:t>
      </w:r>
      <w:r>
        <w:rPr>
          <w:rFonts w:cs="宋体"/>
          <w:color w:val="auto"/>
          <w:sz w:val="20"/>
          <w:szCs w:val="20"/>
        </w:rPr>
        <w:br w:type="textWrapping"/>
      </w:r>
      <w:r>
        <w:rPr>
          <w:rFonts w:cs="宋体"/>
          <w:color w:val="auto"/>
          <w:sz w:val="20"/>
          <w:szCs w:val="20"/>
        </w:rPr>
        <w:br w:type="textWrapping"/>
      </w:r>
      <w:r>
        <w:rPr>
          <w:rFonts w:hint="default" w:cs="宋体"/>
          <w:color w:val="auto"/>
          <w:sz w:val="21"/>
          <w:szCs w:val="21"/>
        </w:rPr>
        <w:br w:type="page"/>
      </w:r>
    </w:p>
    <w:tbl>
      <w:tblPr>
        <w:tblStyle w:val="7"/>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643" w:firstLineChars="200"/>
              <w:jc w:val="center"/>
              <w:textAlignment w:val="bottom"/>
              <w:rPr>
                <w:rFonts w:hint="default" w:cs="宋体"/>
                <w:b/>
                <w:color w:val="auto"/>
                <w:sz w:val="32"/>
                <w:szCs w:val="32"/>
              </w:rPr>
            </w:pPr>
            <w:r>
              <w:rPr>
                <w:rFonts w:cs="宋体"/>
                <w:b/>
                <w:color w:val="auto"/>
                <w:sz w:val="32"/>
                <w:szCs w:val="32"/>
              </w:rPr>
              <w:t>机构运行信息表</w:t>
            </w:r>
          </w:p>
        </w:tc>
      </w:tr>
      <w:tr>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center"/>
              <w:rPr>
                <w:rFonts w:hint="default" w:cs="宋体"/>
                <w:color w:val="auto"/>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r>
              <w:rPr>
                <w:rFonts w:cs="宋体"/>
                <w:color w:val="auto"/>
                <w:sz w:val="20"/>
                <w:szCs w:val="20"/>
              </w:rPr>
              <w:t>公开单位</w:t>
            </w:r>
            <w:r>
              <w:rPr>
                <w:rFonts w:cs="宋体"/>
                <w:color w:val="auto"/>
                <w:sz w:val="20"/>
                <w:szCs w:val="20"/>
              </w:rPr>
              <w:t xml:space="preserve">： </w:t>
            </w:r>
            <w:r>
              <w:rPr>
                <w:color w:val="auto"/>
                <w:sz w:val="20"/>
                <w:u w:color="auto"/>
              </w:rPr>
              <w:t>重庆市丰都县人力资源和社会保障行政执法支队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rPr>
                <w:rFonts w:hint="default" w:cs="宋体"/>
                <w:color w:val="auto"/>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jc w:val="right"/>
              <w:textAlignment w:val="bottom"/>
              <w:rPr>
                <w:rFonts w:hint="default" w:cs="宋体"/>
                <w:color w:val="auto"/>
                <w:sz w:val="20"/>
                <w:szCs w:val="20"/>
              </w:rPr>
            </w:pPr>
            <w:r>
              <w:rPr>
                <w:rFonts w:cs="宋体"/>
                <w:color w:val="auto"/>
                <w:sz w:val="20"/>
                <w:szCs w:val="20"/>
              </w:rPr>
              <w:t>单位：</w:t>
            </w:r>
            <w:r>
              <w:rPr>
                <w:rFonts w:cs="宋体"/>
                <w:color w:val="auto"/>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1" w:firstLineChars="200"/>
              <w:jc w:val="center"/>
              <w:textAlignment w:val="center"/>
              <w:rPr>
                <w:rFonts w:hint="default" w:cs="宋体"/>
                <w:b/>
                <w:color w:val="auto"/>
                <w:sz w:val="16"/>
                <w:szCs w:val="16"/>
              </w:rPr>
            </w:pPr>
            <w:r>
              <w:rPr>
                <w:rFonts w:cs="宋体"/>
                <w:b/>
                <w:color w:val="auto"/>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1" w:firstLineChars="200"/>
              <w:jc w:val="center"/>
              <w:textAlignment w:val="center"/>
              <w:rPr>
                <w:rFonts w:hint="default" w:cs="宋体"/>
                <w:b/>
                <w:color w:val="auto"/>
                <w:sz w:val="16"/>
                <w:szCs w:val="16"/>
              </w:rPr>
            </w:pPr>
            <w:r>
              <w:rPr>
                <w:rFonts w:cs="宋体"/>
                <w:b/>
                <w:color w:val="auto"/>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1" w:firstLineChars="200"/>
              <w:jc w:val="center"/>
              <w:textAlignment w:val="center"/>
              <w:rPr>
                <w:rFonts w:hint="default" w:cs="宋体"/>
                <w:b/>
                <w:color w:val="auto"/>
                <w:sz w:val="16"/>
                <w:szCs w:val="16"/>
              </w:rPr>
            </w:pPr>
            <w:r>
              <w:rPr>
                <w:rFonts w:cs="宋体"/>
                <w:b/>
                <w:color w:val="auto"/>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1" w:firstLineChars="200"/>
              <w:jc w:val="center"/>
              <w:textAlignment w:val="center"/>
              <w:rPr>
                <w:rFonts w:hint="default" w:cs="宋体"/>
                <w:b/>
                <w:color w:val="auto"/>
                <w:sz w:val="16"/>
                <w:szCs w:val="16"/>
              </w:rPr>
            </w:pPr>
            <w:r>
              <w:rPr>
                <w:rFonts w:cs="宋体"/>
                <w:b/>
                <w:color w:val="auto"/>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1" w:firstLineChars="200"/>
              <w:jc w:val="center"/>
              <w:textAlignment w:val="center"/>
              <w:rPr>
                <w:rFonts w:hint="default" w:cs="宋体"/>
                <w:b/>
                <w:color w:val="auto"/>
                <w:sz w:val="16"/>
                <w:szCs w:val="16"/>
              </w:rPr>
            </w:pPr>
            <w:r>
              <w:rPr>
                <w:rFonts w:cs="宋体"/>
                <w:b/>
                <w:color w:val="auto"/>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30.36</w:t>
            </w: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3.00</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3.00</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30.36</w:t>
            </w: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3.00</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3.00</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 xml:space="preserve">1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3.00</w:t>
            </w: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3.00</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1</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rFonts w:cs="宋体"/>
                <w:color w:val="auto"/>
                <w:sz w:val="16"/>
                <w:szCs w:val="16"/>
              </w:rPr>
              <w:t>0.08</w:t>
            </w: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rPr>
                <w:rFonts w:hint="default" w:cs="宋体"/>
                <w:color w:val="auto"/>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textAlignment w:val="center"/>
              <w:rPr>
                <w:rFonts w:hint="default" w:cs="宋体"/>
                <w:color w:val="auto"/>
                <w:sz w:val="16"/>
                <w:szCs w:val="16"/>
              </w:rPr>
            </w:pPr>
            <w:r>
              <w:rPr>
                <w:rFonts w:cs="宋体"/>
                <w:color w:val="auto"/>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center"/>
              <w:textAlignment w:val="center"/>
              <w:rPr>
                <w:rFonts w:hint="default" w:cs="宋体"/>
                <w:color w:val="auto"/>
                <w:sz w:val="16"/>
                <w:szCs w:val="16"/>
              </w:rPr>
            </w:pPr>
            <w:r>
              <w:rPr>
                <w:rFonts w:cs="宋体"/>
                <w:color w:val="auto"/>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textAlignment w:val="bottom"/>
              <w:rPr>
                <w:rFonts w:hint="default" w:cs="宋体"/>
                <w:color w:val="auto"/>
                <w:sz w:val="16"/>
                <w:szCs w:val="16"/>
              </w:rPr>
            </w:pPr>
            <w:r>
              <w:rPr>
                <w:color w:val="auto"/>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rPr>
                <w:rFonts w:hint="default" w:cs="宋体"/>
                <w:color w:val="auto"/>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overflowPunct/>
              <w:topLinePunct w:val="0"/>
              <w:autoSpaceDN/>
              <w:bidi w:val="0"/>
              <w:adjustRightInd/>
              <w:spacing w:beforeAutospacing="0" w:afterAutospacing="0" w:line="600" w:lineRule="exact"/>
              <w:ind w:left="0" w:firstLine="320" w:firstLineChars="200"/>
              <w:jc w:val="right"/>
              <w:rPr>
                <w:rFonts w:hint="default" w:cs="宋体"/>
                <w:color w:val="auto"/>
                <w:sz w:val="16"/>
                <w:szCs w:val="16"/>
              </w:rPr>
            </w:pPr>
          </w:p>
        </w:tc>
      </w:tr>
    </w:tbl>
    <w:p>
      <w:pPr>
        <w:keepNext w:val="0"/>
        <w:keepLines w:val="0"/>
        <w:pageBreakBefore w:val="0"/>
        <w:widowControl/>
        <w:kinsoku/>
        <w:overflowPunct/>
        <w:topLinePunct w:val="0"/>
        <w:autoSpaceDN/>
        <w:bidi w:val="0"/>
        <w:adjustRightInd/>
        <w:spacing w:beforeAutospacing="0" w:afterAutospacing="0" w:line="600" w:lineRule="exact"/>
        <w:ind w:left="0" w:firstLine="400" w:firstLineChars="200"/>
        <w:rPr>
          <w:rFonts w:hint="default" w:cs="宋体"/>
          <w:color w:val="auto"/>
          <w:sz w:val="21"/>
          <w:szCs w:val="21"/>
        </w:rPr>
      </w:pPr>
      <w:r>
        <w:rPr>
          <w:rFonts w:cs="宋体"/>
          <w:color w:val="auto"/>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color w:val="auto"/>
          <w:sz w:val="20"/>
          <w:szCs w:val="20"/>
        </w:rPr>
        <w:br w:type="textWrapping"/>
      </w:r>
      <w:r>
        <w:rPr>
          <w:rFonts w:cs="宋体"/>
          <w:color w:val="auto"/>
          <w:sz w:val="20"/>
          <w:szCs w:val="20"/>
        </w:rPr>
        <w:t xml:space="preserve">      2.本套报表金额单位转换时可能存在尾数误差。</w:t>
      </w:r>
      <w:r>
        <w:rPr>
          <w:rFonts w:cs="宋体"/>
          <w:color w:val="auto"/>
          <w:sz w:val="20"/>
          <w:szCs w:val="20"/>
        </w:rPr>
        <w:br w:type="textWrapping"/>
      </w:r>
      <w:r>
        <w:rPr>
          <w:rFonts w:cs="宋体"/>
          <w:color w:val="auto"/>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abstractNum w:abstractNumId="1">
    <w:nsid w:val="1878E5B2"/>
    <w:multiLevelType w:val="singleLevel"/>
    <w:tmpl w:val="1878E5B2"/>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5ZGNkMGU0ZjM5Njg3NDlmY2E5ZWU5M2E5OGUyMmUifQ=="/>
  </w:docVars>
  <w:rsids>
    <w:rsidRoot w:val="00B03CCD"/>
    <w:rsid w:val="001D3BB7"/>
    <w:rsid w:val="002B254B"/>
    <w:rsid w:val="00466C9B"/>
    <w:rsid w:val="00550ABE"/>
    <w:rsid w:val="00770383"/>
    <w:rsid w:val="007819D4"/>
    <w:rsid w:val="007B419D"/>
    <w:rsid w:val="007B7C4B"/>
    <w:rsid w:val="007D3D39"/>
    <w:rsid w:val="00994AF7"/>
    <w:rsid w:val="009B67B8"/>
    <w:rsid w:val="009D2B67"/>
    <w:rsid w:val="00A566F9"/>
    <w:rsid w:val="00AF2751"/>
    <w:rsid w:val="00B03CCD"/>
    <w:rsid w:val="00BE2B89"/>
    <w:rsid w:val="00C10E9E"/>
    <w:rsid w:val="00C20C3E"/>
    <w:rsid w:val="00F73F90"/>
    <w:rsid w:val="01474EBF"/>
    <w:rsid w:val="01F3521E"/>
    <w:rsid w:val="03B87EA0"/>
    <w:rsid w:val="03E3214F"/>
    <w:rsid w:val="044C50BA"/>
    <w:rsid w:val="04DA56C6"/>
    <w:rsid w:val="05BC6D49"/>
    <w:rsid w:val="05EA2450"/>
    <w:rsid w:val="06194FF1"/>
    <w:rsid w:val="06A2550B"/>
    <w:rsid w:val="06C95820"/>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41524D"/>
    <w:rsid w:val="0B9335CE"/>
    <w:rsid w:val="0BC279F5"/>
    <w:rsid w:val="0BF2311A"/>
    <w:rsid w:val="0C7927C4"/>
    <w:rsid w:val="0C9960DC"/>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743936"/>
    <w:rsid w:val="128D4874"/>
    <w:rsid w:val="12C921C4"/>
    <w:rsid w:val="12CD505A"/>
    <w:rsid w:val="13871C70"/>
    <w:rsid w:val="13A71CB4"/>
    <w:rsid w:val="13AF1D43"/>
    <w:rsid w:val="13CE1647"/>
    <w:rsid w:val="13FD55AB"/>
    <w:rsid w:val="14200702"/>
    <w:rsid w:val="163A6CEE"/>
    <w:rsid w:val="173708E3"/>
    <w:rsid w:val="17C374FC"/>
    <w:rsid w:val="182E4AB6"/>
    <w:rsid w:val="18846779"/>
    <w:rsid w:val="189079DC"/>
    <w:rsid w:val="189B0D0B"/>
    <w:rsid w:val="18B43F7C"/>
    <w:rsid w:val="194A1770"/>
    <w:rsid w:val="19B906A4"/>
    <w:rsid w:val="1ABA1D83"/>
    <w:rsid w:val="1B6F15B6"/>
    <w:rsid w:val="1BAA2EDC"/>
    <w:rsid w:val="1CA55E64"/>
    <w:rsid w:val="1D014A01"/>
    <w:rsid w:val="1D022362"/>
    <w:rsid w:val="1D1524E5"/>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66708D"/>
    <w:rsid w:val="28752E44"/>
    <w:rsid w:val="29310A5F"/>
    <w:rsid w:val="29C37A35"/>
    <w:rsid w:val="2A076083"/>
    <w:rsid w:val="2A73162E"/>
    <w:rsid w:val="2B167953"/>
    <w:rsid w:val="2B200583"/>
    <w:rsid w:val="2B8209DE"/>
    <w:rsid w:val="2BC730F4"/>
    <w:rsid w:val="2C636760"/>
    <w:rsid w:val="2C6762A3"/>
    <w:rsid w:val="2E7A017E"/>
    <w:rsid w:val="2FCA4B37"/>
    <w:rsid w:val="2FE029D7"/>
    <w:rsid w:val="2FF06E00"/>
    <w:rsid w:val="30586FEC"/>
    <w:rsid w:val="315F0B22"/>
    <w:rsid w:val="31D84415"/>
    <w:rsid w:val="32285F6F"/>
    <w:rsid w:val="325B6685"/>
    <w:rsid w:val="32770556"/>
    <w:rsid w:val="329C0913"/>
    <w:rsid w:val="32AA0460"/>
    <w:rsid w:val="3337290D"/>
    <w:rsid w:val="33E31118"/>
    <w:rsid w:val="33EF7674"/>
    <w:rsid w:val="342D7BC6"/>
    <w:rsid w:val="352930DB"/>
    <w:rsid w:val="35573069"/>
    <w:rsid w:val="355F6038"/>
    <w:rsid w:val="358C217E"/>
    <w:rsid w:val="36C9128A"/>
    <w:rsid w:val="37841E99"/>
    <w:rsid w:val="37BF1123"/>
    <w:rsid w:val="381A7A02"/>
    <w:rsid w:val="383C3F15"/>
    <w:rsid w:val="38BE4696"/>
    <w:rsid w:val="3939115E"/>
    <w:rsid w:val="39B82A39"/>
    <w:rsid w:val="39C10353"/>
    <w:rsid w:val="39C42CA8"/>
    <w:rsid w:val="39DC4FD6"/>
    <w:rsid w:val="39F03D7A"/>
    <w:rsid w:val="39F33306"/>
    <w:rsid w:val="3A2C1C67"/>
    <w:rsid w:val="3ADD7F09"/>
    <w:rsid w:val="3B1705E5"/>
    <w:rsid w:val="3B18334B"/>
    <w:rsid w:val="3B36794F"/>
    <w:rsid w:val="3B6F6EE0"/>
    <w:rsid w:val="3B8B493B"/>
    <w:rsid w:val="3C566AD6"/>
    <w:rsid w:val="3C594871"/>
    <w:rsid w:val="3C6A5B02"/>
    <w:rsid w:val="3CF60497"/>
    <w:rsid w:val="3D2757A1"/>
    <w:rsid w:val="3D3D4FC4"/>
    <w:rsid w:val="3DDF3AB1"/>
    <w:rsid w:val="3E1D0952"/>
    <w:rsid w:val="3E42660A"/>
    <w:rsid w:val="3E7555B1"/>
    <w:rsid w:val="3E787ED9"/>
    <w:rsid w:val="3F032E93"/>
    <w:rsid w:val="3F0527E5"/>
    <w:rsid w:val="3F694D83"/>
    <w:rsid w:val="3F885DCC"/>
    <w:rsid w:val="3F9A444C"/>
    <w:rsid w:val="3FCD675E"/>
    <w:rsid w:val="4004000C"/>
    <w:rsid w:val="40BD5482"/>
    <w:rsid w:val="411B6CE5"/>
    <w:rsid w:val="412070D7"/>
    <w:rsid w:val="41314E40"/>
    <w:rsid w:val="41E0734B"/>
    <w:rsid w:val="426C1EA8"/>
    <w:rsid w:val="42736402"/>
    <w:rsid w:val="42E86A87"/>
    <w:rsid w:val="43061142"/>
    <w:rsid w:val="43307B09"/>
    <w:rsid w:val="439A3EB9"/>
    <w:rsid w:val="43BB152F"/>
    <w:rsid w:val="44C37687"/>
    <w:rsid w:val="45700BA9"/>
    <w:rsid w:val="45CB699A"/>
    <w:rsid w:val="465B470D"/>
    <w:rsid w:val="469D6AD4"/>
    <w:rsid w:val="471E6C84"/>
    <w:rsid w:val="4748792B"/>
    <w:rsid w:val="475D719D"/>
    <w:rsid w:val="47674801"/>
    <w:rsid w:val="48225EF7"/>
    <w:rsid w:val="48246B24"/>
    <w:rsid w:val="488F422B"/>
    <w:rsid w:val="48E36915"/>
    <w:rsid w:val="48EB6572"/>
    <w:rsid w:val="494B46A7"/>
    <w:rsid w:val="495C4A24"/>
    <w:rsid w:val="497135DF"/>
    <w:rsid w:val="4A263DF2"/>
    <w:rsid w:val="4A6F6675"/>
    <w:rsid w:val="4B135857"/>
    <w:rsid w:val="4B7951CB"/>
    <w:rsid w:val="4B7C315C"/>
    <w:rsid w:val="4DAC4ACA"/>
    <w:rsid w:val="4DBE01D2"/>
    <w:rsid w:val="4EC573BE"/>
    <w:rsid w:val="4F0C6BA3"/>
    <w:rsid w:val="4F186D58"/>
    <w:rsid w:val="4F9B4980"/>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204B57"/>
    <w:rsid w:val="56530F5D"/>
    <w:rsid w:val="567700D3"/>
    <w:rsid w:val="56DD45AC"/>
    <w:rsid w:val="56FF7E9E"/>
    <w:rsid w:val="578867FC"/>
    <w:rsid w:val="5842572D"/>
    <w:rsid w:val="591536F5"/>
    <w:rsid w:val="5A3B59D6"/>
    <w:rsid w:val="5AD134D8"/>
    <w:rsid w:val="5C263CE4"/>
    <w:rsid w:val="5C5D2777"/>
    <w:rsid w:val="5CF66BF3"/>
    <w:rsid w:val="5D290C69"/>
    <w:rsid w:val="5E0A0A9B"/>
    <w:rsid w:val="5F2D4A41"/>
    <w:rsid w:val="60C74F6C"/>
    <w:rsid w:val="61025A59"/>
    <w:rsid w:val="613D5BBC"/>
    <w:rsid w:val="61536C39"/>
    <w:rsid w:val="62944DD7"/>
    <w:rsid w:val="6319381F"/>
    <w:rsid w:val="63C25DC5"/>
    <w:rsid w:val="63C62057"/>
    <w:rsid w:val="64571EF5"/>
    <w:rsid w:val="649F37FC"/>
    <w:rsid w:val="64FB113D"/>
    <w:rsid w:val="656152C6"/>
    <w:rsid w:val="6587477F"/>
    <w:rsid w:val="658C3A08"/>
    <w:rsid w:val="65C031CA"/>
    <w:rsid w:val="65CE6852"/>
    <w:rsid w:val="66267C04"/>
    <w:rsid w:val="663F505A"/>
    <w:rsid w:val="66EE5541"/>
    <w:rsid w:val="67921A09"/>
    <w:rsid w:val="67924660"/>
    <w:rsid w:val="68407834"/>
    <w:rsid w:val="6883293E"/>
    <w:rsid w:val="688412AD"/>
    <w:rsid w:val="68EB1B71"/>
    <w:rsid w:val="69163EF1"/>
    <w:rsid w:val="6A6C7940"/>
    <w:rsid w:val="6AAD2300"/>
    <w:rsid w:val="6B474EF5"/>
    <w:rsid w:val="6C0A5AC5"/>
    <w:rsid w:val="6C560CAE"/>
    <w:rsid w:val="6C576495"/>
    <w:rsid w:val="6D903FF5"/>
    <w:rsid w:val="6DA955B8"/>
    <w:rsid w:val="6DE346AB"/>
    <w:rsid w:val="6DE5391A"/>
    <w:rsid w:val="6ED66B2F"/>
    <w:rsid w:val="6EFD1324"/>
    <w:rsid w:val="6F5A53AC"/>
    <w:rsid w:val="6FAC003D"/>
    <w:rsid w:val="6FE55E12"/>
    <w:rsid w:val="6FFB2E76"/>
    <w:rsid w:val="708F6F7F"/>
    <w:rsid w:val="70D94BD3"/>
    <w:rsid w:val="70EE5F2B"/>
    <w:rsid w:val="71C34D91"/>
    <w:rsid w:val="727E1E9F"/>
    <w:rsid w:val="72DB435C"/>
    <w:rsid w:val="72E2613A"/>
    <w:rsid w:val="72F771F4"/>
    <w:rsid w:val="72FD4EE9"/>
    <w:rsid w:val="73934AD2"/>
    <w:rsid w:val="750837F0"/>
    <w:rsid w:val="754758CF"/>
    <w:rsid w:val="758E0578"/>
    <w:rsid w:val="764F62AB"/>
    <w:rsid w:val="765C45EC"/>
    <w:rsid w:val="768A7619"/>
    <w:rsid w:val="772E1EBA"/>
    <w:rsid w:val="781926BC"/>
    <w:rsid w:val="796D60A4"/>
    <w:rsid w:val="79A031D5"/>
    <w:rsid w:val="7A1525F7"/>
    <w:rsid w:val="7B256ABC"/>
    <w:rsid w:val="7B420052"/>
    <w:rsid w:val="7BD06A28"/>
    <w:rsid w:val="7C3A7C0B"/>
    <w:rsid w:val="7C5248E4"/>
    <w:rsid w:val="7C566698"/>
    <w:rsid w:val="7C5866A3"/>
    <w:rsid w:val="7D7406BB"/>
    <w:rsid w:val="7DE94331"/>
    <w:rsid w:val="7EAF6DC9"/>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8757</Words>
  <Characters>10563</Characters>
  <Lines>190</Lines>
  <Paragraphs>53</Paragraphs>
  <TotalTime>4</TotalTime>
  <ScaleCrop>false</ScaleCrop>
  <LinksUpToDate>false</LinksUpToDate>
  <CharactersWithSpaces>11647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Lenovo</cp:lastModifiedBy>
  <cp:lastPrinted>2024-09-25T03:15:03Z</cp:lastPrinted>
  <dcterms:modified xsi:type="dcterms:W3CDTF">2024-09-25T03:19:55Z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BB46EABDBB2749749395447164B066B3_12</vt:lpwstr>
  </property>
</Properties>
</file>