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600" w:lineRule="exact"/>
        <w:ind w:left="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重庆市丰都县人力资源和社会保障局（本级）</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42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eastAsia="方正仿宋_GBK" w:cs="Times New Roman"/>
          <w:sz w:val="32"/>
          <w:szCs w:val="32"/>
        </w:rPr>
        <w:t>、贯彻执行人力资源和社会保障法律、法规、规章和方针政策；拟订人力资源和社会保障事业发展规划、政策措施，并组织实施和监督检查；拟订机构改革人员定岗和分流政策。</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eastAsia="方正仿宋_GBK" w:cs="Times New Roman"/>
          <w:sz w:val="32"/>
          <w:szCs w:val="32"/>
        </w:rPr>
        <w:t>、拟订人力资源市场发展规划和人力资源流动政策，建立统一规范的人力资源市场，促进人力资源合理流动、有效配置；综合管理人力资源市场和流动调配工作；负责人才开发和管理工作。</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hint="eastAsia" w:ascii="方正仿宋_GBK" w:eastAsia="方正仿宋_GBK" w:cs="Times New Roman"/>
          <w:sz w:val="32"/>
          <w:szCs w:val="32"/>
        </w:rPr>
        <w:t>、负责促进就业工作，拟订统筹城乡的就业发展规划和政策措施，完善公共就业服务体系；牵头组织实施就业援助制度；牵头拟订高校毕业生就业政策措施；拟订国（境）外人员在本县的就业管理政策措施。</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hint="eastAsia" w:ascii="方正仿宋_GBK" w:eastAsia="方正仿宋_GBK" w:cs="Times New Roman"/>
          <w:sz w:val="32"/>
          <w:szCs w:val="32"/>
        </w:rPr>
        <w:t>、负责国（境）外人才、智力引进以及人力资源和社会保障领域的地区、国际交流与合作工作，组织协调相关涉外业务技术合作和人才交流；负责出国（境）培训工作。</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hint="eastAsia" w:ascii="方正仿宋_GBK" w:eastAsia="方正仿宋_GBK" w:cs="Times New Roman"/>
          <w:sz w:val="32"/>
          <w:szCs w:val="32"/>
        </w:rPr>
        <w:t>、负责职业能力建设，拟订城乡劳动者职业培训和高技能人才、农村实用人才培养和激励办法；拟订技工学校、职业培训机构、职业技能鉴定机构发展规划并负责管理和监督；贯彻实施职（执）业资格制度，统筹建立面向城乡劳动者的职业培训制度。</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hint="eastAsia" w:ascii="方正仿宋_GBK" w:eastAsia="方正仿宋_GBK" w:cs="Times New Roman"/>
          <w:sz w:val="32"/>
          <w:szCs w:val="32"/>
        </w:rPr>
        <w:t>、统筹建立覆盖城乡的社会保障体系，负责城乡社会保险及其补充保险政策的组织实施工作；承担社会保险及其补充保险基金行政监督责任。</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w:t>
      </w:r>
      <w:r>
        <w:rPr>
          <w:rFonts w:hint="eastAsia" w:ascii="方正仿宋_GBK" w:eastAsia="方正仿宋_GBK" w:cs="Times New Roman"/>
          <w:sz w:val="32"/>
          <w:szCs w:val="32"/>
        </w:rPr>
        <w:t>、负责就业、失业、社会保险基金预测预警和信息引导，拟订应对预案并组织实施。</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8</w:t>
      </w:r>
      <w:r>
        <w:rPr>
          <w:rFonts w:hint="eastAsia" w:ascii="方正仿宋_GBK" w:eastAsia="方正仿宋_GBK" w:cs="Times New Roman"/>
          <w:sz w:val="32"/>
          <w:szCs w:val="32"/>
        </w:rPr>
        <w:t>、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9</w:t>
      </w:r>
      <w:r>
        <w:rPr>
          <w:rFonts w:hint="eastAsia" w:ascii="方正仿宋_GBK" w:eastAsia="方正仿宋_GBK" w:cs="Times New Roman"/>
          <w:sz w:val="32"/>
          <w:szCs w:val="32"/>
        </w:rPr>
        <w:t>、组织实施事业单位人事制度改革；综合管理事业单位人员和机关工勤人员；综合管理专业技术人员并组织实施继续教育政策；负责职称、专家综合管理和高层次专业技术人才选拔、引进、培养工作；牵头推进深化职称制度改革工作。</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10</w:t>
      </w:r>
      <w:r>
        <w:rPr>
          <w:rFonts w:hint="eastAsia" w:ascii="方正仿宋_GBK" w:eastAsia="方正仿宋_GBK" w:cs="Times New Roman"/>
          <w:sz w:val="32"/>
          <w:szCs w:val="32"/>
        </w:rPr>
        <w:t>、牵头拟订军队转业干部安置政策和安置计划，负责军队转业干部安置工作；组织实施部分企业军队转业干部解困和稳定政策；协助军队转业干部管理服务和教育培训工作；协调落实军队转业干部随调随迁家属的政策性安置工作。</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11</w:t>
      </w:r>
      <w:r>
        <w:rPr>
          <w:rFonts w:hint="eastAsia" w:ascii="方正仿宋_GBK" w:eastAsia="方正仿宋_GBK" w:cs="Times New Roman"/>
          <w:sz w:val="32"/>
          <w:szCs w:val="32"/>
        </w:rPr>
        <w:t>、负责行政机关公务员综合管理；组织实施公务员分类、录用、考核、职务任免与升降、奖惩、培训、交流与回避、辞职辞退、申诉控告、职位聘任等方面的法律、法规、规章和方针政策；负责组织参照公务员法单位的申报和管理工作；承办法定、委托或授权管理领导人员的人事任免事项；综合管理奖励表彰工作。</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12</w:t>
      </w:r>
      <w:r>
        <w:rPr>
          <w:rFonts w:hint="eastAsia" w:ascii="方正仿宋_GBK" w:eastAsia="方正仿宋_GBK" w:cs="Times New Roman"/>
          <w:sz w:val="32"/>
          <w:szCs w:val="32"/>
        </w:rPr>
        <w:t>、组织拟订农村劳务开发管理规划；贯彻执行农民工工作综合性政策；协调解决重点难点问题，维护农民工合法权益。</w:t>
      </w:r>
    </w:p>
    <w:p>
      <w:pPr>
        <w:keepNext w:val="0"/>
        <w:keepLines w:val="0"/>
        <w:pageBreakBefore w:val="0"/>
        <w:widowControl/>
        <w:kinsoku/>
        <w:overflowPunct/>
        <w:topLinePunct w:val="0"/>
        <w:autoSpaceDN/>
        <w:bidi w:val="0"/>
        <w:adjustRightInd/>
        <w:snapToGrid w:val="0"/>
        <w:spacing w:beforeAutospacing="0" w:afterAutospacing="0" w:line="600" w:lineRule="exact"/>
        <w:ind w:left="0"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13</w:t>
      </w:r>
      <w:r>
        <w:rPr>
          <w:rFonts w:hint="eastAsia" w:ascii="方正仿宋_GBK" w:eastAsia="方正仿宋_GBK" w:cs="Times New Roman"/>
          <w:sz w:val="32"/>
          <w:szCs w:val="32"/>
        </w:rPr>
        <w:t>、统筹实施劳动、人事争议调解仲裁制度；落实劳动关系政策，完善劳动关系协调机制；监督落实消除非法使用童工政策和女工、未成年工的特殊劳动保护政策；组织实施劳动保障监察，协调劳动者维权工作，依法查处重大案件。</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left="0" w:firstLine="640" w:firstLineChars="200"/>
        <w:rPr>
          <w:rFonts w:hint="default" w:ascii="方正仿宋_GBK" w:hAnsi="方正仿宋_GBK" w:eastAsia="方正仿宋_GBK" w:cs="方正仿宋_GBK"/>
          <w:sz w:val="32"/>
          <w:szCs w:val="32"/>
        </w:rPr>
      </w:pPr>
      <w:r>
        <w:rPr>
          <w:rFonts w:hint="eastAsia" w:ascii="方正仿宋_GBK" w:hAnsi="Times New Roman" w:eastAsia="方正仿宋_GBK" w:cs="Times New Roman"/>
          <w:sz w:val="32"/>
          <w:szCs w:val="32"/>
        </w:rPr>
        <w:t>14</w:t>
      </w:r>
      <w:r>
        <w:rPr>
          <w:rFonts w:hint="eastAsia" w:ascii="方正仿宋_GBK" w:eastAsia="方正仿宋_GBK" w:cs="Times New Roman"/>
          <w:sz w:val="32"/>
          <w:szCs w:val="32"/>
        </w:rPr>
        <w:t>、承办县政府交办的其他事项。</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丰都县人力资源和社会保障局内设</w:t>
      </w:r>
      <w:r>
        <w:rPr>
          <w:rFonts w:hint="eastAsia" w:ascii="方正仿宋_GBK" w:hAnsi="Times New Roman" w:eastAsia="方正仿宋_GBK" w:cs="Times New Roman"/>
          <w:sz w:val="32"/>
          <w:szCs w:val="32"/>
        </w:rPr>
        <w:t>8</w:t>
      </w:r>
      <w:r>
        <w:rPr>
          <w:rFonts w:hint="eastAsia" w:ascii="方正仿宋_GBK" w:eastAsia="方正仿宋_GBK" w:cs="Times New Roman"/>
          <w:sz w:val="32"/>
          <w:szCs w:val="32"/>
        </w:rPr>
        <w:t>个职能科室，分别是：办公室、事业单位人事管理科（职称改革办公室）、机关事业单位工资福利科、就业和人才科、劳动监察仲裁科（政策法规科）、社会保障科（县劳动能力鉴定委员会办公室）、行政审批服务科、社保基金监督科。</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2023年度收入总计1129.32万元，支出总计</w:t>
      </w:r>
      <w:r>
        <w:rPr>
          <w:rFonts w:ascii="方正仿宋_GBK" w:hAnsi="方正仿宋_GBK" w:eastAsia="方正仿宋_GBK" w:cs="方正仿宋_GBK"/>
          <w:sz w:val="32"/>
          <w:szCs w:val="32"/>
        </w:rPr>
        <w:t>1129.32</w:t>
      </w:r>
      <w:r>
        <w:rPr>
          <w:rFonts w:ascii="方正仿宋_GBK" w:hAnsi="方正仿宋_GBK" w:eastAsia="方正仿宋_GBK" w:cs="方正仿宋_GBK"/>
          <w:sz w:val="32"/>
          <w:szCs w:val="32"/>
          <w:shd w:val="clear" w:color="auto" w:fill="FFFFFF"/>
        </w:rPr>
        <w:t>万元。收支较上年决算数增加309.97万元，增长37.83%，主要原因是</w:t>
      </w:r>
      <w:r>
        <w:rPr>
          <w:rFonts w:hint="eastAsia" w:ascii="方正仿宋_GBK" w:hAnsi="方正仿宋_GBK" w:eastAsia="方正仿宋_GBK" w:cs="方正仿宋_GBK"/>
          <w:sz w:val="32"/>
          <w:szCs w:val="32"/>
          <w:shd w:val="clear" w:color="auto" w:fill="FFFFFF"/>
          <w:lang w:val="en-US" w:eastAsia="zh-CN"/>
        </w:rPr>
        <w:t>2022年和2023年的财政统筹返还资金291.67万元，另人员增加1名及政策性增资，导致人员经费增加。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2023年度收入合计737.65万元，较上年决算数增加29.43万元，增长4.16%，主要原因是</w:t>
      </w:r>
      <w:r>
        <w:rPr>
          <w:rFonts w:hint="eastAsia" w:ascii="方正仿宋_GBK" w:hAnsi="方正仿宋_GBK" w:eastAsia="方正仿宋_GBK" w:cs="方正仿宋_GBK"/>
          <w:sz w:val="32"/>
          <w:szCs w:val="32"/>
          <w:shd w:val="clear" w:color="auto" w:fill="FFFFFF"/>
          <w:lang w:val="en-US" w:eastAsia="zh-CN"/>
        </w:rPr>
        <w:t>人员增加1名及政策性增资。</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737.65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391.67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1029.32</w:t>
      </w:r>
      <w:r>
        <w:rPr>
          <w:rFonts w:ascii="方正仿宋_GBK" w:hAnsi="方正仿宋_GBK" w:eastAsia="方正仿宋_GBK" w:cs="方正仿宋_GBK"/>
          <w:sz w:val="32"/>
          <w:szCs w:val="32"/>
          <w:shd w:val="clear" w:color="auto" w:fill="FFFFFF"/>
        </w:rPr>
        <w:t>万元，较上年决算数增加321.10万元，增长45.34%，主要原因是</w:t>
      </w:r>
      <w:r>
        <w:rPr>
          <w:rFonts w:hint="eastAsia" w:ascii="方正仿宋_GBK" w:hAnsi="方正仿宋_GBK" w:eastAsia="方正仿宋_GBK" w:cs="方正仿宋_GBK"/>
          <w:sz w:val="32"/>
          <w:szCs w:val="32"/>
          <w:shd w:val="clear" w:color="auto" w:fill="FFFFFF"/>
          <w:lang w:val="en-US" w:eastAsia="zh-CN"/>
        </w:rPr>
        <w:t>2022年和2023年的财政统筹返还资金291.67万元，另人员增加1名及政策性增资，导致人员经费增加。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531.51</w:t>
      </w:r>
      <w:r>
        <w:rPr>
          <w:rFonts w:ascii="方正仿宋_GBK" w:hAnsi="方正仿宋_GBK" w:eastAsia="方正仿宋_GBK" w:cs="方正仿宋_GBK"/>
          <w:sz w:val="32"/>
          <w:szCs w:val="32"/>
          <w:shd w:val="clear" w:color="auto" w:fill="FFFFFF"/>
        </w:rPr>
        <w:t>万元，占51.64%；项目支出</w:t>
      </w:r>
      <w:r>
        <w:rPr>
          <w:rFonts w:ascii="方正仿宋_GBK" w:hAnsi="方正仿宋_GBK" w:eastAsia="方正仿宋_GBK" w:cs="方正仿宋_GBK"/>
          <w:sz w:val="32"/>
          <w:szCs w:val="32"/>
        </w:rPr>
        <w:t>497.81</w:t>
      </w:r>
      <w:r>
        <w:rPr>
          <w:rFonts w:ascii="方正仿宋_GBK" w:hAnsi="方正仿宋_GBK" w:eastAsia="方正仿宋_GBK" w:cs="方正仿宋_GBK"/>
          <w:sz w:val="32"/>
          <w:szCs w:val="32"/>
          <w:shd w:val="clear" w:color="auto" w:fill="FFFFFF"/>
        </w:rPr>
        <w:t>万元，占48.36%。此外，结余分配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万元，较上年决算数减少11.12万元，下降10.01%，主要原因是</w:t>
      </w:r>
      <w:r>
        <w:rPr>
          <w:rFonts w:hint="eastAsia" w:ascii="方正仿宋_GBK" w:hAnsi="方正仿宋_GBK" w:eastAsia="方正仿宋_GBK" w:cs="方正仿宋_GBK"/>
          <w:sz w:val="32"/>
          <w:szCs w:val="32"/>
          <w:shd w:val="clear" w:color="auto" w:fill="FFFFFF"/>
          <w:lang w:val="en-US" w:eastAsia="zh-CN"/>
        </w:rPr>
        <w:t>以前年度结余的项目资金支出。</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2023年度财政拨款收、支总计1129.32万元。与2022年相比，财政拨款收、支总计各增加309.97万元，增长37.83%。主要原因是</w:t>
      </w:r>
      <w:r>
        <w:rPr>
          <w:rFonts w:hint="eastAsia" w:ascii="方正仿宋_GBK" w:hAnsi="方正仿宋_GBK" w:eastAsia="方正仿宋_GBK" w:cs="方正仿宋_GBK"/>
          <w:sz w:val="32"/>
          <w:szCs w:val="32"/>
          <w:shd w:val="clear" w:color="auto" w:fill="FFFFFF"/>
          <w:lang w:val="en-US" w:eastAsia="zh-CN"/>
        </w:rPr>
        <w:t>2022年和2023年的财政统筹返还资金291.67万元，另人员增加1名及政策性增资，导致人员经费增加。</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737.65</w:t>
      </w:r>
      <w:r>
        <w:rPr>
          <w:rFonts w:ascii="方正仿宋_GBK" w:hAnsi="方正仿宋_GBK" w:eastAsia="方正仿宋_GBK" w:cs="方正仿宋_GBK"/>
          <w:sz w:val="32"/>
          <w:szCs w:val="32"/>
          <w:shd w:val="clear" w:color="auto" w:fill="FFFFFF"/>
        </w:rPr>
        <w:t>万元，较上年决算数增加29.43万元，增长4.16%。主要原因是</w:t>
      </w:r>
      <w:r>
        <w:rPr>
          <w:rFonts w:hint="eastAsia" w:ascii="方正仿宋_GBK" w:hAnsi="方正仿宋_GBK" w:eastAsia="方正仿宋_GBK" w:cs="方正仿宋_GBK"/>
          <w:sz w:val="32"/>
          <w:szCs w:val="32"/>
          <w:shd w:val="clear" w:color="auto" w:fill="FFFFFF"/>
          <w:lang w:val="en-US" w:eastAsia="zh-CN"/>
        </w:rPr>
        <w:t>人员增加1名及政策性增资。</w:t>
      </w:r>
      <w:r>
        <w:rPr>
          <w:rFonts w:ascii="方正仿宋_GBK" w:hAnsi="方正仿宋_GBK" w:eastAsia="方正仿宋_GBK" w:cs="方正仿宋_GBK"/>
          <w:sz w:val="32"/>
          <w:szCs w:val="32"/>
          <w:shd w:val="clear" w:color="auto" w:fill="FFFFFF"/>
        </w:rPr>
        <w:t>较年初预算数增加176.37万元，增长31.42%。主要原因是</w:t>
      </w:r>
      <w:r>
        <w:rPr>
          <w:rFonts w:hint="eastAsia" w:ascii="方正仿宋_GBK" w:hAnsi="方正仿宋_GBK" w:eastAsia="方正仿宋_GBK" w:cs="方正仿宋_GBK"/>
          <w:sz w:val="32"/>
          <w:szCs w:val="32"/>
          <w:shd w:val="clear" w:color="auto" w:fill="FFFFFF"/>
          <w:lang w:val="en-US" w:eastAsia="zh-CN"/>
        </w:rPr>
        <w:t>部分项目为年中新增，年初未纳入预算，主要有：博士后科研工作站经费58万元、鸿雁计划人才奖励29万元、防范化解重大风险工作先进表彰40万元、乡村驿站建设35万元、渝薪芯工资软件运行维护费14万元。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391.67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1029.32</w:t>
      </w:r>
      <w:r>
        <w:rPr>
          <w:rFonts w:ascii="方正仿宋_GBK" w:hAnsi="方正仿宋_GBK" w:eastAsia="方正仿宋_GBK" w:cs="方正仿宋_GBK"/>
          <w:sz w:val="32"/>
          <w:szCs w:val="32"/>
          <w:shd w:val="clear" w:color="auto" w:fill="FFFFFF"/>
        </w:rPr>
        <w:t>万元，较上年决算数增加321.10万元，增长45.34%。主要原因是</w:t>
      </w:r>
      <w:r>
        <w:rPr>
          <w:rFonts w:hint="eastAsia" w:ascii="方正仿宋_GBK" w:hAnsi="方正仿宋_GBK" w:eastAsia="方正仿宋_GBK" w:cs="方正仿宋_GBK"/>
          <w:sz w:val="32"/>
          <w:szCs w:val="32"/>
          <w:shd w:val="clear" w:color="auto" w:fill="FFFFFF"/>
          <w:lang w:val="en-US" w:eastAsia="zh-CN"/>
        </w:rPr>
        <w:t>2022年和2023年的财政统筹返还资金291.67万元，另人员增加1名及政策性增资，导致人员经费增加。</w:t>
      </w:r>
      <w:r>
        <w:rPr>
          <w:rFonts w:ascii="方正仿宋_GBK" w:hAnsi="方正仿宋_GBK" w:eastAsia="方正仿宋_GBK" w:cs="方正仿宋_GBK"/>
          <w:sz w:val="32"/>
          <w:szCs w:val="32"/>
          <w:shd w:val="clear" w:color="auto" w:fill="FFFFFF"/>
        </w:rPr>
        <w:t>较年初预算数增加468.04万元，增长83.39%。主要原因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2022年和2023年的财政统筹返还资金291.67万元在2023年作支出；二是部分项目为年中新增，年初未纳入预算，主要有：博士后科研工作站经费58万元、鸿雁计划人才奖励29万元、防范化解重大风险工作先进表彰40万元、乡村驿站建设35万元、渝薪芯工资软件运行维护费14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万元，较上年决算数减少11.12万元，下降10.01%，主要原因是</w:t>
      </w:r>
      <w:r>
        <w:rPr>
          <w:rFonts w:hint="eastAsia" w:ascii="方正仿宋_GBK" w:hAnsi="方正仿宋_GBK" w:eastAsia="方正仿宋_GBK" w:cs="方正仿宋_GBK"/>
          <w:sz w:val="32"/>
          <w:szCs w:val="32"/>
          <w:shd w:val="clear" w:color="auto" w:fill="FFFFFF"/>
          <w:lang w:val="en-US" w:eastAsia="zh-CN"/>
        </w:rPr>
        <w:t>以前年度结余的项目资金支出。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993.54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96.52</w:t>
      </w:r>
      <w:r>
        <w:rPr>
          <w:rFonts w:ascii="方正仿宋_GBK" w:hAnsi="方正仿宋_GBK" w:eastAsia="方正仿宋_GBK" w:cs="方正仿宋_GBK"/>
          <w:sz w:val="32"/>
          <w:szCs w:val="32"/>
          <w:shd w:val="clear" w:color="auto" w:fill="FFFFFF"/>
        </w:rPr>
        <w:t>%，较年初预算数增加484.02万元，增长95.00%，主要原因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2022年和2023年的财政统筹返还资金291.67万元在2023年作支出；二是部分项目为年中新增，年初未纳入预算，主要有：博士后科研工作站经费58万元、鸿雁计划人才奖励29万元、防范化解重大风险工作先进表彰40万元、乡村驿站建设35万元、渝薪芯工资软件运行维护费14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%，较年初预算数无增减，主要原</w:t>
      </w:r>
      <w:r>
        <w:rPr>
          <w:rFonts w:hint="eastAsia" w:ascii="方正仿宋_GBK" w:hAnsi="方正仿宋_GBK" w:eastAsia="方正仿宋_GBK" w:cs="方正仿宋_GBK"/>
          <w:sz w:val="32"/>
          <w:szCs w:val="32"/>
          <w:shd w:val="clear" w:color="auto" w:fill="FFFFFF"/>
          <w:lang w:val="en-US" w:eastAsia="zh-CN"/>
        </w:rPr>
        <w:t>因是严格执行预算。</w:t>
      </w:r>
    </w:p>
    <w:p>
      <w:pPr>
        <w:keepNext w:val="0"/>
        <w:keepLines w:val="0"/>
        <w:pageBreakBefore w:val="0"/>
        <w:widowControl/>
        <w:kinsoku/>
        <w:overflowPunct/>
        <w:topLinePunct w:val="0"/>
        <w:autoSpaceDN/>
        <w:bidi w:val="0"/>
        <w:adjustRightInd/>
        <w:spacing w:beforeAutospacing="0" w:afterAutospacing="0" w:line="600" w:lineRule="exact"/>
        <w:ind w:left="0"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%，较年初预算数减少15.98万元，下降54.06%，主要原因是</w:t>
      </w:r>
      <w:r>
        <w:rPr>
          <w:rFonts w:hint="eastAsia" w:ascii="方正仿宋_GBK" w:hAnsi="方正仿宋_GBK" w:eastAsia="方正仿宋_GBK" w:cs="方正仿宋_GBK"/>
          <w:color w:val="auto"/>
          <w:sz w:val="32"/>
          <w:szCs w:val="32"/>
          <w:shd w:val="clear" w:color="auto" w:fill="FFFFFF"/>
          <w:lang w:val="en-US" w:eastAsia="zh-CN"/>
        </w:rPr>
        <w:t>年初预算时公积金计算基数偏高，实际缴纳时严格按照政策执行。</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531.51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491.04</w:t>
      </w:r>
      <w:r>
        <w:rPr>
          <w:rFonts w:ascii="方正仿宋_GBK" w:hAnsi="方正仿宋_GBK" w:eastAsia="方正仿宋_GBK" w:cs="方正仿宋_GBK"/>
          <w:sz w:val="32"/>
          <w:szCs w:val="32"/>
          <w:shd w:val="clear" w:color="auto" w:fill="FFFFFF"/>
        </w:rPr>
        <w:t>万元，较上年决算数增加72.49万元，增长17.32%，主要原因是</w:t>
      </w:r>
      <w:r>
        <w:rPr>
          <w:rFonts w:hint="eastAsia" w:ascii="方正仿宋_GBK" w:hAnsi="方正仿宋_GBK" w:eastAsia="方正仿宋_GBK" w:cs="方正仿宋_GBK"/>
          <w:color w:val="auto"/>
          <w:sz w:val="32"/>
          <w:szCs w:val="32"/>
          <w:shd w:val="clear" w:color="auto" w:fill="FFFFFF"/>
          <w:lang w:val="en-US" w:eastAsia="zh-CN"/>
        </w:rPr>
        <w:t>人员增加1名及政策性增资、</w:t>
      </w: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年度有退休人员死亡，增加了死亡抚恤金支出。</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rPr>
        <w:t>基本工资、津贴补贴、奖金、社会保障缴费、公积金缴费、平时考核、目标绩效考核等。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40.47</w:t>
      </w:r>
      <w:r>
        <w:rPr>
          <w:rFonts w:ascii="方正仿宋_GBK" w:hAnsi="方正仿宋_GBK" w:eastAsia="方正仿宋_GBK" w:cs="方正仿宋_GBK"/>
          <w:sz w:val="32"/>
          <w:szCs w:val="32"/>
          <w:shd w:val="clear" w:color="auto" w:fill="FFFFFF"/>
        </w:rPr>
        <w:t>万元，较上年决算数减少6.84万元，下降14.46%，主要原因是</w:t>
      </w:r>
      <w:r>
        <w:rPr>
          <w:rFonts w:hint="eastAsia" w:ascii="方正仿宋_GBK" w:eastAsia="方正仿宋_GBK"/>
          <w:sz w:val="32"/>
          <w:szCs w:val="32"/>
        </w:rPr>
        <w:t>厉行节约，办公用品费用减少。公用经费用途主要包括办公费、印刷费、差旅费、食堂用餐伙食费、委托业务费等。</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万元，较年初预算数减少1.90万元，下降95.00%，主要原因是</w:t>
      </w:r>
      <w:r>
        <w:rPr>
          <w:rFonts w:hint="eastAsia" w:ascii="方正仿宋_GBK" w:eastAsia="方正仿宋_GBK"/>
          <w:sz w:val="32"/>
          <w:szCs w:val="32"/>
        </w:rPr>
        <w:t>强化公务接待支出管理，严格遵守公务接待开支范围和开支标准等。</w:t>
      </w:r>
      <w:r>
        <w:rPr>
          <w:rFonts w:ascii="方正仿宋_GBK" w:hAnsi="方正仿宋_GBK" w:eastAsia="方正仿宋_GBK" w:cs="方正仿宋_GBK"/>
          <w:sz w:val="32"/>
          <w:szCs w:val="32"/>
          <w:shd w:val="clear" w:color="auto" w:fill="FFFFFF"/>
        </w:rPr>
        <w:t>较上年支出数减少0.66万元，下降86.84%，主要原因是</w:t>
      </w:r>
      <w:r>
        <w:rPr>
          <w:rFonts w:hint="eastAsia" w:ascii="方正仿宋_GBK" w:hAnsi="方正仿宋_GBK" w:eastAsia="方正仿宋_GBK" w:cs="方正仿宋_GBK"/>
          <w:sz w:val="32"/>
          <w:szCs w:val="32"/>
          <w:shd w:val="clear" w:color="auto" w:fill="FFFFFF"/>
          <w:lang w:val="en-US" w:eastAsia="zh-CN"/>
        </w:rPr>
        <w:t>2023年接待批次大幅减少。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本单位202</w:t>
      </w:r>
      <w:r>
        <w:rPr>
          <w:rFonts w:hint="eastAsia" w:ascii="方正仿宋_GBK" w:eastAsia="方正仿宋_GBK"/>
          <w:sz w:val="32"/>
          <w:szCs w:val="32"/>
          <w:lang w:val="en-US" w:eastAsia="zh-CN"/>
        </w:rPr>
        <w:t>3</w:t>
      </w:r>
      <w:r>
        <w:rPr>
          <w:rFonts w:hint="eastAsia" w:ascii="方正仿宋_GBK" w:eastAsia="方正仿宋_GBK"/>
          <w:sz w:val="32"/>
          <w:szCs w:val="32"/>
        </w:rPr>
        <w:t>年度未发生因公出国（境）费用，</w:t>
      </w:r>
      <w:r>
        <w:rPr>
          <w:rFonts w:hint="eastAsia" w:ascii="方正仿宋_GBK" w:eastAsia="方正仿宋_GBK"/>
          <w:color w:val="000000"/>
          <w:sz w:val="32"/>
          <w:szCs w:val="32"/>
        </w:rPr>
        <w:t>与年初预算数及上年决算数持平。</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本单位202</w:t>
      </w:r>
      <w:r>
        <w:rPr>
          <w:rFonts w:hint="eastAsia" w:ascii="方正仿宋_GBK" w:eastAsia="方正仿宋_GBK"/>
          <w:sz w:val="32"/>
          <w:szCs w:val="32"/>
          <w:lang w:val="en-US" w:eastAsia="zh-CN"/>
        </w:rPr>
        <w:t>3</w:t>
      </w:r>
      <w:r>
        <w:rPr>
          <w:rFonts w:hint="eastAsia" w:ascii="方正仿宋_GBK" w:eastAsia="方正仿宋_GBK"/>
          <w:sz w:val="32"/>
          <w:szCs w:val="32"/>
        </w:rPr>
        <w:t>年度未发生公务车购置费，</w:t>
      </w:r>
      <w:r>
        <w:rPr>
          <w:rFonts w:hint="eastAsia" w:ascii="方正仿宋_GBK" w:eastAsia="方正仿宋_GBK"/>
          <w:color w:val="000000"/>
          <w:sz w:val="32"/>
          <w:szCs w:val="32"/>
        </w:rPr>
        <w:t>与年初预算数及上年决算数持平。</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本单位202</w:t>
      </w:r>
      <w:r>
        <w:rPr>
          <w:rFonts w:hint="eastAsia" w:ascii="方正仿宋_GBK" w:eastAsia="方正仿宋_GBK"/>
          <w:sz w:val="32"/>
          <w:szCs w:val="32"/>
          <w:lang w:val="en-US" w:eastAsia="zh-CN"/>
        </w:rPr>
        <w:t>3</w:t>
      </w:r>
      <w:r>
        <w:rPr>
          <w:rFonts w:hint="eastAsia" w:ascii="方正仿宋_GBK" w:eastAsia="方正仿宋_GBK"/>
          <w:sz w:val="32"/>
          <w:szCs w:val="32"/>
        </w:rPr>
        <w:t>年度未发生公务车运行维护费，</w:t>
      </w:r>
      <w:r>
        <w:rPr>
          <w:rFonts w:hint="eastAsia" w:ascii="方正仿宋_GBK" w:eastAsia="方正仿宋_GBK"/>
          <w:color w:val="000000"/>
          <w:sz w:val="32"/>
          <w:szCs w:val="32"/>
        </w:rPr>
        <w:t>与年初预算数及上年决算数持平。</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公务接待费</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万元，主要用于接待</w:t>
      </w:r>
      <w:r>
        <w:rPr>
          <w:rFonts w:hint="eastAsia" w:ascii="方正仿宋_GBK" w:eastAsia="方正仿宋_GBK"/>
          <w:sz w:val="32"/>
          <w:szCs w:val="32"/>
        </w:rPr>
        <w:t>市级部门和有关区县检查指导工作。</w:t>
      </w:r>
      <w:r>
        <w:rPr>
          <w:rFonts w:ascii="方正仿宋_GBK" w:hAnsi="方正仿宋_GBK" w:eastAsia="方正仿宋_GBK" w:cs="方正仿宋_GBK"/>
          <w:sz w:val="32"/>
          <w:szCs w:val="32"/>
          <w:shd w:val="clear" w:color="auto" w:fill="FFFFFF"/>
        </w:rPr>
        <w:t>费用支出较年初预算数减少1.90万元，下降95.00%，主要原因是</w:t>
      </w:r>
      <w:r>
        <w:rPr>
          <w:rFonts w:hint="eastAsia" w:ascii="方正仿宋_GBK" w:eastAsia="方正仿宋_GBK"/>
          <w:sz w:val="32"/>
          <w:szCs w:val="32"/>
        </w:rPr>
        <w:t>强化公务接待支出管理，严格遵守公务接待开支范围和开支标准等。</w:t>
      </w:r>
      <w:r>
        <w:rPr>
          <w:rFonts w:ascii="方正仿宋_GBK" w:hAnsi="方正仿宋_GBK" w:eastAsia="方正仿宋_GBK" w:cs="方正仿宋_GBK"/>
          <w:sz w:val="32"/>
          <w:szCs w:val="32"/>
          <w:shd w:val="clear" w:color="auto" w:fill="FFFFFF"/>
        </w:rPr>
        <w:t>较上年支出数减少0.66万元，下降86.84%，主要原因是</w:t>
      </w:r>
      <w:r>
        <w:rPr>
          <w:rFonts w:hint="eastAsia" w:ascii="方正仿宋_GBK" w:hAnsi="方正仿宋_GBK" w:eastAsia="方正仿宋_GBK" w:cs="方正仿宋_GBK"/>
          <w:sz w:val="32"/>
          <w:szCs w:val="32"/>
          <w:shd w:val="clear" w:color="auto" w:fill="FFFFFF"/>
          <w:lang w:val="en-US" w:eastAsia="zh-CN"/>
        </w:rPr>
        <w:t>2023年接待批次大幅减少。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97.60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万元，较上年决算数减少0.41万元，下降100.00%，主要原因是</w:t>
      </w:r>
      <w:r>
        <w:rPr>
          <w:rFonts w:hint="eastAsia" w:ascii="方正仿宋_GBK" w:hAnsi="方正仿宋_GBK" w:eastAsia="方正仿宋_GBK" w:cs="方正仿宋_GBK"/>
          <w:sz w:val="32"/>
          <w:szCs w:val="32"/>
          <w:shd w:val="clear" w:color="auto" w:fill="FFFFFF"/>
          <w:lang w:val="en-US" w:eastAsia="zh-CN"/>
        </w:rPr>
        <w:t>今年未发生会议费</w:t>
      </w:r>
      <w:r>
        <w:rPr>
          <w:rFonts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未发生</w:t>
      </w:r>
      <w:r>
        <w:rPr>
          <w:rFonts w:ascii="方正仿宋_GBK" w:hAnsi="方正仿宋_GBK" w:eastAsia="方正仿宋_GBK" w:cs="方正仿宋_GBK"/>
          <w:sz w:val="32"/>
          <w:szCs w:val="32"/>
          <w:shd w:val="clear" w:color="auto" w:fill="FFFFFF"/>
        </w:rPr>
        <w:t>培训费支出。</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40.47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eastAsia="方正仿宋_GBK"/>
          <w:sz w:val="32"/>
          <w:szCs w:val="32"/>
        </w:rPr>
        <w:t>办公费、信息网络维护费、水电费、邮电费等机关运行经费。</w:t>
      </w:r>
      <w:r>
        <w:rPr>
          <w:rFonts w:ascii="方正仿宋_GBK" w:hAnsi="方正仿宋_GBK" w:eastAsia="方正仿宋_GBK" w:cs="方正仿宋_GBK"/>
          <w:sz w:val="32"/>
          <w:szCs w:val="32"/>
          <w:shd w:val="clear" w:color="auto" w:fill="FFFFFF"/>
        </w:rPr>
        <w:t>机关运行经费较上年支出数减少6.84万元，下降14.46%，主要原因是</w:t>
      </w:r>
      <w:r>
        <w:rPr>
          <w:rFonts w:hint="eastAsia" w:ascii="方正仿宋_GBK" w:eastAsia="方正仿宋_GBK"/>
          <w:sz w:val="32"/>
          <w:szCs w:val="32"/>
        </w:rPr>
        <w:t>厉行节约，办公用品费用减少。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600" w:lineRule="exact"/>
        <w:ind w:left="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pageBreakBefore w:val="0"/>
        <w:widowControl/>
        <w:kinsoku/>
        <w:overflowPunct/>
        <w:topLinePunct w:val="0"/>
        <w:autoSpaceDE w:val="0"/>
        <w:autoSpaceDN/>
        <w:bidi w:val="0"/>
        <w:adjustRightInd/>
        <w:spacing w:before="0" w:beforeAutospacing="0" w:after="0" w:afterAutospacing="0" w:line="600" w:lineRule="exact"/>
        <w:ind w:left="0" w:firstLine="640" w:firstLineChars="200"/>
        <w:rPr>
          <w:rFonts w:hint="default"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497.81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rPr>
        <w:t>从评价情况来看，项目立项较为规范，绩效目标明确，预算编制合理，管理科学规范，资金到位及时，整体完成情况较好，有力保障了我县人力社保专项工作如：事业单位公招、劳动能力鉴定、工伤认定、档案整理、工资统发、离退休人员慰问等工作顺利开展，各项目基本达到预期绩效</w:t>
      </w:r>
      <w:r>
        <w:rPr>
          <w:rFonts w:hint="eastAsia" w:ascii="方正仿宋_GBK" w:eastAsia="方正仿宋_GBK"/>
          <w:sz w:val="32"/>
          <w:szCs w:val="32"/>
          <w:lang w:val="en-US" w:eastAsia="zh-CN"/>
        </w:rPr>
        <w:t>目</w:t>
      </w:r>
      <w:r>
        <w:rPr>
          <w:rFonts w:hint="eastAsia" w:ascii="方正仿宋_GBK" w:eastAsia="方正仿宋_GBK"/>
          <w:sz w:val="32"/>
          <w:szCs w:val="32"/>
        </w:rPr>
        <w:t>标。</w:t>
      </w:r>
      <w:r>
        <w:rPr>
          <w:rFonts w:hint="eastAsia" w:ascii="方正仿宋_GBK" w:eastAsia="方正仿宋_GBK"/>
          <w:sz w:val="32"/>
          <w:szCs w:val="32"/>
          <w:lang w:val="en-US" w:eastAsia="zh-CN"/>
        </w:rPr>
        <w:t>详见附件1。</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keepNext w:val="0"/>
        <w:keepLines w:val="0"/>
        <w:pageBreakBefore w:val="0"/>
        <w:widowControl/>
        <w:kinsoku/>
        <w:overflowPunct/>
        <w:topLinePunct w:val="0"/>
        <w:autoSpaceDE w:val="0"/>
        <w:autoSpaceDN/>
        <w:bidi w:val="0"/>
        <w:adjustRightInd/>
        <w:spacing w:beforeAutospacing="0" w:afterAutospacing="0" w:line="600" w:lineRule="exact"/>
        <w:rPr>
          <w:rFonts w:hint="default" w:ascii="方正仿宋_GBK" w:hAnsi="方正仿宋_GBK" w:eastAsia="方正仿宋_GBK" w:cs="方正仿宋_GBK"/>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lang w:val="en-US" w:eastAsia="zh-CN"/>
        </w:rPr>
        <w:t>我单位未组织开展绩效评价。</w:t>
      </w:r>
      <w:bookmarkStart w:id="0" w:name="_GoBack"/>
      <w:bookmarkEnd w:id="0"/>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hd w:val="clear" w:color="auto" w:fill="FFFFFF"/>
        <w:spacing w:before="0" w:beforeAutospacing="0" w:after="0" w:afterAutospacing="0"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eastAsia="方正仿宋_GBK"/>
          <w:sz w:val="32"/>
          <w:szCs w:val="32"/>
        </w:rPr>
        <w:t>代鑫  023-70605558</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2"/>
                <w:szCs w:val="22"/>
              </w:rPr>
            </w:pPr>
            <w:r>
              <w:rPr>
                <w:rFonts w:cs="宋体"/>
                <w:sz w:val="20"/>
                <w:szCs w:val="20"/>
              </w:rPr>
              <w:t>公开单位：</w:t>
            </w:r>
            <w:r>
              <w:rPr>
                <w:sz w:val="20"/>
                <w:u w:color="auto"/>
              </w:rPr>
              <w:t>重庆市丰都县人力资源和社会保障局（本级）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737.65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993.54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22.20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13.58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737.65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1,029.32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391.67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1,129.32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1,129.32</w:t>
            </w: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sz w:val="20"/>
                <w:u w:color="auto"/>
              </w:rPr>
              <w:t>重庆市丰都县人力资源和社会保障局（本级）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737.65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737.65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701.87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701.87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497.12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497.12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335.98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335.98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博士后日常经费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103.14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103.14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44.08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44.08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45.00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45.00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p>
    <w:tbl>
      <w:tblPr>
        <w:tblStyle w:val="7"/>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重庆市丰都县人力资源和社会保障局（本级）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1,029.32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531.51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497.81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993.54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495.73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497.81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616.12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335.98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280.14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335.98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335.98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博士后日常经费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引进人才费用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193.14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193.14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44.08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44.08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34.97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34.97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217.67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217.67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重庆市丰都县人力资源和社会保障局（本级）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737.65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993.54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993.54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737.65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1,029.32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1,029.32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391.67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391.67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1,129.32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1,129.32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1,129.32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重庆市丰都县人力资源和社会保障局（本级）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1,029.32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531.51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497.81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993.54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495.73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497.81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616.12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335.98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280.14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335.98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335.98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博士后日常经费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58.00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58.00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引进人才费用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193.14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193.14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159.75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159.75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44.08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44.08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34.97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34.97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29.90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29.90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50.79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50.79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217.67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217.67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217.67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217.67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22.20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11.84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10.36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10.36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13.58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13.58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重庆市丰都县人力资源和社会保障局（本级）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386.04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40.47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82.80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62.85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105.91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40.93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32.32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6.82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6.76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29.67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45.94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58.96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14.72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default" w:cs="宋体"/>
                <w:color w:val="000000"/>
                <w:sz w:val="18"/>
                <w:szCs w:val="18"/>
              </w:rPr>
            </w:pPr>
            <w:r>
              <w:rPr>
                <w:rFonts w:cs="宋体"/>
                <w:color w:val="000000"/>
                <w:sz w:val="18"/>
                <w:szCs w:val="18"/>
              </w:rPr>
              <w:t>491.04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40.47</w:t>
            </w:r>
            <w:r>
              <w:rPr>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重庆市丰都县人力资源和社会保障局（本级）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重庆市丰都县人力资源和社会保障局（本级）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重庆市丰都县人力资源和社会保障局（本级）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40.47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40.47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7C405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420249"/>
    <w:rsid w:val="41691F2A"/>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324D8"/>
    <w:rsid w:val="54272666"/>
    <w:rsid w:val="543B029D"/>
    <w:rsid w:val="54861779"/>
    <w:rsid w:val="549060D5"/>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6D630B"/>
    <w:rsid w:val="6883293E"/>
    <w:rsid w:val="688412AD"/>
    <w:rsid w:val="68EB1B71"/>
    <w:rsid w:val="6A6C7940"/>
    <w:rsid w:val="6AAD2300"/>
    <w:rsid w:val="6B474EF5"/>
    <w:rsid w:val="6C0A5AC5"/>
    <w:rsid w:val="6C560CAE"/>
    <w:rsid w:val="6C576495"/>
    <w:rsid w:val="6CA8016E"/>
    <w:rsid w:val="6D20535E"/>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15360A"/>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2024-09-25T03:08:00Z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BB46EABDBB2749749395447164B066B3_12</vt:lpwstr>
  </property>
</Properties>
</file>