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00" w:lineRule="exact"/>
        <w:jc w:val="center"/>
        <w:rPr>
          <w:rStyle w:val="7"/>
          <w:rFonts w:ascii="方正小标宋_GBK" w:eastAsia="方正小标宋_GBK"/>
          <w:b w:val="0"/>
          <w:sz w:val="44"/>
          <w:szCs w:val="44"/>
        </w:rPr>
      </w:pPr>
      <w:r>
        <w:rPr>
          <w:rStyle w:val="7"/>
          <w:rFonts w:hint="eastAsia" w:ascii="方正小标宋_GBK" w:eastAsia="方正小标宋_GBK"/>
          <w:b w:val="0"/>
          <w:sz w:val="44"/>
          <w:szCs w:val="44"/>
        </w:rPr>
        <w:t>丰都县人力资源和社会保障局（本级）</w:t>
      </w:r>
    </w:p>
    <w:p>
      <w:pPr>
        <w:pStyle w:val="4"/>
        <w:shd w:val="clear" w:color="auto" w:fill="FFFFFF"/>
        <w:spacing w:before="0" w:beforeAutospacing="0" w:after="0" w:afterAutospacing="0" w:line="600" w:lineRule="exact"/>
        <w:jc w:val="center"/>
      </w:pPr>
      <w:r>
        <w:rPr>
          <w:rStyle w:val="7"/>
          <w:rFonts w:hint="eastAsia" w:ascii="方正小标宋_GBK" w:eastAsia="方正小标宋_GBK"/>
          <w:b w:val="0"/>
          <w:sz w:val="44"/>
          <w:szCs w:val="44"/>
        </w:rPr>
        <w:t>2022年度部门决算情况说明</w:t>
      </w:r>
    </w:p>
    <w:p>
      <w:pPr>
        <w:pStyle w:val="4"/>
        <w:shd w:val="clear" w:color="auto" w:fill="FFFFFF"/>
        <w:spacing w:before="0" w:beforeAutospacing="0" w:after="0" w:afterAutospacing="0" w:line="600" w:lineRule="exact"/>
        <w:ind w:firstLine="640" w:firstLineChars="200"/>
        <w:rPr>
          <w:rStyle w:val="7"/>
          <w:rFonts w:ascii="方正黑体_GBK" w:eastAsia="方正黑体_GBK"/>
          <w:b w:val="0"/>
          <w:sz w:val="32"/>
          <w:szCs w:val="32"/>
        </w:rPr>
      </w:pPr>
    </w:p>
    <w:p>
      <w:pPr>
        <w:pStyle w:val="4"/>
        <w:shd w:val="clear" w:color="auto" w:fill="FFFFFF"/>
        <w:spacing w:before="0" w:beforeAutospacing="0" w:after="0" w:afterAutospacing="0" w:line="600" w:lineRule="exact"/>
        <w:ind w:firstLine="640" w:firstLineChars="200"/>
      </w:pPr>
      <w:r>
        <w:rPr>
          <w:rStyle w:val="7"/>
          <w:rFonts w:hint="eastAsia" w:ascii="方正黑体_GBK" w:eastAsia="方正黑体_GBK"/>
          <w:b w:val="0"/>
          <w:sz w:val="32"/>
          <w:szCs w:val="32"/>
        </w:rPr>
        <w:t>一、部门基本情况</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（一）职能职责</w:t>
      </w:r>
    </w:p>
    <w:p>
      <w:pPr>
        <w:pStyle w:val="4"/>
        <w:snapToGrid w:val="0"/>
        <w:spacing w:before="0" w:beforeAutospacing="0" w:after="0" w:afterAutospacing="0"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w:t>
      </w:r>
      <w:r>
        <w:rPr>
          <w:rFonts w:hint="eastAsia" w:ascii="方正仿宋_GBK" w:eastAsia="方正仿宋_GBK" w:cs="Times New Roman"/>
          <w:sz w:val="32"/>
          <w:szCs w:val="32"/>
        </w:rPr>
        <w:t>、贯彻执行人力资源和社会保障法律、法规、规章和方针政策；拟订人力资源和社会保障事业发展规划、政策措施，并组织实施和监督检查；拟订机构改革人员定岗和分流政策。</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w:t>
      </w:r>
      <w:r>
        <w:rPr>
          <w:rFonts w:hint="eastAsia" w:ascii="方正仿宋_GBK" w:eastAsia="方正仿宋_GBK" w:cs="Times New Roman"/>
          <w:sz w:val="32"/>
          <w:szCs w:val="32"/>
        </w:rPr>
        <w:t>、拟订人力资源市场发展规划和人力资源流动政策，建立统一规范的人力资源市场，促进人力资源合理流动、有效配置；综合管理人力资源市场和流动调配工作；负责人才开发和管理工作。</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hint="eastAsia" w:ascii="方正仿宋_GBK" w:eastAsia="方正仿宋_GBK" w:cs="Times New Roman"/>
          <w:sz w:val="32"/>
          <w:szCs w:val="32"/>
        </w:rPr>
        <w:t>、负责促进就业工作，拟订统筹城乡的就业发展规划和政策措施，完善公共就业服务体系；牵头组织实施就业援助制度；牵头拟订高校毕业生就业政策措施；拟订国（境）外人员在本县的就业管理政策措施。</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4</w:t>
      </w:r>
      <w:r>
        <w:rPr>
          <w:rFonts w:hint="eastAsia" w:ascii="方正仿宋_GBK" w:eastAsia="方正仿宋_GBK" w:cs="Times New Roman"/>
          <w:sz w:val="32"/>
          <w:szCs w:val="32"/>
        </w:rPr>
        <w:t>、负责国（境）外人才、智力引进以及人力资源和社会保障领域的地区、国际交流与合作工作，组织协调相关涉外业务技术合作和人才交流；负责出国（境）培训工作。</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hint="eastAsia" w:ascii="方正仿宋_GBK" w:eastAsia="方正仿宋_GBK" w:cs="Times New Roman"/>
          <w:sz w:val="32"/>
          <w:szCs w:val="32"/>
        </w:rPr>
        <w:t>、负责职业能力建设，拟订城乡劳动者职业培训和高技能人才、农村实用人才培养和激励办法；拟订技工学校、职业培训机构、职业技能鉴定机构发展规划并负责管理和监督；贯彻实施职（执）业资格制度，统筹建立面向城乡劳动者的职业培训制度。</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hint="eastAsia" w:ascii="方正仿宋_GBK" w:eastAsia="方正仿宋_GBK" w:cs="Times New Roman"/>
          <w:sz w:val="32"/>
          <w:szCs w:val="32"/>
        </w:rPr>
        <w:t>、统筹建立覆盖城乡的社会保障体系，负责城乡社会保险及其补充保险政策的组织实施工作；承担社会保险及其补充保险基金行政监督责任。</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7</w:t>
      </w:r>
      <w:r>
        <w:rPr>
          <w:rFonts w:hint="eastAsia" w:ascii="方正仿宋_GBK" w:eastAsia="方正仿宋_GBK" w:cs="Times New Roman"/>
          <w:sz w:val="32"/>
          <w:szCs w:val="32"/>
        </w:rPr>
        <w:t>、负责就业、失业、社会保险基金预测预警和信息引导，拟订应对预案并组织实施。</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8</w:t>
      </w:r>
      <w:r>
        <w:rPr>
          <w:rFonts w:hint="eastAsia" w:ascii="方正仿宋_GBK" w:eastAsia="方正仿宋_GBK" w:cs="Times New Roman"/>
          <w:sz w:val="32"/>
          <w:szCs w:val="32"/>
        </w:rPr>
        <w:t>、组织实施机关事业单位人员工资收入分配、津贴补贴、福利和退休管理工作，宏观调控管理企业职工工资收入分配，建立机关企事业单位人员工资正常增长和支付保障机制；负责参加社会养老保险人员享受养老保险待遇的审批；负责机关企事业单位人员工（公）伤认定；负责伤（病）残等级鉴定工作。</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9</w:t>
      </w:r>
      <w:r>
        <w:rPr>
          <w:rFonts w:hint="eastAsia" w:ascii="方正仿宋_GBK" w:eastAsia="方正仿宋_GBK" w:cs="Times New Roman"/>
          <w:sz w:val="32"/>
          <w:szCs w:val="32"/>
        </w:rPr>
        <w:t>、组织实施事业单位人事制度改革；综合管理事业单位人员和机关工勤人员；综合管理专业技术人员并组织实施继续教育政策；负责职称、专家综合管理和高层次专业技术人才选拔、引进、培养工作；牵头推进深化职称制度改革工作。</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10</w:t>
      </w:r>
      <w:r>
        <w:rPr>
          <w:rFonts w:hint="eastAsia" w:ascii="方正仿宋_GBK" w:eastAsia="方正仿宋_GBK" w:cs="Times New Roman"/>
          <w:sz w:val="32"/>
          <w:szCs w:val="32"/>
        </w:rPr>
        <w:t>、牵头拟订军队转业干部安置政策和安置计划，负责军队转业干部安置工作；组织实施部分企业军队转业干部解困和稳定政策；协助军队转业干部管理服务和教育培训工作；协调落实军队转业干部随调随迁家属的政策性安置工作。</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11</w:t>
      </w:r>
      <w:r>
        <w:rPr>
          <w:rFonts w:hint="eastAsia" w:ascii="方正仿宋_GBK" w:eastAsia="方正仿宋_GBK" w:cs="Times New Roman"/>
          <w:sz w:val="32"/>
          <w:szCs w:val="32"/>
        </w:rPr>
        <w:t>、负责行政机关公务员综合管理；组织实施公务员分类、录用、考核、职务任免与升降、奖惩、培训、交流与回避、辞职辞退、申诉控告、职位聘任等方面的法律、法规、规章和方针政策；负责组织参照公务员法单位的申报和管理工作；承办法定、委托或授权管理领导人员的人事任免事项；综合管理奖励表彰工作。</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12</w:t>
      </w:r>
      <w:r>
        <w:rPr>
          <w:rFonts w:hint="eastAsia" w:ascii="方正仿宋_GBK" w:eastAsia="方正仿宋_GBK" w:cs="Times New Roman"/>
          <w:sz w:val="32"/>
          <w:szCs w:val="32"/>
        </w:rPr>
        <w:t>、组织拟订农村劳务开发管理规划；贯彻执行农民工工作综合性政策；协调解决重点难点问题，维护农民工合法权益。</w:t>
      </w:r>
    </w:p>
    <w:p>
      <w:pPr>
        <w:snapToGrid w:val="0"/>
        <w:spacing w:line="60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13</w:t>
      </w:r>
      <w:r>
        <w:rPr>
          <w:rFonts w:hint="eastAsia" w:ascii="方正仿宋_GBK" w:eastAsia="方正仿宋_GBK" w:cs="Times New Roman"/>
          <w:sz w:val="32"/>
          <w:szCs w:val="32"/>
        </w:rPr>
        <w:t>、统筹实施劳动、人事争议调解仲裁制度；落实劳动关系政策，完善劳动关系协调机制；监督落实消除非法使用童工政策和女工、未成年工的特殊劳动保护政策；组织实施劳动保障监察，协调劳动者维权工作，依法查处重大案件。</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hAnsi="Times New Roman" w:eastAsia="方正仿宋_GBK" w:cs="Times New Roman"/>
          <w:sz w:val="32"/>
          <w:szCs w:val="32"/>
        </w:rPr>
        <w:t>14</w:t>
      </w:r>
      <w:r>
        <w:rPr>
          <w:rFonts w:hint="eastAsia" w:ascii="方正仿宋_GBK" w:eastAsia="方正仿宋_GBK" w:cs="Times New Roman"/>
          <w:sz w:val="32"/>
          <w:szCs w:val="32"/>
        </w:rPr>
        <w:t>、承办县政府交办的其他事项。</w:t>
      </w:r>
    </w:p>
    <w:p>
      <w:pPr>
        <w:pStyle w:val="4"/>
        <w:shd w:val="clear" w:color="auto" w:fill="FFFFFF"/>
        <w:spacing w:before="0" w:beforeAutospacing="0" w:after="0" w:afterAutospacing="0" w:line="600" w:lineRule="exact"/>
        <w:ind w:firstLine="640" w:firstLineChars="200"/>
        <w:rPr>
          <w:rStyle w:val="7"/>
        </w:rPr>
      </w:pPr>
      <w:r>
        <w:rPr>
          <w:rStyle w:val="7"/>
          <w:rFonts w:hint="eastAsia" w:ascii="方正仿宋_GBK" w:eastAsia="方正仿宋_GBK"/>
          <w:sz w:val="32"/>
          <w:szCs w:val="32"/>
        </w:rPr>
        <w:t>（二）机构设置</w:t>
      </w:r>
    </w:p>
    <w:p>
      <w:pPr>
        <w:pStyle w:val="4"/>
        <w:shd w:val="clear" w:color="auto" w:fill="FFFFFF"/>
        <w:spacing w:before="0" w:beforeAutospacing="0" w:after="0" w:afterAutospacing="0" w:line="600" w:lineRule="exact"/>
        <w:ind w:firstLine="640" w:firstLineChars="200"/>
      </w:pPr>
      <w:r>
        <w:rPr>
          <w:rFonts w:hint="eastAsia" w:ascii="方正仿宋_GBK" w:eastAsia="方正仿宋_GBK" w:cs="Times New Roman"/>
          <w:sz w:val="32"/>
          <w:szCs w:val="32"/>
        </w:rPr>
        <w:t>丰都县人力资源和社会保障局内设</w:t>
      </w:r>
      <w:r>
        <w:rPr>
          <w:rFonts w:hint="eastAsia" w:ascii="方正仿宋_GBK" w:hAnsi="Times New Roman" w:eastAsia="方正仿宋_GBK" w:cs="Times New Roman"/>
          <w:sz w:val="32"/>
          <w:szCs w:val="32"/>
        </w:rPr>
        <w:t>8</w:t>
      </w:r>
      <w:r>
        <w:rPr>
          <w:rFonts w:hint="eastAsia" w:ascii="方正仿宋_GBK" w:eastAsia="方正仿宋_GBK" w:cs="Times New Roman"/>
          <w:sz w:val="32"/>
          <w:szCs w:val="32"/>
        </w:rPr>
        <w:t>个职能科室，分别是：办公室、事业单位人事管理科（职称改革办公室）、机关事业单位工资福利科、就业和人才科、劳动监察仲裁科（政策法规科）、社会保障科（县劳动能力鉴定委员会办公室）、行政审批服务科、社保基金监督科。</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（三）单位构成</w:t>
      </w:r>
    </w:p>
    <w:p>
      <w:pPr>
        <w:pStyle w:val="4"/>
        <w:shd w:val="clear" w:color="auto" w:fill="FFFFFF"/>
        <w:spacing w:before="0" w:beforeAutospacing="0" w:after="0" w:afterAutospacing="0" w:line="600" w:lineRule="exact"/>
        <w:ind w:firstLine="640" w:firstLineChars="200"/>
        <w:rPr>
          <w:rFonts w:hint="eastAsia" w:ascii="方正仿宋_GBK" w:eastAsia="方正仿宋_GBK"/>
          <w:sz w:val="32"/>
          <w:szCs w:val="32"/>
        </w:rPr>
      </w:pPr>
      <w:r>
        <w:rPr>
          <w:rFonts w:hint="eastAsia" w:ascii="方正仿宋_GBK" w:eastAsia="方正仿宋_GBK"/>
          <w:sz w:val="32"/>
          <w:szCs w:val="32"/>
        </w:rPr>
        <w:t>从预算单位构成看，纳入本部门2020年度决算编制的二级预算单位主要包括丰都县人力资源和社会保障局（本级）、丰都县社会保险事务中心、丰都县就业和人才中心、丰都县人力资源和社会保障局行政执法支队、丰都县人力资源考试测评服务中心。</w:t>
      </w:r>
    </w:p>
    <w:p>
      <w:pPr>
        <w:pStyle w:val="4"/>
        <w:shd w:val="clear" w:color="auto" w:fill="FFFFFF"/>
        <w:spacing w:before="0" w:beforeAutospacing="0" w:after="0" w:afterAutospacing="0" w:line="600" w:lineRule="exact"/>
        <w:ind w:firstLine="640" w:firstLineChars="200"/>
        <w:rPr>
          <w:rStyle w:val="7"/>
          <w:rFonts w:ascii="方正黑体_GBK" w:eastAsia="方正黑体_GBK"/>
        </w:rPr>
      </w:pPr>
      <w:r>
        <w:rPr>
          <w:rStyle w:val="7"/>
          <w:rFonts w:hint="eastAsia" w:ascii="方正黑体_GBK" w:eastAsia="方正黑体_GBK"/>
          <w:b w:val="0"/>
          <w:sz w:val="32"/>
          <w:szCs w:val="32"/>
        </w:rPr>
        <w:t>二、部门决算情况说明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（一）收入支出决算总体情况说明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1.总体情况。</w:t>
      </w:r>
      <w:r>
        <w:rPr>
          <w:rFonts w:hint="eastAsia" w:ascii="方正仿宋_GBK" w:eastAsia="方正仿宋_GBK"/>
          <w:sz w:val="32"/>
          <w:szCs w:val="32"/>
        </w:rPr>
        <w:t>2022年度收入总计819.35万元，支出总计819.35万元。收支较上年决算数增加76.29万元,增长10.3%，主要原因是有上年结转结余资金111.12万元（其中农民工工资应急保障金100万元）。</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2.收入情况。</w:t>
      </w:r>
      <w:r>
        <w:rPr>
          <w:rFonts w:hint="eastAsia" w:ascii="方正仿宋_GBK" w:eastAsia="方正仿宋_GBK"/>
          <w:sz w:val="32"/>
          <w:szCs w:val="32"/>
        </w:rPr>
        <w:t>2022年度收入合计708.22万元，较上年决算数增加6.19万元，增长0.9%，主要原因是政策性增资，增加了工资、社保、公积金等收入。其中：财政拨款收入708.22万元，占100%。此外，使用非财政拨款结余0万元，年初结转和结余111.12万元。</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3.支出情况。</w:t>
      </w:r>
      <w:r>
        <w:rPr>
          <w:rFonts w:hint="eastAsia" w:ascii="方正仿宋_GBK" w:eastAsia="方正仿宋_GBK"/>
          <w:sz w:val="32"/>
          <w:szCs w:val="32"/>
        </w:rPr>
        <w:t>2022年度支出合计708.22万元，较上年决算增加102.71万元，增长17%，主要原因一是政策性增资，增加了工资、社保、公积金等收入；二是2022年度有退休人员死亡，增加了死亡抚恤金支出。其中：基本支出465.86万元，占65.8%；项目支出242.36万元，占34.2%。此外，结余分配0万元。</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4.结转结余情况。</w:t>
      </w:r>
      <w:r>
        <w:rPr>
          <w:rFonts w:hint="eastAsia" w:ascii="方正仿宋_GBK" w:eastAsia="方正仿宋_GBK"/>
          <w:sz w:val="32"/>
          <w:szCs w:val="32"/>
        </w:rPr>
        <w:t>2022年度年末结转和结余111.12万元，较上年决算数减少26.44万元，下降19.2%，主要原因是财政代管资金中的往来资金支出。</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（二）财政拨款收入支出决算总体情况说明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2022年度财政拨款收、支总计819.35万元。与2021年相比，财政拨款收、支总计各增加105.10万元，增长14.7%。主要原因是有上年结转结余资金111.12万元（其中农民工工资应急保障金100万元）。</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（三）一般公共预算财政拨款收入支出决算情况说明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1.收入情况。</w:t>
      </w:r>
      <w:r>
        <w:rPr>
          <w:rFonts w:hint="eastAsia" w:ascii="方正仿宋_GBK" w:eastAsia="方正仿宋_GBK"/>
          <w:sz w:val="32"/>
          <w:szCs w:val="32"/>
        </w:rPr>
        <w:t>2022年度一般公共预算财政拨款收入708.22万元，较上年决算数增加6.19万元，增长0.9%。主要原因是政策性增资，增加了工资、社保、公积金等收入。较年初预算数增加195.44万元，增长38.1%。主要原因是2022年生态环保工作先进个人表彰40万元、渝薪芯工资软件升级服务费66.36万元、 “三支一扶”人员安家费4.8万元、2022年社会保障专项经费44.93万元是年中新增项目，年初未纳入预算。此外，年初财政拨款结转和结余111.12万元。</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2.支出情况。</w:t>
      </w:r>
      <w:r>
        <w:rPr>
          <w:rFonts w:hint="eastAsia" w:ascii="方正仿宋_GBK" w:eastAsia="方正仿宋_GBK"/>
          <w:sz w:val="32"/>
          <w:szCs w:val="32"/>
        </w:rPr>
        <w:t>2022年度一般公共预算财政拨款支出708.22万元，较上年决算数增加105.09万元，增长17.4%。主要原因是新增了2022年生态环保工作先进个人表彰40万元、渝薪芯工资软件升级服务费66.36万元。较年初预算数增加195.44万元，增长38.1%。主要原因是2022年生态环保工作先进个人表彰40万元、渝薪芯工资软件升级服务费66.36万元、 “三支一扶”人员安家费4.8万元、2022年社会保障专项经费44.93万元是年中新增项目，年初未纳入预算。</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3.结转结余情况。</w:t>
      </w:r>
      <w:r>
        <w:rPr>
          <w:rFonts w:hint="eastAsia" w:ascii="方正仿宋_GBK" w:eastAsia="方正仿宋_GBK"/>
          <w:sz w:val="32"/>
          <w:szCs w:val="32"/>
        </w:rPr>
        <w:t>2022年度年末一般公共预算财政拨款结转和结余111.12万元，较上年决算数无增减。</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4.比较情况。</w:t>
      </w:r>
      <w:r>
        <w:rPr>
          <w:rFonts w:hint="eastAsia" w:ascii="方正仿宋_GBK" w:eastAsia="方正仿宋_GBK"/>
          <w:sz w:val="32"/>
          <w:szCs w:val="32"/>
        </w:rPr>
        <w:t xml:space="preserve">本部门2022年度一般公共预算财政拨款支出主要用于以下几个方面： </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（1）社会保障与就业支出669.26万元，占94.5%，较年初预算数增加195.44万元，增长41.2%，主要原因是2022年生态环保工作先进个人表彰40万元、渝薪芯工资软件升级服务费66.36万元、 “三支一扶”人员安家费4.8万元、2022年社会保障专项经费44.93万元是年中新增项目，年初未纳入预算。</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（2）卫生健康支出21.63万元，占3.1%，较年初预算数无增减。</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（3）住房保障支出17.34万元，占2.4%，较年初预算数无增减。</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（四）一般公共预算财政拨款基本支出决算情况说明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2022年度一般公共预算财政拨款基本支出465.86万元。其中：人员经费418.55万元，较上年决算数增加35.98万元，增长9.4%，主要原因一是政策性增资，增加了工资、社保、公积金等收入；二是2022年度有退休人员死亡，增加了死亡抚恤金支出。人员经费用途主要包括基本工资、津贴补贴、奖金、社会保障缴费、公积金缴费、平时考核、目标绩效考核等。公用经费47.31万元，较上年决算数减少6.70万元，下降12.4%，主要原因是厉行节约，办公用品费用减少。公用经费用途主要包括办公费、印刷费、差旅费、食堂用餐伙食费、委托业务费等。</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（五）政府性基金预算收支决算情况说明。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本单位2022年度无政府性基金预算财政拨款收支。</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（六）国有资本经营预算财政拨款支出决算情况说明。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本单位2022年度无国有资本经营预算财政拨款支出。</w:t>
      </w:r>
    </w:p>
    <w:p>
      <w:pPr>
        <w:pStyle w:val="4"/>
        <w:shd w:val="clear" w:color="auto" w:fill="FFFFFF"/>
        <w:spacing w:before="0" w:beforeAutospacing="0" w:after="0" w:afterAutospacing="0" w:line="600" w:lineRule="exact"/>
        <w:ind w:firstLine="640" w:firstLineChars="200"/>
        <w:rPr>
          <w:rStyle w:val="7"/>
          <w:rFonts w:ascii="方正黑体_GBK" w:eastAsia="方正黑体_GBK"/>
        </w:rPr>
      </w:pPr>
      <w:r>
        <w:rPr>
          <w:rStyle w:val="7"/>
          <w:rFonts w:hint="eastAsia" w:ascii="方正黑体_GBK" w:eastAsia="方正黑体_GBK"/>
          <w:b w:val="0"/>
          <w:sz w:val="32"/>
          <w:szCs w:val="32"/>
        </w:rPr>
        <w:t>三、“三公”经费情况说明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（一）“三公”经费支出总体情况说明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2022年度“三公”经费支出共计0.76万元，较年初预算数减少3.24万元，下降81%，主要原因是强化公务接待支出管理，严格遵守公务接待开支范围和开支标准等。较上年支出数增加0.16万元，增长26.7%，主要原因是2022年度市级专项检查较2021年有所增加，接待人数略为上升。</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（二）“三公”经费分项支出情况</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sz w:val="32"/>
          <w:szCs w:val="32"/>
        </w:rPr>
        <w:t>1</w:t>
      </w:r>
      <w:r>
        <w:rPr>
          <w:rFonts w:ascii="方正仿宋_GBK" w:eastAsia="方正仿宋_GBK"/>
          <w:sz w:val="32"/>
          <w:szCs w:val="32"/>
        </w:rPr>
        <w:t>.</w:t>
      </w:r>
      <w:r>
        <w:rPr>
          <w:rFonts w:hint="eastAsia" w:ascii="方正仿宋_GBK" w:eastAsia="方正仿宋_GBK"/>
          <w:sz w:val="32"/>
          <w:szCs w:val="32"/>
        </w:rPr>
        <w:t>本单位2022年度未发生因公出国（境）费用，</w:t>
      </w:r>
      <w:r>
        <w:rPr>
          <w:rFonts w:hint="eastAsia" w:ascii="方正仿宋_GBK" w:eastAsia="方正仿宋_GBK"/>
          <w:color w:val="000000"/>
          <w:sz w:val="32"/>
          <w:szCs w:val="32"/>
        </w:rPr>
        <w:t>与年初预算数及上年决算数持平。</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sz w:val="32"/>
          <w:szCs w:val="32"/>
        </w:rPr>
        <w:t>2</w:t>
      </w:r>
      <w:r>
        <w:rPr>
          <w:rFonts w:ascii="方正仿宋_GBK" w:eastAsia="方正仿宋_GBK"/>
          <w:sz w:val="32"/>
          <w:szCs w:val="32"/>
        </w:rPr>
        <w:t>.</w:t>
      </w:r>
      <w:r>
        <w:rPr>
          <w:rFonts w:hint="eastAsia" w:ascii="方正仿宋_GBK" w:eastAsia="方正仿宋_GBK"/>
          <w:sz w:val="32"/>
          <w:szCs w:val="32"/>
        </w:rPr>
        <w:t>本单位2022年度未发生公务车购置费，</w:t>
      </w:r>
      <w:r>
        <w:rPr>
          <w:rFonts w:hint="eastAsia" w:ascii="方正仿宋_GBK" w:eastAsia="方正仿宋_GBK"/>
          <w:color w:val="000000"/>
          <w:sz w:val="32"/>
          <w:szCs w:val="32"/>
        </w:rPr>
        <w:t>与年初预算数及上年决算数持平。</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sz w:val="32"/>
          <w:szCs w:val="32"/>
        </w:rPr>
        <w:t>3</w:t>
      </w:r>
      <w:r>
        <w:rPr>
          <w:rFonts w:ascii="方正仿宋_GBK" w:eastAsia="方正仿宋_GBK"/>
          <w:sz w:val="32"/>
          <w:szCs w:val="32"/>
        </w:rPr>
        <w:t>.</w:t>
      </w:r>
      <w:r>
        <w:rPr>
          <w:rFonts w:hint="eastAsia" w:ascii="方正仿宋_GBK" w:eastAsia="方正仿宋_GBK"/>
          <w:sz w:val="32"/>
          <w:szCs w:val="32"/>
        </w:rPr>
        <w:t>本单位2022年度未发生公务车运行维护费，</w:t>
      </w:r>
      <w:r>
        <w:rPr>
          <w:rFonts w:hint="eastAsia" w:ascii="方正仿宋_GBK" w:eastAsia="方正仿宋_GBK"/>
          <w:color w:val="000000"/>
          <w:sz w:val="32"/>
          <w:szCs w:val="32"/>
        </w:rPr>
        <w:t>与年初预算数及上年决算数持平。</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4</w:t>
      </w:r>
      <w:r>
        <w:rPr>
          <w:rFonts w:ascii="方正仿宋_GBK" w:eastAsia="方正仿宋_GBK"/>
          <w:sz w:val="32"/>
          <w:szCs w:val="32"/>
        </w:rPr>
        <w:t>.</w:t>
      </w:r>
      <w:r>
        <w:rPr>
          <w:rFonts w:hint="eastAsia" w:ascii="方正仿宋_GBK" w:eastAsia="方正仿宋_GBK"/>
          <w:sz w:val="32"/>
          <w:szCs w:val="32"/>
        </w:rPr>
        <w:t>公务接待费0.76万元，主要用于接待市级部门和有关区县检查指导工作。费用支出较年初预算数减少3.24万元，下降81%，主要原因是强化公务接待支出管理，严格遵守公务接待开支范围和开支标准等。较上年支出数增加0.16万元，增长26.7%，主要原因是2022年度市级专项检查较2021年有所增加，接待人数略为上升。</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（三）“三公”经费实物量情况</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2022年度本部门因公出国（境）共计0个团组，0人；公务用车购置0辆，公务车保有量为0辆；国内公务接待9批次85人，其中：国内外事接待0批次，0人；国（境）外公务接待0批次，0人。2022年本部门人均接待费89.29元，车均购置费0.00万元，车均维护费0.00万元。</w:t>
      </w:r>
    </w:p>
    <w:p>
      <w:pPr>
        <w:pStyle w:val="4"/>
        <w:shd w:val="clear" w:color="auto" w:fill="FFFFFF"/>
        <w:spacing w:before="0" w:beforeAutospacing="0" w:after="0" w:afterAutospacing="0" w:line="600" w:lineRule="exact"/>
        <w:ind w:firstLine="640" w:firstLineChars="200"/>
        <w:rPr>
          <w:rStyle w:val="7"/>
          <w:rFonts w:ascii="方正黑体_GBK" w:eastAsia="方正黑体_GBK"/>
        </w:rPr>
      </w:pPr>
      <w:r>
        <w:rPr>
          <w:rStyle w:val="7"/>
          <w:rFonts w:hint="eastAsia" w:ascii="方正黑体_GBK" w:eastAsia="方正黑体_GBK"/>
          <w:b w:val="0"/>
          <w:sz w:val="32"/>
          <w:szCs w:val="32"/>
        </w:rPr>
        <w:t>四、其他需要说明的事项</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（一）财政拨款会议费和培训费情况说明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本年度会议费支出0.41万元，较上年决算数增加0.41万元，增长100%，主要原因是2022年度有全县新提拔县管干部宣誓会议支出0.41万元。本单位2021年度未发生培训费支出。</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（二）机关运行经费支出情况说明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2022年度本部门机关运行经费支出47.31万元，主要用于</w:t>
      </w:r>
      <w:bookmarkStart w:id="0" w:name="_GoBack"/>
      <w:bookmarkEnd w:id="0"/>
      <w:r>
        <w:rPr>
          <w:rFonts w:hint="eastAsia" w:ascii="方正仿宋_GBK" w:eastAsia="方正仿宋_GBK"/>
          <w:sz w:val="32"/>
          <w:szCs w:val="32"/>
          <w:lang w:eastAsia="zh-CN"/>
        </w:rPr>
        <w:t>开支</w:t>
      </w:r>
      <w:r>
        <w:rPr>
          <w:rFonts w:hint="eastAsia" w:ascii="方正仿宋_GBK" w:eastAsia="方正仿宋_GBK"/>
          <w:sz w:val="32"/>
          <w:szCs w:val="32"/>
        </w:rPr>
        <w:t>办公费、信息网络维护费、水电费、邮电费等机关运行经费。机关运行经费较上年决算数减少6.70万元，下降12.4%，主要原因是厉行节约，办公用品费用减少。</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（三）国有资产占用情况说明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（四）政府采购支出说明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2022年度本部门政府采购支出总额3.56万元，其中：政府采购货物支出3.56万元、政府采购工程支出0.00万元、政府采购服务支出0.00万元。授予中小企业合同金额3.56万元，占政府采购支出总额的100%，其中：授予小微企业合同金额3.56万元，占政府采购支出总额的100%。主要用于采购办公用电脑。</w:t>
      </w:r>
    </w:p>
    <w:p>
      <w:pPr>
        <w:pStyle w:val="4"/>
        <w:shd w:val="clear" w:color="auto" w:fill="FFFFFF"/>
        <w:spacing w:before="0" w:beforeAutospacing="0" w:after="0" w:afterAutospacing="0" w:line="600" w:lineRule="exact"/>
        <w:ind w:firstLine="640" w:firstLineChars="200"/>
        <w:rPr>
          <w:rStyle w:val="7"/>
          <w:rFonts w:ascii="方正黑体_GBK" w:eastAsia="方正黑体_GBK"/>
        </w:rPr>
      </w:pPr>
      <w:r>
        <w:rPr>
          <w:rStyle w:val="7"/>
          <w:rFonts w:hint="eastAsia" w:ascii="方正黑体_GBK" w:eastAsia="方正黑体_GBK"/>
          <w:b w:val="0"/>
          <w:sz w:val="32"/>
          <w:szCs w:val="32"/>
        </w:rPr>
        <w:t>五、预算绩效管理情况说明</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（一）预算绩效管理工作开展情况</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根据预算绩效管理要求，我单位对11个项目开展了绩效自评，其中，以填报自评表形式开展自评11项，涉及资金351.34万元。从评价情况来看，项目立项较为规范，绩效目标明确，预算编制合理，管理科学规范，资金到位及时，整体完成情况较好，有力保障了我县人力社保专项工作如：劳动能力鉴定、工伤认定、档案整理、工资统发、正高职称人员体检、事业单位公招、离退休人员慰问等工作顺利开展，各项目基本达到预期绩效目标。</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（二）绩效自评结果</w:t>
      </w:r>
      <w:r>
        <w:rPr>
          <w:rStyle w:val="7"/>
          <w:rFonts w:hint="eastAsia" w:ascii="方正仿宋_GBK" w:eastAsia="方正仿宋_GBK"/>
          <w:b w:val="0"/>
          <w:sz w:val="32"/>
          <w:szCs w:val="32"/>
        </w:rPr>
        <w:t>。</w:t>
      </w:r>
    </w:p>
    <w:p>
      <w:pPr>
        <w:pStyle w:val="4"/>
        <w:shd w:val="clear" w:color="auto" w:fill="FFFFFF"/>
        <w:spacing w:before="0" w:beforeAutospacing="0" w:after="0" w:afterAutospacing="0" w:line="600" w:lineRule="exact"/>
        <w:ind w:firstLine="640" w:firstLineChars="200"/>
        <w:rPr>
          <w:rStyle w:val="7"/>
          <w:b w:val="0"/>
        </w:rPr>
      </w:pPr>
      <w:r>
        <w:rPr>
          <w:rStyle w:val="7"/>
          <w:rFonts w:hint="eastAsia" w:ascii="方正仿宋_GBK" w:eastAsia="方正仿宋_GBK"/>
          <w:b w:val="0"/>
          <w:sz w:val="32"/>
          <w:szCs w:val="32"/>
        </w:rPr>
        <w:t>1.绩效目标自评表。</w:t>
      </w:r>
    </w:p>
    <w:tbl>
      <w:tblPr>
        <w:tblStyle w:val="5"/>
        <w:tblW w:w="9660" w:type="dxa"/>
        <w:tblInd w:w="93" w:type="dxa"/>
        <w:tblLayout w:type="fixed"/>
        <w:tblCellMar>
          <w:top w:w="0" w:type="dxa"/>
          <w:left w:w="108" w:type="dxa"/>
          <w:bottom w:w="0" w:type="dxa"/>
          <w:right w:w="108" w:type="dxa"/>
        </w:tblCellMar>
      </w:tblPr>
      <w:tblGrid>
        <w:gridCol w:w="761"/>
        <w:gridCol w:w="525"/>
        <w:gridCol w:w="430"/>
        <w:gridCol w:w="284"/>
        <w:gridCol w:w="283"/>
        <w:gridCol w:w="426"/>
        <w:gridCol w:w="335"/>
        <w:gridCol w:w="373"/>
        <w:gridCol w:w="872"/>
        <w:gridCol w:w="409"/>
        <w:gridCol w:w="420"/>
        <w:gridCol w:w="851"/>
        <w:gridCol w:w="372"/>
        <w:gridCol w:w="59"/>
        <w:gridCol w:w="278"/>
        <w:gridCol w:w="361"/>
        <w:gridCol w:w="347"/>
        <w:gridCol w:w="148"/>
        <w:gridCol w:w="25"/>
        <w:gridCol w:w="394"/>
        <w:gridCol w:w="264"/>
        <w:gridCol w:w="451"/>
        <w:gridCol w:w="419"/>
        <w:gridCol w:w="573"/>
      </w:tblGrid>
      <w:tr>
        <w:tblPrEx>
          <w:tblCellMar>
            <w:top w:w="0" w:type="dxa"/>
            <w:left w:w="108" w:type="dxa"/>
            <w:bottom w:w="0" w:type="dxa"/>
            <w:right w:w="108" w:type="dxa"/>
          </w:tblCellMar>
        </w:tblPrEx>
        <w:trPr>
          <w:trHeight w:val="101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项目名称：</w:t>
            </w:r>
          </w:p>
        </w:tc>
        <w:tc>
          <w:tcPr>
            <w:tcW w:w="1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事业单位公招工作经费</w:t>
            </w:r>
          </w:p>
        </w:tc>
        <w:tc>
          <w:tcPr>
            <w:tcW w:w="7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项目编码：</w:t>
            </w:r>
          </w:p>
        </w:tc>
        <w:tc>
          <w:tcPr>
            <w:tcW w:w="165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50023022T000000143607</w:t>
            </w:r>
          </w:p>
        </w:tc>
        <w:tc>
          <w:tcPr>
            <w:tcW w:w="16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自评总分：</w:t>
            </w:r>
          </w:p>
        </w:tc>
        <w:tc>
          <w:tcPr>
            <w:tcW w:w="1218"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100.00</w:t>
            </w:r>
          </w:p>
        </w:tc>
        <w:tc>
          <w:tcPr>
            <w:tcW w:w="6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bCs/>
                <w:color w:val="000000"/>
                <w:sz w:val="21"/>
                <w:szCs w:val="21"/>
              </w:rPr>
            </w:pPr>
            <w:r>
              <w:rPr>
                <w:rFonts w:hint="eastAsia" w:ascii="方正仿宋_GBK" w:eastAsia="方正仿宋_GBK"/>
                <w:bCs/>
                <w:color w:val="000000"/>
                <w:sz w:val="21"/>
                <w:szCs w:val="21"/>
              </w:rPr>
              <w:t>　</w:t>
            </w:r>
          </w:p>
        </w:tc>
        <w:tc>
          <w:tcPr>
            <w:tcW w:w="144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r>
      <w:tr>
        <w:tblPrEx>
          <w:tblCellMar>
            <w:top w:w="0" w:type="dxa"/>
            <w:left w:w="108" w:type="dxa"/>
            <w:bottom w:w="0" w:type="dxa"/>
            <w:right w:w="108" w:type="dxa"/>
          </w:tblCellMar>
        </w:tblPrEx>
        <w:trPr>
          <w:trHeight w:val="1692" w:hRule="atLeast"/>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项目主管部门：</w:t>
            </w:r>
          </w:p>
        </w:tc>
        <w:tc>
          <w:tcPr>
            <w:tcW w:w="1522"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407-丰都县人力资源和社会保障局</w:t>
            </w:r>
          </w:p>
        </w:tc>
        <w:tc>
          <w:tcPr>
            <w:tcW w:w="761"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财政归口处室：</w:t>
            </w:r>
          </w:p>
        </w:tc>
        <w:tc>
          <w:tcPr>
            <w:tcW w:w="165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004-社保科</w:t>
            </w:r>
          </w:p>
        </w:tc>
        <w:tc>
          <w:tcPr>
            <w:tcW w:w="164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部门联系人：</w:t>
            </w:r>
          </w:p>
        </w:tc>
        <w:tc>
          <w:tcPr>
            <w:tcW w:w="1218"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陈红</w:t>
            </w:r>
          </w:p>
        </w:tc>
        <w:tc>
          <w:tcPr>
            <w:tcW w:w="658"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联系电话：</w:t>
            </w:r>
          </w:p>
        </w:tc>
        <w:tc>
          <w:tcPr>
            <w:tcW w:w="1443"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70717899</w:t>
            </w:r>
          </w:p>
        </w:tc>
      </w:tr>
      <w:tr>
        <w:tblPrEx>
          <w:tblCellMar>
            <w:top w:w="0" w:type="dxa"/>
            <w:left w:w="108" w:type="dxa"/>
            <w:bottom w:w="0" w:type="dxa"/>
            <w:right w:w="108" w:type="dxa"/>
          </w:tblCellMar>
        </w:tblPrEx>
        <w:trPr>
          <w:trHeight w:val="420" w:hRule="atLeast"/>
        </w:trPr>
        <w:tc>
          <w:tcPr>
            <w:tcW w:w="9660" w:type="dxa"/>
            <w:gridSpan w:val="2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hAnsi="微软雅黑" w:eastAsia="方正仿宋_GBK"/>
                <w:bCs/>
                <w:color w:val="7F7F7F"/>
                <w:sz w:val="21"/>
                <w:szCs w:val="21"/>
              </w:rPr>
            </w:pPr>
            <w:r>
              <w:rPr>
                <w:rFonts w:hint="eastAsia" w:ascii="方正仿宋_GBK" w:hAnsi="微软雅黑" w:eastAsia="方正仿宋_GBK"/>
                <w:bCs/>
                <w:color w:val="7F7F7F"/>
                <w:sz w:val="21"/>
                <w:szCs w:val="21"/>
              </w:rPr>
              <w:t>资金情况</w:t>
            </w:r>
          </w:p>
        </w:tc>
      </w:tr>
      <w:tr>
        <w:tblPrEx>
          <w:tblCellMar>
            <w:top w:w="0" w:type="dxa"/>
            <w:left w:w="108" w:type="dxa"/>
            <w:bottom w:w="0" w:type="dxa"/>
            <w:right w:w="108" w:type="dxa"/>
          </w:tblCellMar>
        </w:tblPrEx>
        <w:trPr>
          <w:trHeight w:val="810" w:hRule="atLeast"/>
        </w:trPr>
        <w:tc>
          <w:tcPr>
            <w:tcW w:w="1716"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c>
          <w:tcPr>
            <w:tcW w:w="1328"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年初预算数</w:t>
            </w:r>
          </w:p>
        </w:tc>
        <w:tc>
          <w:tcPr>
            <w:tcW w:w="1654" w:type="dxa"/>
            <w:gridSpan w:val="3"/>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全年（调整）预算数</w:t>
            </w:r>
          </w:p>
        </w:tc>
        <w:tc>
          <w:tcPr>
            <w:tcW w:w="1702"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全年执行数</w:t>
            </w:r>
          </w:p>
        </w:tc>
        <w:tc>
          <w:tcPr>
            <w:tcW w:w="1134" w:type="dxa"/>
            <w:gridSpan w:val="4"/>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执行率</w:t>
            </w:r>
          </w:p>
        </w:tc>
        <w:tc>
          <w:tcPr>
            <w:tcW w:w="1134"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执行率权重</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执行率得分</w:t>
            </w:r>
          </w:p>
        </w:tc>
      </w:tr>
      <w:tr>
        <w:tblPrEx>
          <w:tblCellMar>
            <w:top w:w="0" w:type="dxa"/>
            <w:left w:w="108" w:type="dxa"/>
            <w:bottom w:w="0" w:type="dxa"/>
            <w:right w:w="108" w:type="dxa"/>
          </w:tblCellMar>
        </w:tblPrEx>
        <w:trPr>
          <w:trHeight w:val="270" w:hRule="atLeast"/>
        </w:trPr>
        <w:tc>
          <w:tcPr>
            <w:tcW w:w="171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年度总金额</w:t>
            </w:r>
          </w:p>
        </w:tc>
        <w:tc>
          <w:tcPr>
            <w:tcW w:w="132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 xml:space="preserve">300,000.00 </w:t>
            </w:r>
          </w:p>
        </w:tc>
        <w:tc>
          <w:tcPr>
            <w:tcW w:w="165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xml:space="preserve">300,000.00 </w:t>
            </w:r>
          </w:p>
        </w:tc>
        <w:tc>
          <w:tcPr>
            <w:tcW w:w="1702"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xml:space="preserve">300,000.00 </w:t>
            </w:r>
          </w:p>
        </w:tc>
        <w:tc>
          <w:tcPr>
            <w:tcW w:w="1134"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c>
          <w:tcPr>
            <w:tcW w:w="1134"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sz w:val="21"/>
                <w:szCs w:val="21"/>
              </w:rPr>
            </w:pPr>
            <w:r>
              <w:rPr>
                <w:rFonts w:hint="eastAsia" w:ascii="方正仿宋_GBK" w:eastAsia="方正仿宋_GBK"/>
                <w:sz w:val="21"/>
                <w:szCs w:val="21"/>
              </w:rPr>
              <w:t>　</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sz w:val="21"/>
                <w:szCs w:val="21"/>
              </w:rPr>
            </w:pPr>
            <w:r>
              <w:rPr>
                <w:rFonts w:hint="eastAsia" w:ascii="方正仿宋_GBK" w:eastAsia="方正仿宋_GBK"/>
                <w:sz w:val="21"/>
                <w:szCs w:val="21"/>
              </w:rPr>
              <w:t>　</w:t>
            </w:r>
          </w:p>
        </w:tc>
      </w:tr>
      <w:tr>
        <w:tblPrEx>
          <w:tblCellMar>
            <w:top w:w="0" w:type="dxa"/>
            <w:left w:w="108" w:type="dxa"/>
            <w:bottom w:w="0" w:type="dxa"/>
            <w:right w:w="108" w:type="dxa"/>
          </w:tblCellMar>
        </w:tblPrEx>
        <w:trPr>
          <w:trHeight w:val="270" w:hRule="atLeast"/>
        </w:trPr>
        <w:tc>
          <w:tcPr>
            <w:tcW w:w="171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其中：财政拨款</w:t>
            </w:r>
          </w:p>
        </w:tc>
        <w:tc>
          <w:tcPr>
            <w:tcW w:w="1328"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 xml:space="preserve">300,000.00 </w:t>
            </w:r>
          </w:p>
        </w:tc>
        <w:tc>
          <w:tcPr>
            <w:tcW w:w="1654"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xml:space="preserve">300,000.00 </w:t>
            </w:r>
          </w:p>
        </w:tc>
        <w:tc>
          <w:tcPr>
            <w:tcW w:w="1702"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xml:space="preserve">300,000.00 </w:t>
            </w:r>
          </w:p>
        </w:tc>
        <w:tc>
          <w:tcPr>
            <w:tcW w:w="1134"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100</w:t>
            </w:r>
          </w:p>
        </w:tc>
        <w:tc>
          <w:tcPr>
            <w:tcW w:w="1134"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sz w:val="21"/>
                <w:szCs w:val="21"/>
              </w:rPr>
            </w:pPr>
            <w:r>
              <w:rPr>
                <w:rFonts w:hint="eastAsia" w:ascii="方正仿宋_GBK" w:eastAsia="方正仿宋_GBK"/>
                <w:sz w:val="21"/>
                <w:szCs w:val="21"/>
              </w:rPr>
              <w:t>10.00</w:t>
            </w:r>
          </w:p>
        </w:tc>
        <w:tc>
          <w:tcPr>
            <w:tcW w:w="992"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sz w:val="21"/>
                <w:szCs w:val="21"/>
              </w:rPr>
            </w:pPr>
            <w:r>
              <w:rPr>
                <w:rFonts w:hint="eastAsia" w:ascii="方正仿宋_GBK" w:eastAsia="方正仿宋_GBK"/>
                <w:sz w:val="21"/>
                <w:szCs w:val="21"/>
              </w:rPr>
              <w:t xml:space="preserve">10.00 </w:t>
            </w:r>
          </w:p>
        </w:tc>
      </w:tr>
      <w:tr>
        <w:tblPrEx>
          <w:tblCellMar>
            <w:top w:w="0" w:type="dxa"/>
            <w:left w:w="108" w:type="dxa"/>
            <w:bottom w:w="0" w:type="dxa"/>
            <w:right w:w="108" w:type="dxa"/>
          </w:tblCellMar>
        </w:tblPrEx>
        <w:trPr>
          <w:trHeight w:val="420" w:hRule="atLeast"/>
        </w:trPr>
        <w:tc>
          <w:tcPr>
            <w:tcW w:w="9660" w:type="dxa"/>
            <w:gridSpan w:val="2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hAnsi="微软雅黑" w:eastAsia="方正仿宋_GBK"/>
                <w:bCs/>
                <w:color w:val="7F7F7F"/>
                <w:sz w:val="21"/>
                <w:szCs w:val="21"/>
              </w:rPr>
            </w:pPr>
            <w:r>
              <w:rPr>
                <w:rFonts w:hint="eastAsia" w:ascii="方正仿宋_GBK" w:hAnsi="微软雅黑" w:eastAsia="方正仿宋_GBK"/>
                <w:bCs/>
                <w:color w:val="7F7F7F"/>
                <w:sz w:val="21"/>
                <w:szCs w:val="21"/>
              </w:rPr>
              <w:t>绩效目标</w:t>
            </w:r>
          </w:p>
        </w:tc>
      </w:tr>
      <w:tr>
        <w:tblPrEx>
          <w:tblCellMar>
            <w:top w:w="0" w:type="dxa"/>
            <w:left w:w="108" w:type="dxa"/>
            <w:bottom w:w="0" w:type="dxa"/>
            <w:right w:w="108" w:type="dxa"/>
          </w:tblCellMar>
        </w:tblPrEx>
        <w:trPr>
          <w:trHeight w:val="270" w:hRule="atLeast"/>
        </w:trPr>
        <w:tc>
          <w:tcPr>
            <w:tcW w:w="304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bCs/>
                <w:color w:val="000000"/>
                <w:sz w:val="21"/>
                <w:szCs w:val="21"/>
              </w:rPr>
            </w:pPr>
            <w:r>
              <w:rPr>
                <w:rFonts w:hint="eastAsia" w:ascii="方正仿宋_GBK" w:eastAsia="方正仿宋_GBK"/>
                <w:bCs/>
                <w:color w:val="000000"/>
                <w:sz w:val="21"/>
                <w:szCs w:val="21"/>
              </w:rPr>
              <w:t>年初绩效目标</w:t>
            </w:r>
          </w:p>
        </w:tc>
        <w:tc>
          <w:tcPr>
            <w:tcW w:w="3995" w:type="dxa"/>
            <w:gridSpan w:val="9"/>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bCs/>
                <w:color w:val="000000"/>
                <w:sz w:val="21"/>
                <w:szCs w:val="21"/>
              </w:rPr>
            </w:pPr>
            <w:r>
              <w:rPr>
                <w:rFonts w:hint="eastAsia" w:ascii="方正仿宋_GBK" w:eastAsia="方正仿宋_GBK"/>
                <w:bCs/>
                <w:color w:val="000000"/>
                <w:sz w:val="21"/>
                <w:szCs w:val="21"/>
              </w:rPr>
              <w:t>全年（调整）绩效目标</w:t>
            </w:r>
          </w:p>
        </w:tc>
        <w:tc>
          <w:tcPr>
            <w:tcW w:w="2621" w:type="dxa"/>
            <w:gridSpan w:val="8"/>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全年目标实际完成情况</w:t>
            </w:r>
          </w:p>
        </w:tc>
      </w:tr>
      <w:tr>
        <w:tblPrEx>
          <w:tblCellMar>
            <w:top w:w="0" w:type="dxa"/>
            <w:left w:w="108" w:type="dxa"/>
            <w:bottom w:w="0" w:type="dxa"/>
            <w:right w:w="108" w:type="dxa"/>
          </w:tblCellMar>
        </w:tblPrEx>
        <w:trPr>
          <w:trHeight w:val="1860" w:hRule="atLeast"/>
        </w:trPr>
        <w:tc>
          <w:tcPr>
            <w:tcW w:w="3044" w:type="dxa"/>
            <w:gridSpan w:val="7"/>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加强事业单位工作人员队伍建设，解决事业单位人手紧缺问题，推动各项经济事业发展。</w:t>
            </w:r>
          </w:p>
        </w:tc>
        <w:tc>
          <w:tcPr>
            <w:tcW w:w="3995" w:type="dxa"/>
            <w:gridSpan w:val="9"/>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c>
          <w:tcPr>
            <w:tcW w:w="2621" w:type="dxa"/>
            <w:gridSpan w:val="8"/>
            <w:tcBorders>
              <w:top w:val="single" w:color="auto" w:sz="4" w:space="0"/>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为我县事业单位招聘了328人，壮大了事业单位工作人员队伍，很大程度上解决了事业单位人手紧缺问题，对推动全县各项经济事业发展起到了积极作用。</w:t>
            </w:r>
          </w:p>
        </w:tc>
      </w:tr>
      <w:tr>
        <w:tblPrEx>
          <w:tblCellMar>
            <w:top w:w="0" w:type="dxa"/>
            <w:left w:w="108" w:type="dxa"/>
            <w:bottom w:w="0" w:type="dxa"/>
            <w:right w:w="108" w:type="dxa"/>
          </w:tblCellMar>
        </w:tblPrEx>
        <w:trPr>
          <w:trHeight w:val="420" w:hRule="atLeast"/>
        </w:trPr>
        <w:tc>
          <w:tcPr>
            <w:tcW w:w="9660" w:type="dxa"/>
            <w:gridSpan w:val="2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hAnsi="微软雅黑" w:eastAsia="方正仿宋_GBK"/>
                <w:bCs/>
                <w:color w:val="7F7F7F"/>
                <w:sz w:val="21"/>
                <w:szCs w:val="21"/>
              </w:rPr>
            </w:pPr>
            <w:r>
              <w:rPr>
                <w:rFonts w:hint="eastAsia" w:ascii="方正仿宋_GBK" w:hAnsi="微软雅黑" w:eastAsia="方正仿宋_GBK"/>
                <w:bCs/>
                <w:color w:val="7F7F7F"/>
                <w:sz w:val="21"/>
                <w:szCs w:val="21"/>
              </w:rPr>
              <w:t>绩效指标</w:t>
            </w:r>
          </w:p>
        </w:tc>
      </w:tr>
      <w:tr>
        <w:tblPrEx>
          <w:tblCellMar>
            <w:top w:w="0" w:type="dxa"/>
            <w:left w:w="108" w:type="dxa"/>
            <w:bottom w:w="0" w:type="dxa"/>
            <w:right w:w="108" w:type="dxa"/>
          </w:tblCellMar>
        </w:tblPrEx>
        <w:trPr>
          <w:trHeight w:val="810" w:hRule="atLeast"/>
        </w:trPr>
        <w:tc>
          <w:tcPr>
            <w:tcW w:w="1286"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指标名称</w:t>
            </w: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计量单位</w:t>
            </w:r>
          </w:p>
        </w:tc>
        <w:tc>
          <w:tcPr>
            <w:tcW w:w="70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指标性质</w:t>
            </w:r>
          </w:p>
        </w:tc>
        <w:tc>
          <w:tcPr>
            <w:tcW w:w="7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指标值</w:t>
            </w:r>
          </w:p>
        </w:tc>
        <w:tc>
          <w:tcPr>
            <w:tcW w:w="8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全年完成值</w:t>
            </w:r>
          </w:p>
        </w:tc>
        <w:tc>
          <w:tcPr>
            <w:tcW w:w="82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偏离度（%）</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得分系数（%）</w:t>
            </w:r>
          </w:p>
        </w:tc>
        <w:tc>
          <w:tcPr>
            <w:tcW w:w="709"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指标权重</w:t>
            </w:r>
          </w:p>
        </w:tc>
        <w:tc>
          <w:tcPr>
            <w:tcW w:w="7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指标得分</w:t>
            </w:r>
          </w:p>
        </w:tc>
        <w:tc>
          <w:tcPr>
            <w:tcW w:w="56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是否核心指标</w:t>
            </w:r>
          </w:p>
        </w:tc>
        <w:tc>
          <w:tcPr>
            <w:tcW w:w="1134"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bCs/>
                <w:color w:val="000000"/>
                <w:sz w:val="21"/>
                <w:szCs w:val="21"/>
              </w:rPr>
            </w:pPr>
            <w:r>
              <w:rPr>
                <w:rFonts w:hint="eastAsia" w:ascii="方正仿宋_GBK" w:eastAsia="方正仿宋_GBK"/>
                <w:bCs/>
                <w:color w:val="000000"/>
                <w:sz w:val="21"/>
                <w:szCs w:val="21"/>
              </w:rPr>
              <w:t>说明</w:t>
            </w:r>
          </w:p>
        </w:tc>
        <w:tc>
          <w:tcPr>
            <w:tcW w:w="5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sz w:val="21"/>
                <w:szCs w:val="21"/>
              </w:rPr>
            </w:pPr>
          </w:p>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sz w:val="21"/>
                <w:szCs w:val="21"/>
              </w:rPr>
            </w:pPr>
          </w:p>
        </w:tc>
      </w:tr>
      <w:tr>
        <w:tblPrEx>
          <w:tblCellMar>
            <w:top w:w="0" w:type="dxa"/>
            <w:left w:w="108" w:type="dxa"/>
            <w:bottom w:w="0" w:type="dxa"/>
            <w:right w:w="108" w:type="dxa"/>
          </w:tblCellMar>
        </w:tblPrEx>
        <w:trPr>
          <w:trHeight w:val="1080" w:hRule="atLeast"/>
        </w:trPr>
        <w:tc>
          <w:tcPr>
            <w:tcW w:w="1286"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通过公招招聘事业单位人员</w:t>
            </w: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人数</w:t>
            </w:r>
          </w:p>
        </w:tc>
        <w:tc>
          <w:tcPr>
            <w:tcW w:w="70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w:t>
            </w:r>
          </w:p>
        </w:tc>
        <w:tc>
          <w:tcPr>
            <w:tcW w:w="7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180</w:t>
            </w:r>
          </w:p>
        </w:tc>
        <w:tc>
          <w:tcPr>
            <w:tcW w:w="8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328</w:t>
            </w:r>
          </w:p>
        </w:tc>
        <w:tc>
          <w:tcPr>
            <w:tcW w:w="82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0</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100</w:t>
            </w:r>
          </w:p>
        </w:tc>
        <w:tc>
          <w:tcPr>
            <w:tcW w:w="709"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30</w:t>
            </w:r>
          </w:p>
        </w:tc>
        <w:tc>
          <w:tcPr>
            <w:tcW w:w="7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30</w:t>
            </w:r>
          </w:p>
        </w:tc>
        <w:tc>
          <w:tcPr>
            <w:tcW w:w="56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c>
          <w:tcPr>
            <w:tcW w:w="1134"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实际招聘328人</w:t>
            </w:r>
          </w:p>
        </w:tc>
        <w:tc>
          <w:tcPr>
            <w:tcW w:w="5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r>
      <w:tr>
        <w:tblPrEx>
          <w:tblCellMar>
            <w:top w:w="0" w:type="dxa"/>
            <w:left w:w="108" w:type="dxa"/>
            <w:bottom w:w="0" w:type="dxa"/>
            <w:right w:w="108" w:type="dxa"/>
          </w:tblCellMar>
        </w:tblPrEx>
        <w:trPr>
          <w:trHeight w:val="2430" w:hRule="atLeast"/>
        </w:trPr>
        <w:tc>
          <w:tcPr>
            <w:tcW w:w="1286"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组织考生参加事业单位公招考试</w:t>
            </w: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人数</w:t>
            </w:r>
          </w:p>
        </w:tc>
        <w:tc>
          <w:tcPr>
            <w:tcW w:w="70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w:t>
            </w:r>
          </w:p>
        </w:tc>
        <w:tc>
          <w:tcPr>
            <w:tcW w:w="7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3000</w:t>
            </w:r>
          </w:p>
        </w:tc>
        <w:tc>
          <w:tcPr>
            <w:tcW w:w="8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5260</w:t>
            </w:r>
          </w:p>
        </w:tc>
        <w:tc>
          <w:tcPr>
            <w:tcW w:w="82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0</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100</w:t>
            </w:r>
          </w:p>
        </w:tc>
        <w:tc>
          <w:tcPr>
            <w:tcW w:w="709"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20</w:t>
            </w:r>
          </w:p>
        </w:tc>
        <w:tc>
          <w:tcPr>
            <w:tcW w:w="7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20</w:t>
            </w:r>
          </w:p>
        </w:tc>
        <w:tc>
          <w:tcPr>
            <w:tcW w:w="56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c>
          <w:tcPr>
            <w:tcW w:w="1134"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因疫情影响，就业压力剧增，导致事业单位报考人数增加</w:t>
            </w:r>
          </w:p>
        </w:tc>
        <w:tc>
          <w:tcPr>
            <w:tcW w:w="5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r>
      <w:tr>
        <w:tblPrEx>
          <w:tblCellMar>
            <w:top w:w="0" w:type="dxa"/>
            <w:left w:w="108" w:type="dxa"/>
            <w:bottom w:w="0" w:type="dxa"/>
            <w:right w:w="108" w:type="dxa"/>
          </w:tblCellMar>
        </w:tblPrEx>
        <w:trPr>
          <w:trHeight w:val="1080" w:hRule="atLeast"/>
        </w:trPr>
        <w:tc>
          <w:tcPr>
            <w:tcW w:w="1286"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组织事业单位公招考试</w:t>
            </w: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场次</w:t>
            </w:r>
          </w:p>
        </w:tc>
        <w:tc>
          <w:tcPr>
            <w:tcW w:w="70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w:t>
            </w:r>
          </w:p>
        </w:tc>
        <w:tc>
          <w:tcPr>
            <w:tcW w:w="7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5</w:t>
            </w:r>
          </w:p>
        </w:tc>
        <w:tc>
          <w:tcPr>
            <w:tcW w:w="8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11</w:t>
            </w:r>
          </w:p>
        </w:tc>
        <w:tc>
          <w:tcPr>
            <w:tcW w:w="82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0</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100</w:t>
            </w:r>
          </w:p>
        </w:tc>
        <w:tc>
          <w:tcPr>
            <w:tcW w:w="709"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30</w:t>
            </w:r>
          </w:p>
        </w:tc>
        <w:tc>
          <w:tcPr>
            <w:tcW w:w="7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30</w:t>
            </w:r>
          </w:p>
        </w:tc>
        <w:tc>
          <w:tcPr>
            <w:tcW w:w="56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c>
          <w:tcPr>
            <w:tcW w:w="1134"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实际组织考试11场次</w:t>
            </w:r>
          </w:p>
        </w:tc>
        <w:tc>
          <w:tcPr>
            <w:tcW w:w="5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r>
      <w:tr>
        <w:tblPrEx>
          <w:tblCellMar>
            <w:top w:w="0" w:type="dxa"/>
            <w:left w:w="108" w:type="dxa"/>
            <w:bottom w:w="0" w:type="dxa"/>
            <w:right w:w="108" w:type="dxa"/>
          </w:tblCellMar>
        </w:tblPrEx>
        <w:trPr>
          <w:trHeight w:val="1350" w:hRule="atLeast"/>
        </w:trPr>
        <w:tc>
          <w:tcPr>
            <w:tcW w:w="1286"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加强事业单位工作人员队伍建设</w:t>
            </w: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c>
          <w:tcPr>
            <w:tcW w:w="70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定性</w:t>
            </w:r>
          </w:p>
        </w:tc>
        <w:tc>
          <w:tcPr>
            <w:tcW w:w="7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好</w:t>
            </w:r>
          </w:p>
        </w:tc>
        <w:tc>
          <w:tcPr>
            <w:tcW w:w="8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1</w:t>
            </w:r>
          </w:p>
        </w:tc>
        <w:tc>
          <w:tcPr>
            <w:tcW w:w="82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0</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100</w:t>
            </w:r>
          </w:p>
        </w:tc>
        <w:tc>
          <w:tcPr>
            <w:tcW w:w="709"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5</w:t>
            </w:r>
          </w:p>
        </w:tc>
        <w:tc>
          <w:tcPr>
            <w:tcW w:w="7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5</w:t>
            </w:r>
          </w:p>
        </w:tc>
        <w:tc>
          <w:tcPr>
            <w:tcW w:w="56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c>
          <w:tcPr>
            <w:tcW w:w="1134"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c>
          <w:tcPr>
            <w:tcW w:w="5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r>
      <w:tr>
        <w:tblPrEx>
          <w:tblCellMar>
            <w:top w:w="0" w:type="dxa"/>
            <w:left w:w="108" w:type="dxa"/>
            <w:bottom w:w="0" w:type="dxa"/>
            <w:right w:w="108" w:type="dxa"/>
          </w:tblCellMar>
        </w:tblPrEx>
        <w:trPr>
          <w:trHeight w:val="810" w:hRule="atLeast"/>
        </w:trPr>
        <w:tc>
          <w:tcPr>
            <w:tcW w:w="1286" w:type="dxa"/>
            <w:gridSpan w:val="2"/>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服务对象满意度</w:t>
            </w:r>
          </w:p>
        </w:tc>
        <w:tc>
          <w:tcPr>
            <w:tcW w:w="71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w:t>
            </w:r>
          </w:p>
        </w:tc>
        <w:tc>
          <w:tcPr>
            <w:tcW w:w="70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w:t>
            </w:r>
          </w:p>
        </w:tc>
        <w:tc>
          <w:tcPr>
            <w:tcW w:w="7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90</w:t>
            </w:r>
          </w:p>
        </w:tc>
        <w:tc>
          <w:tcPr>
            <w:tcW w:w="87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91</w:t>
            </w:r>
          </w:p>
        </w:tc>
        <w:tc>
          <w:tcPr>
            <w:tcW w:w="829"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0</w:t>
            </w:r>
          </w:p>
        </w:tc>
        <w:tc>
          <w:tcPr>
            <w:tcW w:w="851"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100</w:t>
            </w:r>
          </w:p>
        </w:tc>
        <w:tc>
          <w:tcPr>
            <w:tcW w:w="709"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5</w:t>
            </w:r>
          </w:p>
        </w:tc>
        <w:tc>
          <w:tcPr>
            <w:tcW w:w="708"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ascii="方正仿宋_GBK" w:eastAsia="方正仿宋_GBK"/>
                <w:color w:val="000000"/>
                <w:sz w:val="21"/>
                <w:szCs w:val="21"/>
              </w:rPr>
            </w:pPr>
            <w:r>
              <w:rPr>
                <w:rFonts w:hint="eastAsia" w:ascii="方正仿宋_GBK" w:eastAsia="方正仿宋_GBK"/>
                <w:color w:val="000000"/>
                <w:sz w:val="21"/>
                <w:szCs w:val="21"/>
              </w:rPr>
              <w:t>5</w:t>
            </w:r>
          </w:p>
        </w:tc>
        <w:tc>
          <w:tcPr>
            <w:tcW w:w="567"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c>
          <w:tcPr>
            <w:tcW w:w="1134"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c>
          <w:tcPr>
            <w:tcW w:w="5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ascii="方正仿宋_GBK" w:eastAsia="方正仿宋_GBK"/>
                <w:color w:val="000000"/>
                <w:sz w:val="21"/>
                <w:szCs w:val="21"/>
              </w:rPr>
            </w:pPr>
            <w:r>
              <w:rPr>
                <w:rFonts w:hint="eastAsia" w:ascii="方正仿宋_GBK" w:eastAsia="方正仿宋_GBK"/>
                <w:color w:val="000000"/>
                <w:sz w:val="21"/>
                <w:szCs w:val="21"/>
              </w:rPr>
              <w:t>　</w:t>
            </w:r>
          </w:p>
        </w:tc>
      </w:tr>
    </w:tbl>
    <w:p>
      <w:pPr>
        <w:pStyle w:val="4"/>
        <w:shd w:val="clear" w:color="auto" w:fill="FFFFFF"/>
        <w:spacing w:before="0" w:beforeAutospacing="0" w:after="0" w:afterAutospacing="0" w:line="600" w:lineRule="exact"/>
        <w:ind w:firstLine="640" w:firstLineChars="200"/>
        <w:rPr>
          <w:rStyle w:val="7"/>
          <w:rFonts w:ascii="方正仿宋_GBK" w:eastAsia="方正仿宋_GBK"/>
          <w:b w:val="0"/>
          <w:sz w:val="32"/>
          <w:szCs w:val="32"/>
        </w:rPr>
      </w:pPr>
      <w:r>
        <w:rPr>
          <w:rStyle w:val="7"/>
          <w:rFonts w:hint="eastAsia" w:ascii="方正仿宋_GBK" w:eastAsia="方正仿宋_GBK"/>
          <w:b w:val="0"/>
          <w:sz w:val="32"/>
          <w:szCs w:val="32"/>
        </w:rPr>
        <w:t>2.绩效自评报告或案例。</w:t>
      </w:r>
    </w:p>
    <w:p>
      <w:pPr>
        <w:pStyle w:val="4"/>
        <w:shd w:val="clear" w:color="auto" w:fill="FFFFFF"/>
        <w:spacing w:before="0" w:beforeAutospacing="0" w:after="0" w:afterAutospacing="0" w:line="600" w:lineRule="exact"/>
        <w:ind w:firstLine="640" w:firstLineChars="200"/>
        <w:rPr>
          <w:rFonts w:hAnsi="Times New Roman"/>
        </w:rPr>
      </w:pPr>
      <w:r>
        <w:rPr>
          <w:rFonts w:hint="eastAsia" w:ascii="方正仿宋_GBK" w:hAnsi="Times New Roman" w:eastAsia="方正仿宋_GBK"/>
          <w:bCs/>
          <w:sz w:val="32"/>
          <w:szCs w:val="32"/>
        </w:rPr>
        <w:t>我单位未委托第三方开展绩效自评。</w:t>
      </w:r>
    </w:p>
    <w:p>
      <w:pPr>
        <w:pStyle w:val="4"/>
        <w:shd w:val="clear" w:color="auto" w:fill="FFFFFF"/>
        <w:spacing w:before="0" w:beforeAutospacing="0" w:after="0" w:afterAutospacing="0" w:line="600" w:lineRule="exact"/>
        <w:ind w:firstLine="640" w:firstLineChars="200"/>
        <w:rPr>
          <w:rStyle w:val="7"/>
          <w:b w:val="0"/>
        </w:rPr>
      </w:pPr>
      <w:r>
        <w:rPr>
          <w:rStyle w:val="7"/>
          <w:rFonts w:hint="eastAsia" w:ascii="方正仿宋_GBK" w:eastAsia="方正仿宋_GBK"/>
          <w:b w:val="0"/>
          <w:sz w:val="32"/>
          <w:szCs w:val="32"/>
        </w:rPr>
        <w:t>3.关于绩效自评结果的说明。</w:t>
      </w:r>
    </w:p>
    <w:p>
      <w:pPr>
        <w:spacing w:line="600" w:lineRule="exact"/>
        <w:ind w:firstLine="640" w:firstLineChars="200"/>
        <w:rPr>
          <w:rFonts w:hAnsi="Times New Roman"/>
        </w:rPr>
      </w:pPr>
      <w:r>
        <w:rPr>
          <w:rFonts w:hint="eastAsia" w:ascii="方正仿宋_GBK" w:hAnsi="Times New Roman" w:eastAsia="方正仿宋_GBK"/>
          <w:bCs/>
          <w:sz w:val="32"/>
          <w:szCs w:val="32"/>
        </w:rPr>
        <w:t>我单位绩效自评均已完成年度绩效目标。</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sz w:val="32"/>
          <w:szCs w:val="32"/>
        </w:rPr>
        <w:t>（三）重点绩效评价结果。</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我单位未委托第三方开展重点绩效评价。</w:t>
      </w:r>
    </w:p>
    <w:p>
      <w:pPr>
        <w:pStyle w:val="4"/>
        <w:shd w:val="clear" w:color="auto" w:fill="FFFFFF"/>
        <w:spacing w:before="0" w:beforeAutospacing="0" w:after="0" w:afterAutospacing="0" w:line="600" w:lineRule="exact"/>
        <w:ind w:firstLine="640" w:firstLineChars="200"/>
        <w:rPr>
          <w:rStyle w:val="7"/>
          <w:rFonts w:ascii="方正黑体_GBK" w:eastAsia="方正黑体_GBK"/>
        </w:rPr>
      </w:pPr>
      <w:r>
        <w:rPr>
          <w:rStyle w:val="7"/>
          <w:rFonts w:hint="eastAsia" w:ascii="方正黑体_GBK" w:eastAsia="方正黑体_GBK"/>
          <w:b w:val="0"/>
          <w:sz w:val="32"/>
          <w:szCs w:val="32"/>
        </w:rPr>
        <w:t>六、专业名词解释</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（二）事业收入</w:t>
      </w:r>
      <w:r>
        <w:rPr>
          <w:rFonts w:hint="eastAsia" w:ascii="方正仿宋_GBK" w:eastAsia="方正仿宋_GBK"/>
          <w:sz w:val="32"/>
          <w:szCs w:val="32"/>
        </w:rPr>
        <w:t>：指事业单位开展专业业务活动及其辅助活动取得的现金流入；事业单位收到的财政专户实际核拨的教育收费等资金在此反映。</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（三）经营收入</w:t>
      </w:r>
      <w:r>
        <w:rPr>
          <w:rFonts w:hint="eastAsia" w:ascii="方正仿宋_GBK" w:eastAsia="方正仿宋_GBK"/>
          <w:sz w:val="32"/>
          <w:szCs w:val="32"/>
        </w:rPr>
        <w:t>：指事业单位在专业业务活动及其辅助活动之外开展非独立核算经营活动取得的现金流入。</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（四）其他收入</w:t>
      </w:r>
      <w:r>
        <w:rPr>
          <w:rFonts w:hint="eastAsia" w:ascii="方正仿宋_GBK" w:eastAsia="方正仿宋_GBK"/>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（五）使用非财政拨款结余</w:t>
      </w:r>
      <w:r>
        <w:rPr>
          <w:rFonts w:hint="eastAsia" w:ascii="方正仿宋_GBK" w:eastAsia="方正仿宋_GBK"/>
          <w:sz w:val="32"/>
          <w:szCs w:val="32"/>
        </w:rPr>
        <w:t>：指单位在当年的“财政拨款收入”、“事业收入”、“经营收入”、“其他收入”等不足以安排当年支出的情况下，使用以前年度积累的非财政拨款结余弥补本年度收支缺口的资金。</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（六）年初结转和结余</w:t>
      </w:r>
      <w:r>
        <w:rPr>
          <w:rFonts w:hint="eastAsia" w:ascii="方正仿宋_GBK" w:eastAsia="方正仿宋_GBK"/>
          <w:sz w:val="32"/>
          <w:szCs w:val="32"/>
        </w:rPr>
        <w:t>：指单位上年结转本年使用的基本支出结转、项目支出结转和结余、经营结余。</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（七）结余分配</w:t>
      </w:r>
      <w:r>
        <w:rPr>
          <w:rFonts w:hint="eastAsia" w:ascii="方正仿宋_GBK" w:eastAsia="方正仿宋_GBK"/>
          <w:sz w:val="32"/>
          <w:szCs w:val="32"/>
        </w:rPr>
        <w:t>：指单位按照国家有关规定，缴纳所得税、提取专用基金、转入非财政拨款结余等当年结余的分配情况。</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（八）年末结转和结余</w:t>
      </w:r>
      <w:r>
        <w:rPr>
          <w:rFonts w:hint="eastAsia" w:ascii="方正仿宋_GBK" w:eastAsia="方正仿宋_GBK"/>
          <w:sz w:val="32"/>
          <w:szCs w:val="32"/>
        </w:rPr>
        <w:t>：指单位结转下年的基本支出结转、项目支出结转和结余、经营结余。</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（九）基本支出</w:t>
      </w:r>
      <w:r>
        <w:rPr>
          <w:rFonts w:hint="eastAsia" w:ascii="方正仿宋_GBK" w:eastAsia="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（十）项目支出</w:t>
      </w:r>
      <w:r>
        <w:rPr>
          <w:rFonts w:hint="eastAsia" w:ascii="方正仿宋_GBK" w:eastAsia="方正仿宋_GBK"/>
          <w:sz w:val="32"/>
          <w:szCs w:val="32"/>
        </w:rPr>
        <w:t>：指在基本支出之外为完成特定行政任务和事业发展目标所发生的支出。</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（十一）经营支出</w:t>
      </w:r>
      <w:r>
        <w:rPr>
          <w:rFonts w:hint="eastAsia" w:ascii="方正仿宋_GBK" w:eastAsia="方正仿宋_GBK"/>
          <w:sz w:val="32"/>
          <w:szCs w:val="32"/>
        </w:rPr>
        <w:t>：指事业单位在专业业务活动及其辅助活动之外开展非独立核算经营活动发生的支出。</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（十二）“三公”经费</w:t>
      </w:r>
      <w:r>
        <w:rPr>
          <w:rFonts w:hint="eastAsia" w:ascii="方正仿宋_GBK" w:eastAsia="方正仿宋_GBK"/>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（十三）机关运行经费</w:t>
      </w:r>
      <w:r>
        <w:rPr>
          <w:rFonts w:hint="eastAsia" w:ascii="方正仿宋_GBK" w:eastAsia="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（十四）工资福利支出（支出经济分类科目类级）</w:t>
      </w:r>
      <w:r>
        <w:rPr>
          <w:rFonts w:hint="eastAsia" w:ascii="方正仿宋_GBK" w:eastAsia="方正仿宋_GBK"/>
          <w:sz w:val="32"/>
          <w:szCs w:val="32"/>
        </w:rPr>
        <w:t>：反映单位开支的在职职工和编制外长期聘用人员的各类劳动报酬，以及为上述人员缴纳的各项社会保险费等。</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（十五）商品和服务支出（支出经济分类科目类级）</w:t>
      </w:r>
      <w:r>
        <w:rPr>
          <w:rFonts w:hint="eastAsia" w:ascii="方正仿宋_GBK" w:eastAsia="方正仿宋_GBK"/>
          <w:sz w:val="32"/>
          <w:szCs w:val="32"/>
        </w:rPr>
        <w:t>：反映单位购买商品和服务的支出（不包括用于购置固定资产的支出、战略性和应急储备支出）。</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（十六）对个人和家庭的补助（支出经济分类科目类级）</w:t>
      </w:r>
      <w:r>
        <w:rPr>
          <w:rFonts w:hint="eastAsia" w:ascii="方正仿宋_GBK" w:eastAsia="方正仿宋_GBK"/>
          <w:sz w:val="32"/>
          <w:szCs w:val="32"/>
        </w:rPr>
        <w:t>：反映用于对个人和家庭的补助支出。</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Style w:val="7"/>
          <w:rFonts w:hint="eastAsia" w:ascii="方正仿宋_GBK" w:eastAsia="方正仿宋_GBK"/>
          <w:b w:val="0"/>
          <w:sz w:val="32"/>
          <w:szCs w:val="32"/>
        </w:rPr>
        <w:t>（十七）其他资本性支出（支出经济分类科目类级）</w:t>
      </w:r>
      <w:r>
        <w:rPr>
          <w:rFonts w:hint="eastAsia" w:ascii="方正仿宋_GBK" w:eastAsia="方正仿宋_GBK"/>
          <w:sz w:val="32"/>
          <w:szCs w:val="32"/>
        </w:rP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spacing w:before="0" w:beforeAutospacing="0" w:after="0" w:afterAutospacing="0" w:line="600" w:lineRule="exact"/>
        <w:ind w:firstLine="640" w:firstLineChars="200"/>
        <w:rPr>
          <w:rFonts w:ascii="方正黑体_GBK" w:eastAsia="方正黑体_GBK"/>
          <w:sz w:val="32"/>
          <w:szCs w:val="32"/>
        </w:rPr>
      </w:pPr>
      <w:r>
        <w:rPr>
          <w:rStyle w:val="7"/>
          <w:rFonts w:hint="eastAsia" w:ascii="方正黑体_GBK" w:eastAsia="方正黑体_GBK"/>
          <w:b w:val="0"/>
          <w:sz w:val="32"/>
          <w:szCs w:val="32"/>
        </w:rPr>
        <w:t>七、决算公开联系方式及信息反馈渠道</w:t>
      </w:r>
    </w:p>
    <w:p>
      <w:pPr>
        <w:pStyle w:val="4"/>
        <w:shd w:val="clear" w:color="auto" w:fill="FFFFFF"/>
        <w:spacing w:before="0" w:beforeAutospacing="0" w:after="0" w:afterAutospacing="0" w:line="600" w:lineRule="exact"/>
        <w:ind w:firstLine="640" w:firstLineChars="200"/>
        <w:rPr>
          <w:rFonts w:ascii="方正仿宋_GBK" w:eastAsia="方正仿宋_GBK"/>
          <w:sz w:val="32"/>
          <w:szCs w:val="32"/>
        </w:rPr>
      </w:pPr>
      <w:r>
        <w:rPr>
          <w:rFonts w:hint="eastAsia" w:ascii="方正仿宋_GBK" w:eastAsia="方正仿宋_GBK"/>
          <w:sz w:val="32"/>
          <w:szCs w:val="32"/>
        </w:rPr>
        <w:t>本单位决算公开信息反馈和联系方式：代鑫  023-70605558</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noPunctuationKerning w:val="1"/>
  <w:characterSpacingControl w:val="doNotCompress"/>
  <w:compat>
    <w:useFELayout/>
    <w:compatSetting w:name="compatibilityMode" w:uri="http://schemas.microsoft.com/office/word" w:val="12"/>
  </w:compat>
  <w:docVars>
    <w:docVar w:name="commondata" w:val="eyJoZGlkIjoiZDRlMTI0ZmZkNWVkNDk2ZTg4NWYwOTQyMjQxMmY4NGEifQ=="/>
  </w:docVars>
  <w:rsids>
    <w:rsidRoot w:val="008E1C9F"/>
    <w:rsid w:val="000C5F91"/>
    <w:rsid w:val="003F2021"/>
    <w:rsid w:val="00431931"/>
    <w:rsid w:val="0047332D"/>
    <w:rsid w:val="005866EA"/>
    <w:rsid w:val="005F6A6A"/>
    <w:rsid w:val="00702A38"/>
    <w:rsid w:val="007F3025"/>
    <w:rsid w:val="008C2ABD"/>
    <w:rsid w:val="008E1C9F"/>
    <w:rsid w:val="00B4750D"/>
    <w:rsid w:val="00D35473"/>
    <w:rsid w:val="00F341DF"/>
    <w:rsid w:val="068841A8"/>
    <w:rsid w:val="26E86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styleId="7">
    <w:name w:val="Strong"/>
    <w:basedOn w:val="6"/>
    <w:qFormat/>
    <w:uiPriority w:val="22"/>
    <w:rPr>
      <w:b/>
      <w:bCs/>
    </w:rPr>
  </w:style>
  <w:style w:type="character" w:customStyle="1" w:styleId="8">
    <w:name w:val="页眉 字符"/>
    <w:basedOn w:val="6"/>
    <w:link w:val="3"/>
    <w:locked/>
    <w:uiPriority w:val="99"/>
    <w:rPr>
      <w:rFonts w:hint="eastAsia" w:ascii="宋体" w:hAnsi="宋体" w:eastAsia="宋体" w:cs="宋体"/>
      <w:sz w:val="18"/>
      <w:szCs w:val="18"/>
    </w:rPr>
  </w:style>
  <w:style w:type="character" w:customStyle="1" w:styleId="9">
    <w:name w:val="页脚 字符"/>
    <w:basedOn w:val="6"/>
    <w:link w:val="2"/>
    <w:locked/>
    <w:uiPriority w:val="99"/>
    <w:rPr>
      <w:rFonts w:hint="eastAsia"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15</Pages>
  <Words>1061</Words>
  <Characters>6051</Characters>
  <Lines>50</Lines>
  <Paragraphs>14</Paragraphs>
  <TotalTime>25</TotalTime>
  <ScaleCrop>false</ScaleCrop>
  <LinksUpToDate>false</LinksUpToDate>
  <CharactersWithSpaces>7098</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2023-09-13T03:44:00Z</dcterms:created>
  <dc:creator>Administrator</dc:creator>
  <cp:lastModifiedBy>温星星</cp:lastModifiedBy>
  <dcterms:modified xsi:type="dcterms:W3CDTF">2023-09-20T02:56:40Z</dcterms:modified>
  <dc:title>公开报告模板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4C8D85AB8762448A8FAB2468B68DCB3F_12</vt:lpwstr>
  </property>
</Properties>
</file>