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00" w:lineRule="exact"/>
        <w:jc w:val="center"/>
        <w:rPr>
          <w:rFonts w:hint="default" w:ascii="Times New Roman" w:hAnsi="Times New Roman" w:eastAsia="方正小标宋_GBK" w:cs="Times New Roman"/>
          <w:sz w:val="44"/>
          <w:szCs w:val="44"/>
        </w:rPr>
      </w:pPr>
      <w:r>
        <w:rPr>
          <w:rStyle w:val="7"/>
          <w:rFonts w:hint="default" w:ascii="Times New Roman" w:hAnsi="Times New Roman" w:eastAsia="方正小标宋_GBK" w:cs="Times New Roman"/>
          <w:b w:val="0"/>
          <w:sz w:val="44"/>
          <w:szCs w:val="44"/>
        </w:rPr>
        <w:t>丰都县人力资源考试测评服务中心         2022年度部门决算情况说明</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仿宋_GBK" w:cs="Times New Roman"/>
          <w:b w:val="0"/>
          <w:sz w:val="32"/>
          <w:szCs w:val="32"/>
        </w:rPr>
      </w:pPr>
    </w:p>
    <w:p>
      <w:pPr>
        <w:pStyle w:val="4"/>
        <w:shd w:val="clear" w:color="auto" w:fill="FFFFFF"/>
        <w:spacing w:before="0" w:beforeAutospacing="0" w:after="0" w:afterAutospacing="0" w:line="600" w:lineRule="exact"/>
        <w:ind w:firstLine="640" w:firstLineChars="200"/>
        <w:rPr>
          <w:rFonts w:hint="default" w:ascii="Times New Roman" w:hAnsi="Times New Roman" w:eastAsia="方正黑体_GBK" w:cs="Times New Roman"/>
          <w:sz w:val="32"/>
          <w:szCs w:val="32"/>
        </w:rPr>
      </w:pPr>
      <w:r>
        <w:rPr>
          <w:rStyle w:val="7"/>
          <w:rFonts w:hint="default" w:ascii="Times New Roman" w:hAnsi="Times New Roman" w:eastAsia="方正黑体_GBK" w:cs="Times New Roman"/>
          <w:b w:val="0"/>
          <w:sz w:val="32"/>
          <w:szCs w:val="32"/>
        </w:rPr>
        <w:t>一、部门基本情况</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rPr>
        <w:t>（一）职能职责</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val="0"/>
          <w:bCs w:val="0"/>
          <w:sz w:val="32"/>
          <w:szCs w:val="32"/>
        </w:rPr>
        <w:t>承担全县人事考试、机关事业单位技术工人等级（岗位）培训考试、职业技能鉴定的咨询、考试、评审等的服务性工作；承办县人力资源和社会保障局交办的其他事项。</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（二）机构设置</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仿宋_GBK" w:cs="Times New Roman"/>
          <w:b w:val="0"/>
          <w:bCs w:val="0"/>
          <w:sz w:val="32"/>
          <w:szCs w:val="32"/>
        </w:rPr>
      </w:pPr>
      <w:r>
        <w:rPr>
          <w:rStyle w:val="7"/>
          <w:rFonts w:hint="default" w:ascii="Times New Roman" w:hAnsi="Times New Roman" w:eastAsia="方正仿宋_GBK" w:cs="Times New Roman"/>
          <w:b w:val="0"/>
          <w:bCs w:val="0"/>
          <w:sz w:val="32"/>
          <w:szCs w:val="32"/>
        </w:rPr>
        <w:t>本单位无内设职能科室，2021年12月，编制数8人，实有人数8人。</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rPr>
        <w:t>（三）单位构成</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本单位无下级预算单位.</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黑体_GBK" w:cs="Times New Roman"/>
        </w:rPr>
      </w:pPr>
      <w:r>
        <w:rPr>
          <w:rStyle w:val="7"/>
          <w:rFonts w:hint="default" w:ascii="Times New Roman" w:hAnsi="Times New Roman" w:eastAsia="方正黑体_GBK" w:cs="Times New Roman"/>
          <w:b w:val="0"/>
          <w:sz w:val="32"/>
          <w:szCs w:val="32"/>
        </w:rPr>
        <w:t>二、部门决算情况说明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rPr>
        <w:t>（一）收入支出决算总体情况说明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1.总体情况。</w:t>
      </w:r>
      <w:r>
        <w:rPr>
          <w:rFonts w:hint="default" w:ascii="Times New Roman" w:hAnsi="Times New Roman" w:eastAsia="方正仿宋_GBK" w:cs="Times New Roman"/>
          <w:sz w:val="32"/>
          <w:szCs w:val="32"/>
        </w:rPr>
        <w:t>2022年度收入总计167.60万元，支出总计167.60万元。收支较上年决算数减少48.30万元,下降22.4%，主要原因一是上年度有标准化考场装修项目尾款57万元，今年没有；二是因政策变化，今年职业能力鉴定明显减少。</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FF0000"/>
          <w:sz w:val="32"/>
          <w:szCs w:val="32"/>
          <w:shd w:val="clear" w:color="auto" w:fill="FFFF00"/>
        </w:rPr>
      </w:pPr>
      <w:r>
        <w:rPr>
          <w:rStyle w:val="7"/>
          <w:rFonts w:hint="default" w:ascii="Times New Roman" w:hAnsi="Times New Roman" w:eastAsia="方正仿宋_GBK" w:cs="Times New Roman"/>
          <w:b w:val="0"/>
          <w:sz w:val="32"/>
          <w:szCs w:val="32"/>
        </w:rPr>
        <w:t>2.收入情况。</w:t>
      </w:r>
      <w:r>
        <w:rPr>
          <w:rFonts w:hint="default" w:ascii="Times New Roman" w:hAnsi="Times New Roman" w:eastAsia="方正仿宋_GBK" w:cs="Times New Roman"/>
          <w:sz w:val="32"/>
          <w:szCs w:val="32"/>
        </w:rPr>
        <w:t>2022年度收入合计152.11万元，较上年决算数减少30.85万元，下降16.9%，主要原因一是上年度有标准化考场装修项目尾款57万元，今年没有；二是因政策变化，今年职业能力鉴定明显减少。其中：财政拨款收入152.11万元，占100%。此外，使用非财政拨款结余0万元，年初结转和结余15.48万元。</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3.支出情况。</w:t>
      </w:r>
      <w:r>
        <w:rPr>
          <w:rFonts w:hint="default" w:ascii="Times New Roman" w:hAnsi="Times New Roman" w:eastAsia="方正仿宋_GBK" w:cs="Times New Roman"/>
          <w:sz w:val="32"/>
          <w:szCs w:val="32"/>
        </w:rPr>
        <w:t>2022年度支出合计152.18万元，较上年决算减少48.24万元，下降24.1%，主要原因一是上年度有标准化考场装修项目尾款57万元，今年没有；二是因政策变化，今年职业能力鉴定明显减少。其中：基本支出152.18万元，占100%。 此外，结余分配0万元。</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4.结转结余情况。</w:t>
      </w:r>
      <w:r>
        <w:rPr>
          <w:rFonts w:hint="default" w:ascii="Times New Roman" w:hAnsi="Times New Roman" w:eastAsia="方正仿宋_GBK" w:cs="Times New Roman"/>
          <w:sz w:val="32"/>
          <w:szCs w:val="32"/>
        </w:rPr>
        <w:t>2022年度年末结转和结余15.42万元，较上年决算数减少0.06万元，下降0.4%，主要原因是上年结余的现金630元在今年使用完毕。</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（二）财政拨款收入支出决算总体情况说明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2022年度财政拨款收、支总计152.38万元。与2021年相比，财政拨款收、支总计各减少16.19万元，下降9.6%。主要原因是上年度有标准化考场装修项目尾款57万元，今年没有；但因为人员增加，人员经费增加。</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（三）一般公共预算财政拨款收入支出决算情况说明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1.收入情况。</w:t>
      </w:r>
      <w:r>
        <w:rPr>
          <w:rFonts w:hint="default" w:ascii="Times New Roman" w:hAnsi="Times New Roman" w:eastAsia="方正仿宋_GBK" w:cs="Times New Roman"/>
          <w:sz w:val="32"/>
          <w:szCs w:val="32"/>
        </w:rPr>
        <w:t>2022年度一般公共预算财政拨款收入152.11万元，较上年决算数减少12.18万元，下降7.4%。主要原因是上年度有标准化考场装修项目尾款57万元，今年没有；但因为人员增加，人员经费增加。较年初预算数增加46.36万元，增长43.8%。主要原因是代管资金使用于职业能力鉴定费用及临聘人员劳务费，年初未纳入预算。此外，年初财政拨款结转和结余0.26万元。</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2.支出情况。</w:t>
      </w:r>
      <w:r>
        <w:rPr>
          <w:rFonts w:hint="default" w:ascii="Times New Roman" w:hAnsi="Times New Roman" w:eastAsia="方正仿宋_GBK" w:cs="Times New Roman"/>
          <w:sz w:val="32"/>
          <w:szCs w:val="32"/>
        </w:rPr>
        <w:t>2022年度一般公共预算财政拨款支出152.18万元，较上年决算数减少16.12万元，下降9.6%。主要原因是上年度有标准化考场装修项目尾款57万元，今年没有；但因为人员增加，人员经费增加。较年初预算数增加46.43万元，增长43.9%。主要原因是代管资金使用于职业能力鉴定费用及临聘人员劳务费，年初未纳入预算。</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3.结转结余情况。</w:t>
      </w:r>
      <w:r>
        <w:rPr>
          <w:rFonts w:hint="default" w:ascii="Times New Roman" w:hAnsi="Times New Roman" w:eastAsia="方正仿宋_GBK" w:cs="Times New Roman"/>
          <w:sz w:val="32"/>
          <w:szCs w:val="32"/>
        </w:rPr>
        <w:t>2022年度年末一般公共预算财政拨款结转和结余0.20万元，较上年决算数减少0.06万元，下降23.1%，主要原因是上年结余的现金630元在今年使用完毕。</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color w:val="FF0000"/>
          <w:sz w:val="32"/>
          <w:szCs w:val="32"/>
          <w:shd w:val="clear" w:color="auto" w:fill="FFFF00"/>
        </w:rPr>
      </w:pPr>
      <w:r>
        <w:rPr>
          <w:rStyle w:val="7"/>
          <w:rFonts w:hint="default" w:ascii="Times New Roman" w:hAnsi="Times New Roman" w:eastAsia="方正仿宋_GBK" w:cs="Times New Roman"/>
          <w:b w:val="0"/>
          <w:sz w:val="32"/>
          <w:szCs w:val="32"/>
        </w:rPr>
        <w:t>4.比较情况。</w:t>
      </w:r>
      <w:r>
        <w:rPr>
          <w:rFonts w:hint="default" w:ascii="Times New Roman" w:hAnsi="Times New Roman" w:eastAsia="方正仿宋_GBK" w:cs="Times New Roman"/>
          <w:sz w:val="32"/>
          <w:szCs w:val="32"/>
        </w:rPr>
        <w:t>本部门2022年度一般公共预算财政拨款支出主要用于以下几个方面：</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（1）社会保障与就业支出140.53万元，占92.3%，较年初预算数增加46.44万元，增长49.4%，主要原因是代管资金使用于职业能力鉴定费用及临聘人员劳务费，年初未纳入预算。</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（2）卫生健康支出5.90万元，占3.9%，较年初预算数无增减。</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（3）住房保障支出5.75万元，占3.8%，较年初预算数无增减。</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（四）一般公共预算财政拨款基本支出决算情况说明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一般公共预算财政拨款基本支出152.18万元。其中：人员经费137.03万元，较上年决算数增加22.28万元，增长19.4%，主要原因是人员较2021年增加2人，相应人员经费增加。人员经费用途主要包括基本工资、津贴补贴、奖金、社会保障缴费、公积金缴费、超额绩效等。公用经费15.15万元，较上年决算数减少15.76万元，下降51%，主要原因是2022年差旅费减少，职业技能鉴定业务量陡然下降。公用经费用途主要包括办公费、印刷费、差旅费、食堂用餐伙食费、委托业务费等。</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（五）政府性基金预算收支决算情况说明。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本单位2022年度无政府性基金预算财政拨款收支。</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（六）国有资本经营预算财政拨款支出决算情况说明。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本单位2022年度无国有资本经营预算财政拨款支出。</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黑体_GBK" w:cs="Times New Roman"/>
        </w:rPr>
      </w:pPr>
      <w:r>
        <w:rPr>
          <w:rStyle w:val="7"/>
          <w:rFonts w:hint="default" w:ascii="Times New Roman" w:hAnsi="Times New Roman" w:eastAsia="方正黑体_GBK" w:cs="Times New Roman"/>
          <w:b w:val="0"/>
          <w:sz w:val="32"/>
          <w:szCs w:val="32"/>
        </w:rPr>
        <w:t>三、“三公”经费情况说明</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（一）“三公”经费支出总体情况说明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2022年度“三公”经费支出共计3.81万元，较年初预算数减少4.92万元，下降56.4%，主要原因是认真</w:t>
      </w:r>
      <w:bookmarkStart w:id="0" w:name="_GoBack"/>
      <w:bookmarkEnd w:id="0"/>
      <w:r>
        <w:rPr>
          <w:rFonts w:hint="eastAsia" w:ascii="Times New Roman" w:hAnsi="Times New Roman" w:eastAsia="方正仿宋_GBK" w:cs="Times New Roman"/>
          <w:sz w:val="32"/>
          <w:szCs w:val="32"/>
          <w:lang w:eastAsia="zh-CN"/>
        </w:rPr>
        <w:t>贯彻落实中央八项规定</w:t>
      </w:r>
      <w:r>
        <w:rPr>
          <w:rFonts w:hint="default" w:ascii="Times New Roman" w:hAnsi="Times New Roman" w:eastAsia="方正仿宋_GBK" w:cs="Times New Roman"/>
          <w:sz w:val="32"/>
          <w:szCs w:val="32"/>
        </w:rPr>
        <w:t>精神和厉行节约要求，严格落实公车使用规定，严禁公车私用。较上年支出数增加0.72万元，增长23.3%，主要原因是本年度专项重点工作增加，用车频率略微上涨，加之油价上涨，导致车辆运行维护费增多。</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（二）“三公”经费分项支出情况</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1.2022年度本单位未发生因公出国（境）费用，</w:t>
      </w:r>
      <w:r>
        <w:rPr>
          <w:rFonts w:hint="default" w:ascii="Times New Roman" w:hAnsi="Times New Roman" w:eastAsia="方正仿宋_GBK" w:cs="Times New Roman"/>
          <w:color w:val="000000"/>
          <w:sz w:val="32"/>
          <w:szCs w:val="32"/>
        </w:rPr>
        <w:t>与年初预算数及上年决算数持平。</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2.2022年度本单位未发生公务车购置费，</w:t>
      </w:r>
      <w:r>
        <w:rPr>
          <w:rFonts w:hint="default" w:ascii="Times New Roman" w:hAnsi="Times New Roman" w:eastAsia="方正仿宋_GBK" w:cs="Times New Roman"/>
          <w:color w:val="000000"/>
          <w:sz w:val="32"/>
          <w:szCs w:val="32"/>
        </w:rPr>
        <w:t>与年初预算数及上年决算数持平。</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公务车运行维护费3.81万元，主要用于机要文件交换、市内因公出行、社会保障业务检查等工作所需车辆的燃料费、维修费、过桥过路费、保险费等。费用支出较年初预算数减少4.19万元，下降52.4%，主要原因是认真</w:t>
      </w:r>
      <w:r>
        <w:rPr>
          <w:rFonts w:hint="eastAsia" w:ascii="Times New Roman" w:hAnsi="Times New Roman" w:eastAsia="方正仿宋_GBK" w:cs="Times New Roman"/>
          <w:sz w:val="32"/>
          <w:szCs w:val="32"/>
          <w:lang w:eastAsia="zh-CN"/>
        </w:rPr>
        <w:t>贯彻落实中央八项规定</w:t>
      </w:r>
      <w:r>
        <w:rPr>
          <w:rFonts w:hint="default" w:ascii="Times New Roman" w:hAnsi="Times New Roman" w:eastAsia="方正仿宋_GBK" w:cs="Times New Roman"/>
          <w:sz w:val="32"/>
          <w:szCs w:val="32"/>
        </w:rPr>
        <w:t>精神和厉行节约要求，严格落实公车使用规定，严禁公车私用。较上年支出数增加0.72万元，增长23.3%，主要原因是本年度专项重点工作增加，用车频率略微上涨，加之油价上涨，导致车辆运行维护费增多。</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4.2022年度本单位未发生公务接待费，</w:t>
      </w:r>
      <w:r>
        <w:rPr>
          <w:rFonts w:hint="default" w:ascii="Times New Roman" w:hAnsi="Times New Roman" w:eastAsia="方正仿宋_GBK" w:cs="Times New Roman"/>
          <w:color w:val="000000"/>
          <w:sz w:val="32"/>
          <w:szCs w:val="32"/>
        </w:rPr>
        <w:t>与年初预算数及上年决算数持平。</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（三）“三公”经费实物量情况</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本部门因公出国（境）共计0个团组，0人；公务用车购置0辆，公务车保有量为1辆；国内公务接待0批次0人，其中：国内外事接待0批次，0人；国（境）外公务接待0批次，0人。2022年本部门人均接待费0.00元，车均购置费0.00万元，车均维护费3.81万元。</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黑体_GBK" w:cs="Times New Roman"/>
        </w:rPr>
      </w:pPr>
      <w:r>
        <w:rPr>
          <w:rStyle w:val="7"/>
          <w:rFonts w:hint="default" w:ascii="Times New Roman" w:hAnsi="Times New Roman" w:eastAsia="方正黑体_GBK" w:cs="Times New Roman"/>
          <w:b w:val="0"/>
          <w:sz w:val="32"/>
          <w:szCs w:val="32"/>
        </w:rPr>
        <w:t>四、其他需要说明的事项</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（一）财政拨款会议费和培训费情况说明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本单位2022年度未发生会议费和培训费支出。</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（二）机关运行经费支出情况说明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（三）国有资产占用情况说明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（四）政府采购支出说明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Cs/>
          <w:sz w:val="32"/>
          <w:szCs w:val="32"/>
        </w:rPr>
        <w:t>2022年度我单位未发生政府采购事项，无相关经费支出。</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黑体_GBK" w:cs="Times New Roman"/>
        </w:rPr>
      </w:pPr>
      <w:r>
        <w:rPr>
          <w:rStyle w:val="7"/>
          <w:rFonts w:hint="default" w:ascii="Times New Roman" w:hAnsi="Times New Roman" w:eastAsia="方正黑体_GBK" w:cs="Times New Roman"/>
          <w:b w:val="0"/>
          <w:sz w:val="32"/>
          <w:szCs w:val="32"/>
        </w:rPr>
        <w:t>五、预算绩效管理情况说明</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（一）预算绩效管理工作开展情况</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根据预算绩效管理要求，我单位对2个项目开展了绩效自评，其中，以填报自评表形式开展自评2项，涉及资金2.5万元。</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cs="Times New Roman"/>
        </w:rPr>
      </w:pPr>
      <w:r>
        <w:rPr>
          <w:rStyle w:val="7"/>
          <w:rFonts w:hint="default" w:ascii="Times New Roman" w:hAnsi="Times New Roman" w:eastAsia="方正仿宋_GBK" w:cs="Times New Roman"/>
          <w:sz w:val="32"/>
          <w:szCs w:val="32"/>
        </w:rPr>
        <w:t>（二）绩效自评结果。</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仿宋_GBK" w:cs="Times New Roman"/>
          <w:b w:val="0"/>
          <w:sz w:val="32"/>
          <w:szCs w:val="32"/>
        </w:rPr>
      </w:pPr>
      <w:r>
        <w:rPr>
          <w:rStyle w:val="7"/>
          <w:rFonts w:hint="default" w:ascii="Times New Roman" w:hAnsi="Times New Roman" w:eastAsia="方正仿宋_GBK" w:cs="Times New Roman"/>
          <w:b w:val="0"/>
          <w:sz w:val="32"/>
          <w:szCs w:val="32"/>
        </w:rPr>
        <w:t>1.绩效目标自评表。</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仿宋_GBK" w:cs="Times New Roman"/>
          <w:b w:val="0"/>
          <w:sz w:val="32"/>
          <w:szCs w:val="32"/>
        </w:rPr>
      </w:pP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仿宋_GBK" w:cs="Times New Roman"/>
          <w:b w:val="0"/>
          <w:sz w:val="32"/>
          <w:szCs w:val="32"/>
        </w:rPr>
      </w:pP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仿宋_GBK" w:cs="Times New Roman"/>
          <w:b w:val="0"/>
          <w:sz w:val="32"/>
          <w:szCs w:val="32"/>
        </w:rPr>
      </w:pP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仿宋_GBK" w:cs="Times New Roman"/>
          <w:b w:val="0"/>
          <w:sz w:val="32"/>
          <w:szCs w:val="32"/>
        </w:rPr>
      </w:pPr>
    </w:p>
    <w:tbl>
      <w:tblPr>
        <w:tblStyle w:val="5"/>
        <w:tblW w:w="8234" w:type="dxa"/>
        <w:tblInd w:w="96" w:type="dxa"/>
        <w:tblLayout w:type="fixed"/>
        <w:tblCellMar>
          <w:top w:w="0" w:type="dxa"/>
          <w:left w:w="108" w:type="dxa"/>
          <w:bottom w:w="0" w:type="dxa"/>
          <w:right w:w="108" w:type="dxa"/>
        </w:tblCellMar>
      </w:tblPr>
      <w:tblGrid>
        <w:gridCol w:w="1052"/>
        <w:gridCol w:w="236"/>
        <w:gridCol w:w="703"/>
        <w:gridCol w:w="6"/>
        <w:gridCol w:w="135"/>
        <w:gridCol w:w="286"/>
        <w:gridCol w:w="709"/>
        <w:gridCol w:w="142"/>
        <w:gridCol w:w="281"/>
        <w:gridCol w:w="427"/>
        <w:gridCol w:w="653"/>
        <w:gridCol w:w="337"/>
        <w:gridCol w:w="423"/>
        <w:gridCol w:w="429"/>
        <w:gridCol w:w="147"/>
        <w:gridCol w:w="276"/>
        <w:gridCol w:w="291"/>
        <w:gridCol w:w="139"/>
        <w:gridCol w:w="567"/>
        <w:gridCol w:w="428"/>
        <w:gridCol w:w="567"/>
      </w:tblGrid>
      <w:tr>
        <w:tblPrEx>
          <w:tblCellMar>
            <w:top w:w="0" w:type="dxa"/>
            <w:left w:w="108" w:type="dxa"/>
            <w:bottom w:w="0" w:type="dxa"/>
            <w:right w:w="108" w:type="dxa"/>
          </w:tblCellMar>
        </w:tblPrEx>
        <w:trPr>
          <w:trHeight w:val="90" w:hRule="atLeast"/>
        </w:trPr>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项目名称：</w:t>
            </w:r>
          </w:p>
        </w:tc>
        <w:tc>
          <w:tcPr>
            <w:tcW w:w="136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驻村工作人员补贴</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项目编码：</w:t>
            </w:r>
          </w:p>
        </w:tc>
        <w:tc>
          <w:tcPr>
            <w:tcW w:w="136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50023022T000002447998</w:t>
            </w:r>
          </w:p>
        </w:tc>
        <w:tc>
          <w:tcPr>
            <w:tcW w:w="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自评</w:t>
            </w:r>
            <w:r>
              <w:rPr>
                <w:rFonts w:hint="eastAsia" w:ascii="Times New Roman" w:hAnsi="Times New Roman" w:eastAsia="方正仿宋_GBK" w:cs="Times New Roman"/>
                <w:bCs/>
                <w:color w:val="000000"/>
                <w:sz w:val="21"/>
                <w:szCs w:val="21"/>
                <w:lang w:val="en-US" w:eastAsia="zh-CN"/>
              </w:rPr>
              <w:t>总</w:t>
            </w:r>
            <w:r>
              <w:rPr>
                <w:rFonts w:hint="default" w:ascii="Times New Roman" w:hAnsi="Times New Roman" w:eastAsia="方正仿宋_GBK" w:cs="Times New Roman"/>
                <w:bCs/>
                <w:color w:val="000000"/>
                <w:sz w:val="21"/>
                <w:szCs w:val="21"/>
              </w:rPr>
              <w:t>分：</w:t>
            </w:r>
          </w:p>
        </w:tc>
        <w:tc>
          <w:tcPr>
            <w:tcW w:w="12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100.00</w:t>
            </w:r>
          </w:p>
        </w:tc>
        <w:tc>
          <w:tcPr>
            <w:tcW w:w="9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r>
      <w:tr>
        <w:tblPrEx>
          <w:tblCellMar>
            <w:top w:w="0" w:type="dxa"/>
            <w:left w:w="108" w:type="dxa"/>
            <w:bottom w:w="0" w:type="dxa"/>
            <w:right w:w="108" w:type="dxa"/>
          </w:tblCellMar>
        </w:tblPrEx>
        <w:trPr>
          <w:trHeight w:val="1080" w:hRule="atLeast"/>
        </w:trPr>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项目主管部门：</w:t>
            </w:r>
          </w:p>
        </w:tc>
        <w:tc>
          <w:tcPr>
            <w:tcW w:w="1366"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407-丰都县人力资源和社会保障局</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财政归口处室：</w:t>
            </w:r>
          </w:p>
        </w:tc>
        <w:tc>
          <w:tcPr>
            <w:tcW w:w="136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004-社保科</w:t>
            </w:r>
          </w:p>
        </w:tc>
        <w:tc>
          <w:tcPr>
            <w:tcW w:w="7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部门联系人：</w:t>
            </w:r>
          </w:p>
        </w:tc>
        <w:tc>
          <w:tcPr>
            <w:tcW w:w="1282"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陈红</w:t>
            </w:r>
          </w:p>
        </w:tc>
        <w:tc>
          <w:tcPr>
            <w:tcW w:w="9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联系电话：</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70717899</w:t>
            </w:r>
          </w:p>
        </w:tc>
      </w:tr>
      <w:tr>
        <w:tblPrEx>
          <w:tblCellMar>
            <w:top w:w="0" w:type="dxa"/>
            <w:left w:w="108" w:type="dxa"/>
            <w:bottom w:w="0" w:type="dxa"/>
            <w:right w:w="108" w:type="dxa"/>
          </w:tblCellMar>
        </w:tblPrEx>
        <w:trPr>
          <w:trHeight w:val="420" w:hRule="atLeast"/>
        </w:trPr>
        <w:tc>
          <w:tcPr>
            <w:tcW w:w="8234"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bCs/>
                <w:color w:val="7F7F7F"/>
                <w:sz w:val="21"/>
                <w:szCs w:val="21"/>
              </w:rPr>
            </w:pPr>
            <w:r>
              <w:rPr>
                <w:rFonts w:hint="default" w:ascii="Times New Roman" w:hAnsi="Times New Roman" w:eastAsia="方正仿宋_GBK" w:cs="Times New Roman"/>
                <w:bCs/>
                <w:color w:val="7F7F7F"/>
                <w:sz w:val="21"/>
                <w:szCs w:val="21"/>
              </w:rPr>
              <w:t>资金情况</w:t>
            </w:r>
          </w:p>
        </w:tc>
      </w:tr>
      <w:tr>
        <w:tblPrEx>
          <w:tblCellMar>
            <w:top w:w="0" w:type="dxa"/>
            <w:left w:w="108" w:type="dxa"/>
            <w:bottom w:w="0" w:type="dxa"/>
            <w:right w:w="108" w:type="dxa"/>
          </w:tblCellMar>
        </w:tblPrEx>
        <w:trPr>
          <w:trHeight w:val="810" w:hRule="atLeast"/>
        </w:trPr>
        <w:tc>
          <w:tcPr>
            <w:tcW w:w="1052"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939"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年初预算数</w:t>
            </w:r>
          </w:p>
        </w:tc>
        <w:tc>
          <w:tcPr>
            <w:tcW w:w="1559" w:type="dxa"/>
            <w:gridSpan w:val="6"/>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全年（调整）预算数</w:t>
            </w:r>
          </w:p>
        </w:tc>
        <w:tc>
          <w:tcPr>
            <w:tcW w:w="1417"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全年执行数</w:t>
            </w:r>
          </w:p>
        </w:tc>
        <w:tc>
          <w:tcPr>
            <w:tcW w:w="1275"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执行率</w:t>
            </w:r>
          </w:p>
        </w:tc>
        <w:tc>
          <w:tcPr>
            <w:tcW w:w="997"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执行率权重</w:t>
            </w:r>
          </w:p>
        </w:tc>
        <w:tc>
          <w:tcPr>
            <w:tcW w:w="99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执行率得分</w:t>
            </w:r>
          </w:p>
        </w:tc>
      </w:tr>
      <w:tr>
        <w:tblPrEx>
          <w:tblCellMar>
            <w:top w:w="0" w:type="dxa"/>
            <w:left w:w="108" w:type="dxa"/>
            <w:bottom w:w="0" w:type="dxa"/>
            <w:right w:w="108" w:type="dxa"/>
          </w:tblCellMar>
        </w:tblPrEx>
        <w:trPr>
          <w:trHeight w:val="270" w:hRule="atLeast"/>
        </w:trPr>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年度总金额</w:t>
            </w:r>
          </w:p>
        </w:tc>
        <w:tc>
          <w:tcPr>
            <w:tcW w:w="9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xml:space="preserve">0.00 </w:t>
            </w:r>
          </w:p>
        </w:tc>
        <w:tc>
          <w:tcPr>
            <w:tcW w:w="1559"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25000</w:t>
            </w:r>
          </w:p>
        </w:tc>
        <w:tc>
          <w:tcPr>
            <w:tcW w:w="141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xml:space="preserve">25,000.00 </w:t>
            </w:r>
          </w:p>
        </w:tc>
        <w:tc>
          <w:tcPr>
            <w:tcW w:w="127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997"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w:t>
            </w:r>
          </w:p>
        </w:tc>
        <w:tc>
          <w:tcPr>
            <w:tcW w:w="99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w:t>
            </w:r>
          </w:p>
        </w:tc>
      </w:tr>
      <w:tr>
        <w:tblPrEx>
          <w:tblCellMar>
            <w:top w:w="0" w:type="dxa"/>
            <w:left w:w="108" w:type="dxa"/>
            <w:bottom w:w="0" w:type="dxa"/>
            <w:right w:w="108" w:type="dxa"/>
          </w:tblCellMar>
        </w:tblPrEx>
        <w:trPr>
          <w:trHeight w:val="540" w:hRule="atLeast"/>
        </w:trPr>
        <w:tc>
          <w:tcPr>
            <w:tcW w:w="1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其中：财政拨款</w:t>
            </w:r>
          </w:p>
        </w:tc>
        <w:tc>
          <w:tcPr>
            <w:tcW w:w="93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xml:space="preserve">0.00 </w:t>
            </w:r>
          </w:p>
        </w:tc>
        <w:tc>
          <w:tcPr>
            <w:tcW w:w="1559" w:type="dxa"/>
            <w:gridSpan w:val="6"/>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25000</w:t>
            </w:r>
          </w:p>
        </w:tc>
        <w:tc>
          <w:tcPr>
            <w:tcW w:w="141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xml:space="preserve">25,000.00 </w:t>
            </w:r>
          </w:p>
        </w:tc>
        <w:tc>
          <w:tcPr>
            <w:tcW w:w="1275"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100</w:t>
            </w:r>
          </w:p>
        </w:tc>
        <w:tc>
          <w:tcPr>
            <w:tcW w:w="997"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10.00</w:t>
            </w:r>
          </w:p>
        </w:tc>
        <w:tc>
          <w:tcPr>
            <w:tcW w:w="995"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10.00 </w:t>
            </w:r>
          </w:p>
        </w:tc>
      </w:tr>
      <w:tr>
        <w:tblPrEx>
          <w:tblCellMar>
            <w:top w:w="0" w:type="dxa"/>
            <w:left w:w="108" w:type="dxa"/>
            <w:bottom w:w="0" w:type="dxa"/>
            <w:right w:w="108" w:type="dxa"/>
          </w:tblCellMar>
        </w:tblPrEx>
        <w:trPr>
          <w:trHeight w:val="420" w:hRule="atLeast"/>
        </w:trPr>
        <w:tc>
          <w:tcPr>
            <w:tcW w:w="8234"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bCs/>
                <w:color w:val="7F7F7F"/>
                <w:sz w:val="21"/>
                <w:szCs w:val="21"/>
              </w:rPr>
            </w:pPr>
            <w:r>
              <w:rPr>
                <w:rFonts w:hint="default" w:ascii="Times New Roman" w:hAnsi="Times New Roman" w:eastAsia="方正仿宋_GBK" w:cs="Times New Roman"/>
                <w:bCs/>
                <w:color w:val="7F7F7F"/>
                <w:sz w:val="21"/>
                <w:szCs w:val="21"/>
              </w:rPr>
              <w:t>绩效目标</w:t>
            </w:r>
          </w:p>
        </w:tc>
      </w:tr>
      <w:tr>
        <w:tblPrEx>
          <w:tblCellMar>
            <w:top w:w="0" w:type="dxa"/>
            <w:left w:w="108" w:type="dxa"/>
            <w:bottom w:w="0" w:type="dxa"/>
            <w:right w:w="108" w:type="dxa"/>
          </w:tblCellMar>
        </w:tblPrEx>
        <w:trPr>
          <w:trHeight w:val="270" w:hRule="atLeast"/>
        </w:trPr>
        <w:tc>
          <w:tcPr>
            <w:tcW w:w="213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年初绩效目标</w:t>
            </w:r>
          </w:p>
        </w:tc>
        <w:tc>
          <w:tcPr>
            <w:tcW w:w="3687" w:type="dxa"/>
            <w:gridSpan w:val="9"/>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全年（调整）绩效目标</w:t>
            </w:r>
          </w:p>
        </w:tc>
        <w:tc>
          <w:tcPr>
            <w:tcW w:w="241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全年目标实际完成情况</w:t>
            </w:r>
          </w:p>
        </w:tc>
      </w:tr>
      <w:tr>
        <w:tblPrEx>
          <w:tblCellMar>
            <w:top w:w="0" w:type="dxa"/>
            <w:left w:w="108" w:type="dxa"/>
            <w:bottom w:w="0" w:type="dxa"/>
            <w:right w:w="108" w:type="dxa"/>
          </w:tblCellMar>
        </w:tblPrEx>
        <w:trPr>
          <w:trHeight w:val="270" w:hRule="atLeast"/>
        </w:trPr>
        <w:tc>
          <w:tcPr>
            <w:tcW w:w="2132" w:type="dxa"/>
            <w:gridSpan w:val="5"/>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3687" w:type="dxa"/>
            <w:gridSpan w:val="9"/>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保障驻村工作</w:t>
            </w:r>
          </w:p>
        </w:tc>
        <w:tc>
          <w:tcPr>
            <w:tcW w:w="2415" w:type="dxa"/>
            <w:gridSpan w:val="7"/>
            <w:tcBorders>
              <w:top w:val="single" w:color="auto" w:sz="4" w:space="0"/>
              <w:left w:val="nil"/>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驻村工作顺利开展</w:t>
            </w:r>
          </w:p>
        </w:tc>
      </w:tr>
      <w:tr>
        <w:tblPrEx>
          <w:tblCellMar>
            <w:top w:w="0" w:type="dxa"/>
            <w:left w:w="108" w:type="dxa"/>
            <w:bottom w:w="0" w:type="dxa"/>
            <w:right w:w="108" w:type="dxa"/>
          </w:tblCellMar>
        </w:tblPrEx>
        <w:trPr>
          <w:trHeight w:val="420" w:hRule="atLeast"/>
        </w:trPr>
        <w:tc>
          <w:tcPr>
            <w:tcW w:w="8234" w:type="dxa"/>
            <w:gridSpan w:val="21"/>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bCs/>
                <w:color w:val="7F7F7F"/>
                <w:sz w:val="21"/>
                <w:szCs w:val="21"/>
              </w:rPr>
            </w:pPr>
            <w:r>
              <w:rPr>
                <w:rFonts w:hint="default" w:ascii="Times New Roman" w:hAnsi="Times New Roman" w:eastAsia="方正仿宋_GBK" w:cs="Times New Roman"/>
                <w:bCs/>
                <w:color w:val="7F7F7F"/>
                <w:sz w:val="21"/>
                <w:szCs w:val="21"/>
              </w:rPr>
              <w:t>绩效指标</w:t>
            </w:r>
          </w:p>
        </w:tc>
      </w:tr>
      <w:tr>
        <w:tblPrEx>
          <w:tblCellMar>
            <w:top w:w="0" w:type="dxa"/>
            <w:left w:w="108" w:type="dxa"/>
            <w:bottom w:w="0" w:type="dxa"/>
            <w:right w:w="108" w:type="dxa"/>
          </w:tblCellMar>
        </w:tblPrEx>
        <w:trPr>
          <w:trHeight w:val="1080" w:hRule="atLeast"/>
        </w:trPr>
        <w:tc>
          <w:tcPr>
            <w:tcW w:w="1288"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指标名称</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计量单位</w:t>
            </w:r>
          </w:p>
        </w:tc>
        <w:tc>
          <w:tcPr>
            <w:tcW w:w="42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指</w:t>
            </w:r>
            <w:r>
              <w:rPr>
                <w:rFonts w:hint="eastAsia" w:ascii="Times New Roman" w:hAnsi="Times New Roman" w:eastAsia="方正仿宋_GBK" w:cs="Times New Roman"/>
                <w:bCs/>
                <w:color w:val="000000"/>
                <w:sz w:val="21"/>
                <w:szCs w:val="21"/>
                <w:lang w:val="en-US" w:eastAsia="zh-CN"/>
              </w:rPr>
              <w:t>指</w:t>
            </w:r>
            <w:r>
              <w:rPr>
                <w:rFonts w:hint="default" w:ascii="Times New Roman" w:hAnsi="Times New Roman" w:eastAsia="方正仿宋_GBK" w:cs="Times New Roman"/>
                <w:bCs/>
                <w:color w:val="000000"/>
                <w:sz w:val="21"/>
                <w:szCs w:val="21"/>
              </w:rPr>
              <w:t>标性质</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指标值</w:t>
            </w:r>
          </w:p>
        </w:tc>
        <w:tc>
          <w:tcPr>
            <w:tcW w:w="85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全年完成值</w:t>
            </w:r>
          </w:p>
        </w:tc>
        <w:tc>
          <w:tcPr>
            <w:tcW w:w="6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偏离度（%）</w:t>
            </w:r>
          </w:p>
        </w:tc>
        <w:tc>
          <w:tcPr>
            <w:tcW w:w="7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得分系数（%）</w:t>
            </w:r>
          </w:p>
        </w:tc>
        <w:tc>
          <w:tcPr>
            <w:tcW w:w="57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指标权重</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指标得分</w:t>
            </w:r>
          </w:p>
        </w:tc>
        <w:tc>
          <w:tcPr>
            <w:tcW w:w="70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是否核心指标</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说明</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bCs/>
                <w:color w:val="000000"/>
                <w:sz w:val="21"/>
                <w:szCs w:val="21"/>
              </w:rPr>
            </w:pPr>
          </w:p>
        </w:tc>
      </w:tr>
      <w:tr>
        <w:tblPrEx>
          <w:tblCellMar>
            <w:top w:w="0" w:type="dxa"/>
            <w:left w:w="108" w:type="dxa"/>
            <w:bottom w:w="0" w:type="dxa"/>
            <w:right w:w="108" w:type="dxa"/>
          </w:tblCellMar>
        </w:tblPrEx>
        <w:trPr>
          <w:trHeight w:val="1080" w:hRule="atLeast"/>
        </w:trPr>
        <w:tc>
          <w:tcPr>
            <w:tcW w:w="1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驻村工作补助标准</w:t>
            </w:r>
          </w:p>
        </w:tc>
        <w:tc>
          <w:tcPr>
            <w:tcW w:w="7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元/天</w:t>
            </w:r>
          </w:p>
        </w:tc>
        <w:tc>
          <w:tcPr>
            <w:tcW w:w="4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100</w:t>
            </w:r>
          </w:p>
        </w:tc>
        <w:tc>
          <w:tcPr>
            <w:tcW w:w="85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100</w:t>
            </w:r>
          </w:p>
        </w:tc>
        <w:tc>
          <w:tcPr>
            <w:tcW w:w="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0</w:t>
            </w:r>
          </w:p>
        </w:tc>
        <w:tc>
          <w:tcPr>
            <w:tcW w:w="7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100</w:t>
            </w:r>
          </w:p>
        </w:tc>
        <w:tc>
          <w:tcPr>
            <w:tcW w:w="5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30</w:t>
            </w:r>
          </w:p>
        </w:tc>
        <w:tc>
          <w:tcPr>
            <w:tcW w:w="5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30</w:t>
            </w:r>
          </w:p>
        </w:tc>
        <w:tc>
          <w:tcPr>
            <w:tcW w:w="70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r>
      <w:tr>
        <w:tblPrEx>
          <w:tblCellMar>
            <w:top w:w="0" w:type="dxa"/>
            <w:left w:w="108" w:type="dxa"/>
            <w:bottom w:w="0" w:type="dxa"/>
            <w:right w:w="108" w:type="dxa"/>
          </w:tblCellMar>
        </w:tblPrEx>
        <w:trPr>
          <w:trHeight w:val="777" w:hRule="atLeast"/>
        </w:trPr>
        <w:tc>
          <w:tcPr>
            <w:tcW w:w="12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驻村工作人员</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人</w:t>
            </w:r>
          </w:p>
        </w:tc>
        <w:tc>
          <w:tcPr>
            <w:tcW w:w="42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w:t>
            </w:r>
          </w:p>
        </w:tc>
        <w:tc>
          <w:tcPr>
            <w:tcW w:w="65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0</w:t>
            </w:r>
          </w:p>
        </w:tc>
        <w:tc>
          <w:tcPr>
            <w:tcW w:w="76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100</w:t>
            </w:r>
          </w:p>
        </w:tc>
        <w:tc>
          <w:tcPr>
            <w:tcW w:w="57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30</w:t>
            </w:r>
          </w:p>
        </w:tc>
        <w:tc>
          <w:tcPr>
            <w:tcW w:w="56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30</w:t>
            </w:r>
          </w:p>
        </w:tc>
        <w:tc>
          <w:tcPr>
            <w:tcW w:w="706"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42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56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r>
      <w:tr>
        <w:tblPrEx>
          <w:tblCellMar>
            <w:top w:w="0" w:type="dxa"/>
            <w:left w:w="108" w:type="dxa"/>
            <w:bottom w:w="0" w:type="dxa"/>
            <w:right w:w="108" w:type="dxa"/>
          </w:tblCellMar>
        </w:tblPrEx>
        <w:trPr>
          <w:trHeight w:val="1350" w:hRule="atLeast"/>
        </w:trPr>
        <w:tc>
          <w:tcPr>
            <w:tcW w:w="1288"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保障驻村工作取得实效</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42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定性</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好</w:t>
            </w:r>
          </w:p>
        </w:tc>
        <w:tc>
          <w:tcPr>
            <w:tcW w:w="85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w:t>
            </w:r>
          </w:p>
        </w:tc>
        <w:tc>
          <w:tcPr>
            <w:tcW w:w="6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0</w:t>
            </w:r>
          </w:p>
        </w:tc>
        <w:tc>
          <w:tcPr>
            <w:tcW w:w="7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100</w:t>
            </w:r>
          </w:p>
        </w:tc>
        <w:tc>
          <w:tcPr>
            <w:tcW w:w="57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20</w:t>
            </w:r>
          </w:p>
        </w:tc>
        <w:tc>
          <w:tcPr>
            <w:tcW w:w="70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r>
      <w:tr>
        <w:tblPrEx>
          <w:tblCellMar>
            <w:top w:w="0" w:type="dxa"/>
            <w:left w:w="108" w:type="dxa"/>
            <w:bottom w:w="0" w:type="dxa"/>
            <w:right w:w="108" w:type="dxa"/>
          </w:tblCellMar>
        </w:tblPrEx>
        <w:trPr>
          <w:trHeight w:val="1080" w:hRule="atLeast"/>
        </w:trPr>
        <w:tc>
          <w:tcPr>
            <w:tcW w:w="1288"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驻村人员满意度</w:t>
            </w:r>
          </w:p>
        </w:tc>
        <w:tc>
          <w:tcPr>
            <w:tcW w:w="709"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tc>
        <w:tc>
          <w:tcPr>
            <w:tcW w:w="42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w:t>
            </w:r>
          </w:p>
        </w:tc>
        <w:tc>
          <w:tcPr>
            <w:tcW w:w="7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99</w:t>
            </w:r>
          </w:p>
        </w:tc>
        <w:tc>
          <w:tcPr>
            <w:tcW w:w="850"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100</w:t>
            </w:r>
          </w:p>
        </w:tc>
        <w:tc>
          <w:tcPr>
            <w:tcW w:w="65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0</w:t>
            </w:r>
          </w:p>
        </w:tc>
        <w:tc>
          <w:tcPr>
            <w:tcW w:w="76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100</w:t>
            </w:r>
          </w:p>
        </w:tc>
        <w:tc>
          <w:tcPr>
            <w:tcW w:w="57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w:t>
            </w:r>
          </w:p>
        </w:tc>
        <w:tc>
          <w:tcPr>
            <w:tcW w:w="56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10</w:t>
            </w:r>
          </w:p>
        </w:tc>
        <w:tc>
          <w:tcPr>
            <w:tcW w:w="70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42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c>
          <w:tcPr>
            <w:tcW w:w="56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　</w:t>
            </w:r>
          </w:p>
        </w:tc>
      </w:tr>
    </w:tbl>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仿宋_GBK" w:cs="Times New Roman"/>
          <w:b w:val="0"/>
          <w:sz w:val="32"/>
          <w:szCs w:val="32"/>
        </w:rPr>
      </w:pPr>
      <w:r>
        <w:rPr>
          <w:rStyle w:val="7"/>
          <w:rFonts w:hint="default" w:ascii="Times New Roman" w:hAnsi="Times New Roman" w:eastAsia="方正仿宋_GBK" w:cs="Times New Roman"/>
          <w:b w:val="0"/>
          <w:sz w:val="32"/>
          <w:szCs w:val="32"/>
        </w:rPr>
        <w:t>2.绩效自评报告或案例。</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我单位未委托第三方开展绩效自评。</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仿宋_GBK" w:cs="Times New Roman"/>
          <w:b w:val="0"/>
          <w:sz w:val="32"/>
          <w:szCs w:val="32"/>
        </w:rPr>
      </w:pPr>
      <w:r>
        <w:rPr>
          <w:rStyle w:val="7"/>
          <w:rFonts w:hint="default" w:ascii="Times New Roman" w:hAnsi="Times New Roman" w:eastAsia="方正仿宋_GBK" w:cs="Times New Roman"/>
          <w:b w:val="0"/>
          <w:sz w:val="32"/>
          <w:szCs w:val="32"/>
        </w:rPr>
        <w:t>3.关于绩效自评结果的说明。</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我单位未委托第三方开展重点绩效评价。</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黑体_GBK" w:cs="Times New Roman"/>
        </w:rPr>
      </w:pPr>
      <w:r>
        <w:rPr>
          <w:rStyle w:val="7"/>
          <w:rFonts w:hint="default" w:ascii="Times New Roman" w:hAnsi="Times New Roman" w:eastAsia="方正黑体_GBK" w:cs="Times New Roman"/>
          <w:b w:val="0"/>
          <w:sz w:val="32"/>
          <w:szCs w:val="32"/>
        </w:rPr>
        <w:t>六、专业名词解释</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（十二）“三公”经费</w:t>
      </w:r>
      <w:r>
        <w:rPr>
          <w:rFonts w:hint="default" w:ascii="Times New Roman" w:hAnsi="Times New Roman" w:eastAsia="方正仿宋_GBK" w:cs="Times New Roman"/>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b w:val="0"/>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line="600" w:lineRule="exact"/>
        <w:ind w:firstLine="640" w:firstLineChars="200"/>
        <w:rPr>
          <w:rStyle w:val="7"/>
          <w:rFonts w:hint="default" w:ascii="Times New Roman" w:hAnsi="Times New Roman" w:eastAsia="方正黑体_GBK" w:cs="Times New Roman"/>
        </w:rPr>
      </w:pPr>
      <w:r>
        <w:rPr>
          <w:rStyle w:val="7"/>
          <w:rFonts w:hint="default" w:ascii="Times New Roman" w:hAnsi="Times New Roman" w:eastAsia="方正黑体_GBK" w:cs="Times New Roman"/>
          <w:b w:val="0"/>
          <w:sz w:val="32"/>
          <w:szCs w:val="32"/>
        </w:rPr>
        <w:t>七、决算公开联系方式及信息反馈渠道</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本单位决算公开信息反馈和联系方式：代鑫  023-70605558</w:t>
      </w:r>
    </w:p>
    <w:p>
      <w:pPr>
        <w:pStyle w:val="4"/>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docVars>
    <w:docVar w:name="commondata" w:val="eyJoZGlkIjoiZDRlMTI0ZmZkNWVkNDk2ZTg4NWYwOTQyMjQxMmY4NGEifQ=="/>
  </w:docVars>
  <w:rsids>
    <w:rsidRoot w:val="006E4C54"/>
    <w:rsid w:val="000A2B41"/>
    <w:rsid w:val="0026674B"/>
    <w:rsid w:val="002E2EB7"/>
    <w:rsid w:val="0038232B"/>
    <w:rsid w:val="00423D82"/>
    <w:rsid w:val="006E07AF"/>
    <w:rsid w:val="006E4C54"/>
    <w:rsid w:val="00935814"/>
    <w:rsid w:val="00A56FDB"/>
    <w:rsid w:val="00A9684B"/>
    <w:rsid w:val="00CC2FAB"/>
    <w:rsid w:val="00D211C2"/>
    <w:rsid w:val="00D45740"/>
    <w:rsid w:val="00D8608D"/>
    <w:rsid w:val="00E40E35"/>
    <w:rsid w:val="00F55A09"/>
    <w:rsid w:val="4233001D"/>
    <w:rsid w:val="4942495A"/>
    <w:rsid w:val="76781A98"/>
    <w:rsid w:val="7BB7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眉 字符"/>
    <w:basedOn w:val="6"/>
    <w:link w:val="3"/>
    <w:qFormat/>
    <w:uiPriority w:val="99"/>
    <w:rPr>
      <w:rFonts w:ascii="宋体" w:hAnsi="宋体" w:eastAsia="宋体" w:cs="宋体"/>
      <w:sz w:val="18"/>
      <w:szCs w:val="18"/>
    </w:rPr>
  </w:style>
  <w:style w:type="character" w:customStyle="1" w:styleId="9">
    <w:name w:val="页脚 字符"/>
    <w:basedOn w:val="6"/>
    <w:link w:val="2"/>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12</Pages>
  <Words>752</Words>
  <Characters>4291</Characters>
  <Lines>35</Lines>
  <Paragraphs>10</Paragraphs>
  <TotalTime>10</TotalTime>
  <ScaleCrop>false</ScaleCrop>
  <LinksUpToDate>false</LinksUpToDate>
  <CharactersWithSpaces>5033</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2023-09-13T03:49:00Z</dcterms:created>
  <dc:creator>Micorosoft</dc:creator>
  <cp:lastModifiedBy>温星星</cp:lastModifiedBy>
  <dcterms:modified xsi:type="dcterms:W3CDTF">2023-09-19T01:47:20Z</dcterms:modified>
  <dc:title>公开报告模板</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F94523B85ED949BEBBF8063A8E55AB73_12</vt:lpwstr>
  </property>
</Properties>
</file>