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napToGrid w:val="0"/>
        <w:spacing w:beforeAutospacing="0"/>
        <w:jc w:val="center"/>
        <w:rPr>
          <w:rFonts w:cs="宋体"/>
        </w:rPr>
      </w:pPr>
      <w:r>
        <w:rPr>
          <w:rFonts w:hint="eastAsia" w:cs="宋体"/>
          <w:sz w:val="54"/>
          <w:szCs w:val="54"/>
          <w:shd w:val="clear" w:color="auto" w:fill="FFFFFF"/>
        </w:rPr>
        <w:t>重庆市丰都县人力资源和社会保障行政执法支队</w:t>
      </w:r>
    </w:p>
    <w:p>
      <w:pPr>
        <w:pStyle w:val="4"/>
        <w:widowControl/>
        <w:snapToGrid w:val="0"/>
        <w:spacing w:beforeAutospacing="0"/>
        <w:jc w:val="center"/>
        <w:rPr>
          <w:rFonts w:cs="宋体"/>
        </w:rPr>
      </w:pPr>
      <w:r>
        <w:rPr>
          <w:rFonts w:hint="eastAsia" w:cs="宋体"/>
          <w:sz w:val="54"/>
          <w:szCs w:val="54"/>
          <w:shd w:val="clear" w:color="auto" w:fill="FFFFFF"/>
        </w:rPr>
        <w:t>2021年度部门决算情况说明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33"/>
          <w:szCs w:val="33"/>
          <w:shd w:val="clear" w:color="auto" w:fill="FFFFFF"/>
        </w:rPr>
        <w:t>一、部门基本情况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（一）职能职责。</w:t>
      </w:r>
    </w:p>
    <w:p>
      <w:pPr>
        <w:pStyle w:val="9"/>
        <w:ind w:left="319" w:leftChars="152"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（一）职能职责。贯彻执行劳动保障、人事管理及其争议方面的法律、法规、规章和方针政策；起草劳动监察、劳动人事争议仲裁的措施办法并承担相关工作。</w:t>
      </w:r>
    </w:p>
    <w:p>
      <w:pPr>
        <w:pStyle w:val="9"/>
        <w:ind w:left="21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县人力资源和社会保障局的委托，实施劳动保障监察工作，承担实施劳动保障法律、法规、规章及政策的监督检查；督促用人党委依法用工；依法纠正和查处用人单位违反劳动保障法律、法规和规章的行为。</w:t>
      </w:r>
    </w:p>
    <w:p>
      <w:pPr>
        <w:pStyle w:val="9"/>
        <w:ind w:left="21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手里辖区内违反劳动保障法律、法规和规章行为的举报、投诉。</w:t>
      </w:r>
    </w:p>
    <w:p>
      <w:pPr>
        <w:pStyle w:val="9"/>
        <w:ind w:left="21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据《中华人民共和国劳动争议调解仲裁法》和《人事争议处理规定》等有劳动人事争议规定，受理、调解、仲裁管辖范围内的劳动人事争议仲裁案件；负责开展劳动人事争议预防并指导用人单位合法用工。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（二）机构设置。</w:t>
      </w:r>
    </w:p>
    <w:p>
      <w:pPr>
        <w:spacing w:line="594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本单位内设科室执法大队为：综合科、法制科和执法大队。</w:t>
      </w:r>
    </w:p>
    <w:p>
      <w:pPr>
        <w:pStyle w:val="4"/>
        <w:widowControl/>
        <w:numPr>
          <w:ilvl w:val="0"/>
          <w:numId w:val="1"/>
        </w:numPr>
        <w:snapToGrid w:val="0"/>
        <w:spacing w:beforeAutospacing="0"/>
        <w:rPr>
          <w:rStyle w:val="8"/>
          <w:rFonts w:ascii="宋体" w:hAnsi="宋体" w:cs="宋体"/>
          <w:sz w:val="27"/>
          <w:szCs w:val="27"/>
          <w:shd w:val="clear" w:color="auto" w:fill="FFFFFF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单位构成。</w:t>
      </w:r>
    </w:p>
    <w:p>
      <w:pPr>
        <w:pStyle w:val="4"/>
        <w:widowControl/>
        <w:snapToGrid w:val="0"/>
        <w:spacing w:beforeAutospacing="0"/>
        <w:ind w:left="270" w:firstLine="640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本单位纳入2021年度决算编制的单位只有一个二级预算单位，本单位无下级单位。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33"/>
          <w:szCs w:val="33"/>
          <w:shd w:val="clear" w:color="auto" w:fill="FFFFFF"/>
        </w:rPr>
        <w:t>二、部门决算情况说明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（一）收入支出决算总体情况说明。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 xml:space="preserve">  1.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总体情况。</w:t>
      </w:r>
      <w:r>
        <w:rPr>
          <w:rFonts w:hint="eastAsia" w:cs="宋体"/>
          <w:sz w:val="27"/>
          <w:szCs w:val="27"/>
          <w:shd w:val="clear" w:color="auto" w:fill="FFFFFF"/>
        </w:rPr>
        <w:t>2021年度收入总计433.05万元，支出总计433.05万元。收支较上年决算数增加108.51万元、增长33.4%，主要原因是根据市上要求，增加了示范区专项执法达标工作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 xml:space="preserve">  2.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收入情况。</w:t>
      </w:r>
      <w:r>
        <w:rPr>
          <w:rFonts w:hint="eastAsia" w:cs="宋体"/>
          <w:sz w:val="27"/>
          <w:szCs w:val="27"/>
          <w:shd w:val="clear" w:color="auto" w:fill="FFFFFF"/>
        </w:rPr>
        <w:t>2021年度收入合计431.82万元，较上年决算数增加108.51万元，增长33.6%，主要原因是根据市上要求，增加了示范区专项执法达标工作。其中：财政拨款收入431.82万元，占100%；年初结转和结余1.23万元。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 xml:space="preserve">  3.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支出情况。</w:t>
      </w:r>
      <w:r>
        <w:rPr>
          <w:rFonts w:hint="eastAsia" w:cs="宋体"/>
          <w:sz w:val="27"/>
          <w:szCs w:val="27"/>
          <w:shd w:val="clear" w:color="auto" w:fill="FFFFFF"/>
        </w:rPr>
        <w:t>2021年度支出合计431.82万元，较上年决算数增加108.51万元，增长33.6%，主要原因是增加了示范区专项执法达标工作。其中：基本支出221.71万元，占51.3%；项目支出210.11万元，占48.7%；</w:t>
      </w:r>
      <w:r>
        <w:rPr>
          <w:rStyle w:val="8"/>
          <w:sz w:val="27"/>
          <w:szCs w:val="27"/>
          <w:shd w:val="clear" w:color="auto" w:fill="FFFFFF"/>
        </w:rPr>
        <w:t xml:space="preserve">  4.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结转结余情况。</w:t>
      </w:r>
      <w:r>
        <w:rPr>
          <w:rFonts w:hint="eastAsia" w:cs="宋体"/>
          <w:sz w:val="27"/>
          <w:szCs w:val="27"/>
          <w:shd w:val="clear" w:color="auto" w:fill="FFFFFF"/>
        </w:rPr>
        <w:t>2021年度年末结转和结余1.23万元，较上年决算数增加0.00万元，增长0%。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（二）财政拨款收入支出决算总体情况说明。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Fonts w:hint="eastAsia" w:cs="宋体"/>
          <w:sz w:val="27"/>
          <w:szCs w:val="27"/>
          <w:shd w:val="clear" w:color="auto" w:fill="FFFFFF"/>
        </w:rPr>
        <w:t>2021年度财政拨款收、支总计433.05万元。与2020年相比，财政拨款收、支总计各增加108.51万元，增长33.4%。主要原因是增加了示范区专项执法达标专项经费。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（三）一般公共预算财政拨款收入支出决算情况说明。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sz w:val="27"/>
          <w:szCs w:val="27"/>
          <w:shd w:val="clear" w:color="auto" w:fill="FFFFFF"/>
        </w:rPr>
        <w:t xml:space="preserve">  1.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收入情况。</w:t>
      </w:r>
      <w:r>
        <w:rPr>
          <w:rFonts w:hint="eastAsia" w:cs="宋体"/>
          <w:sz w:val="27"/>
          <w:szCs w:val="27"/>
          <w:shd w:val="clear" w:color="auto" w:fill="FFFFFF"/>
        </w:rPr>
        <w:t>2021年度一般公共预算财政拨款收入431.82万元，较上年决算数增加108.51万元，增长33.6%。主要原因是增加了示范区专项执法达标工作。较年初预算数增加117.01万元，增长37.2%。主要原因是增加了示范区专项执法达标工作经费。此外，年初财政拨款结转和结余1.23万元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sz w:val="27"/>
          <w:szCs w:val="27"/>
          <w:shd w:val="clear" w:color="auto" w:fill="FFFFFF"/>
        </w:rPr>
        <w:t xml:space="preserve">  2.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支出情况。</w:t>
      </w:r>
      <w:r>
        <w:rPr>
          <w:rFonts w:hint="eastAsia" w:cs="宋体"/>
          <w:sz w:val="27"/>
          <w:szCs w:val="27"/>
          <w:shd w:val="clear" w:color="auto" w:fill="FFFFFF"/>
        </w:rPr>
        <w:t>2021年度一般公共预算财政拨款支出431.82万元，较上年决算数增加108.51万元，增长33.6%。主要原因是增加了示范区专项执法达标工作，较年初预算数增加117.01万元，增长37.2%。主要原因是增加了示范区专项执法达标工作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 xml:space="preserve">  3.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结转结余情况。</w:t>
      </w:r>
      <w:r>
        <w:rPr>
          <w:rFonts w:hint="eastAsia" w:cs="宋体"/>
          <w:sz w:val="27"/>
          <w:szCs w:val="27"/>
          <w:shd w:val="clear" w:color="auto" w:fill="FFFFFF"/>
        </w:rPr>
        <w:t>2021年度年末一般公共预算财政拨款结转和结余1.23万元，较上年决算数增加0.00万元，增长0%。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 xml:space="preserve">  4.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比较情况。</w:t>
      </w:r>
      <w:r>
        <w:rPr>
          <w:rFonts w:hint="eastAsia" w:cs="宋体"/>
          <w:sz w:val="27"/>
          <w:szCs w:val="27"/>
          <w:shd w:val="clear" w:color="auto" w:fill="FFFFFF"/>
        </w:rPr>
        <w:t>本部门2021年度一般公共预算财政拨款支出主要用于以下几个方面：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（1）社会保障与就业支出403.51万元，占93.4%，较年初预算数增加110.09万元，增长37.5%，主要原因是增加了示范区专项执法达标工作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（2）卫生健康支出12.06万元，占2.8%，较年初预算数增加0.34万元，增长2.9%，主要原因是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医疗保险缴费基数的增加形成的</w:t>
      </w:r>
      <w:r>
        <w:rPr>
          <w:rFonts w:hint="eastAsia" w:cs="宋体"/>
          <w:color w:val="FF0000"/>
          <w:sz w:val="27"/>
          <w:szCs w:val="27"/>
          <w:shd w:val="clear" w:color="auto" w:fill="FFFFFF"/>
        </w:rPr>
        <w:t>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（3）住房保障支出16.25万元，占3.8%，较年初预算数增加6.58万元，增长68%，主要原因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是公积金缴费基数增加形成。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（四）一般公共预算财政拨款基本支出决算情况说明。</w:t>
      </w:r>
    </w:p>
    <w:p>
      <w:pPr>
        <w:pStyle w:val="4"/>
        <w:spacing w:before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2021年度一般公共财政拨款基本支出221.71万元。其中：人员经费205.69万元，较上年决算数增加36.52万元，增长21.6%，主要原因是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调资调待形成的。</w:t>
      </w:r>
      <w:r>
        <w:rPr>
          <w:rFonts w:hint="eastAsia" w:cs="宋体"/>
          <w:sz w:val="27"/>
          <w:szCs w:val="27"/>
          <w:shd w:val="clear" w:color="auto" w:fill="FFFFFF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人员经费用途主要包括基本工资、津贴补贴、</w:t>
      </w:r>
      <w:r>
        <w:rPr>
          <w:rFonts w:hint="eastAsia" w:ascii="仿宋_GB2312" w:hAnsi="仿宋_GB2312" w:eastAsia="仿宋_GB2312" w:cs="仿宋_GB2312"/>
          <w:sz w:val="32"/>
          <w:szCs w:val="32"/>
        </w:rPr>
        <w:t>奖金、社会保障缴费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等项；</w:t>
      </w:r>
      <w:r>
        <w:rPr>
          <w:rFonts w:hint="eastAsia" w:cs="宋体"/>
          <w:sz w:val="27"/>
          <w:szCs w:val="27"/>
          <w:shd w:val="clear" w:color="auto" w:fill="FFFFFF"/>
        </w:rPr>
        <w:t>公用经费16.02万元，较上年决算数减少38.12万元，下降70.4%，主要原因是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厉行节约，控制了所有的公用经费的支出。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公用经费用途主要包括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办公费、邮电费、手续费等支出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等项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（五）政府性基金预算收支决算情况说明。</w:t>
      </w:r>
    </w:p>
    <w:p>
      <w:pPr>
        <w:pStyle w:val="4"/>
        <w:shd w:val="clear" w:color="auto" w:fill="FFFFFF"/>
        <w:spacing w:beforeAutospacing="0" w:afterAutospacing="0" w:line="594" w:lineRule="exact"/>
        <w:ind w:firstLine="642" w:firstLineChars="200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本单位2021年度无政府性基金预算财政拨款收支。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（六）国有资本经营预算财政拨款支出决算情况说明。</w:t>
      </w:r>
    </w:p>
    <w:p>
      <w:pPr>
        <w:spacing w:line="594" w:lineRule="exact"/>
        <w:ind w:firstLine="64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本单位2021年度无国有资本经营预算财政拨款支出。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三、</w:t>
      </w:r>
      <w:r>
        <w:rPr>
          <w:rStyle w:val="8"/>
          <w:sz w:val="27"/>
          <w:szCs w:val="27"/>
          <w:shd w:val="clear" w:color="auto" w:fill="FFFFFF"/>
        </w:rPr>
        <w:t>“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三公</w:t>
      </w:r>
      <w:r>
        <w:rPr>
          <w:rStyle w:val="8"/>
          <w:sz w:val="27"/>
          <w:szCs w:val="27"/>
          <w:shd w:val="clear" w:color="auto" w:fill="FFFFFF"/>
        </w:rPr>
        <w:t>”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经费情况说明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（一）</w:t>
      </w:r>
      <w:r>
        <w:rPr>
          <w:rStyle w:val="8"/>
          <w:sz w:val="27"/>
          <w:szCs w:val="27"/>
          <w:shd w:val="clear" w:color="auto" w:fill="FFFFFF"/>
        </w:rPr>
        <w:t>“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三公</w:t>
      </w:r>
      <w:r>
        <w:rPr>
          <w:rStyle w:val="8"/>
          <w:sz w:val="27"/>
          <w:szCs w:val="27"/>
          <w:shd w:val="clear" w:color="auto" w:fill="FFFFFF"/>
        </w:rPr>
        <w:t>”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经费支出总体情况说明。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2021年度“三公”经费支出共计4.79万元，较年初预算数增加0.79万元，增长19.8%，主要原因是</w:t>
      </w:r>
      <w:bookmarkStart w:id="0" w:name="_GoBack"/>
      <w:bookmarkEnd w:id="0"/>
      <w:r>
        <w:rPr>
          <w:rFonts w:hint="eastAsia" w:cs="宋体"/>
          <w:sz w:val="27"/>
          <w:szCs w:val="27"/>
          <w:shd w:val="clear" w:color="auto" w:fill="FFFFFF"/>
        </w:rPr>
        <w:t>专项执法</w:t>
      </w:r>
      <w:r>
        <w:rPr>
          <w:rFonts w:hint="eastAsia" w:cs="宋体"/>
          <w:sz w:val="27"/>
          <w:szCs w:val="27"/>
          <w:shd w:val="clear" w:color="auto" w:fill="FFFFFF"/>
          <w:lang w:eastAsia="zh-CN"/>
        </w:rPr>
        <w:t>行</w:t>
      </w:r>
      <w:r>
        <w:rPr>
          <w:rFonts w:hint="eastAsia" w:cs="宋体"/>
          <w:sz w:val="27"/>
          <w:szCs w:val="27"/>
          <w:shd w:val="clear" w:color="auto" w:fill="FFFFFF"/>
        </w:rPr>
        <w:t>动增加。较上年支出数增加0.41万元，增长9.4%，主要原因是用于专项执法支出费用增加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（二）</w:t>
      </w:r>
      <w:r>
        <w:rPr>
          <w:rStyle w:val="8"/>
          <w:sz w:val="27"/>
          <w:szCs w:val="27"/>
          <w:shd w:val="clear" w:color="auto" w:fill="FFFFFF"/>
        </w:rPr>
        <w:t>“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三公</w:t>
      </w:r>
      <w:r>
        <w:rPr>
          <w:rStyle w:val="8"/>
          <w:sz w:val="27"/>
          <w:szCs w:val="27"/>
          <w:shd w:val="clear" w:color="auto" w:fill="FFFFFF"/>
        </w:rPr>
        <w:t>”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经费分项支出情况。</w:t>
      </w:r>
    </w:p>
    <w:p>
      <w:pPr>
        <w:pStyle w:val="4"/>
        <w:widowControl/>
        <w:snapToGrid w:val="0"/>
        <w:spacing w:beforeAutospacing="0"/>
        <w:rPr>
          <w:rFonts w:cs="宋体"/>
          <w:sz w:val="27"/>
          <w:szCs w:val="27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本单位2021年度未发生因公出国（境）费用支出</w:t>
      </w:r>
    </w:p>
    <w:p>
      <w:pPr>
        <w:pStyle w:val="4"/>
        <w:widowControl/>
        <w:snapToGrid w:val="0"/>
        <w:spacing w:beforeAutospacing="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/>
          <w:sz w:val="27"/>
          <w:szCs w:val="27"/>
        </w:rPr>
        <w:t>本单位2021年度未发生公务车购置费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支出。</w:t>
      </w:r>
    </w:p>
    <w:p>
      <w:pPr>
        <w:pStyle w:val="4"/>
        <w:widowControl/>
        <w:snapToGrid w:val="0"/>
        <w:spacing w:before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公务车运行维护费3.88万元，主要用于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公务车辆维护、维修、加油等公车的支出。</w:t>
      </w:r>
      <w:r>
        <w:rPr>
          <w:rFonts w:hint="eastAsia" w:cs="宋体"/>
          <w:sz w:val="27"/>
          <w:szCs w:val="27"/>
          <w:shd w:val="clear" w:color="auto" w:fill="FFFFFF"/>
        </w:rPr>
        <w:t>费用支出较年初预算数减少0.12万元，下降3%，</w:t>
      </w:r>
      <w:r>
        <w:rPr>
          <w:rFonts w:hint="eastAsia" w:cs="宋体"/>
          <w:sz w:val="27"/>
          <w:szCs w:val="27"/>
          <w:shd w:val="clear" w:color="auto" w:fill="FFFFFF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厉行节约，控制了所有的公用经费的支出。</w:t>
      </w:r>
      <w:r>
        <w:rPr>
          <w:rFonts w:hint="eastAsia" w:cs="宋体"/>
          <w:sz w:val="27"/>
          <w:szCs w:val="27"/>
          <w:shd w:val="clear" w:color="auto" w:fill="FFFFFF"/>
        </w:rPr>
        <w:t>较上年支出数减少0.10万元，下降2.5%，</w:t>
      </w:r>
      <w:r>
        <w:rPr>
          <w:rFonts w:hint="eastAsia" w:cs="宋体"/>
          <w:sz w:val="27"/>
          <w:szCs w:val="27"/>
          <w:shd w:val="clear" w:color="auto" w:fill="FFFFFF"/>
          <w:lang w:eastAsia="zh-CN"/>
        </w:rPr>
        <w:t>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厉行节约，控制了所有的公用经费的支出。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>公务接待费0.91万元，主要用于接待示范区建设达标检查验收费用，费用支出较年初预算数增加0.91万元，增长%，主要原因是接待示范区建设达标检查验收费用，较上年支出数增加0.51万元，增长127.5%，主要原因是接待示范区建设达标检查验收费用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（三）</w:t>
      </w:r>
      <w:r>
        <w:rPr>
          <w:rStyle w:val="8"/>
          <w:sz w:val="27"/>
          <w:szCs w:val="27"/>
          <w:shd w:val="clear" w:color="auto" w:fill="FFFFFF"/>
        </w:rPr>
        <w:t>“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三公</w:t>
      </w:r>
      <w:r>
        <w:rPr>
          <w:rStyle w:val="8"/>
          <w:sz w:val="27"/>
          <w:szCs w:val="27"/>
          <w:shd w:val="clear" w:color="auto" w:fill="FFFFFF"/>
        </w:rPr>
        <w:t>”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经费实物量情况。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2021年度本部门因公出国（境）共计0个团组，0人；公务用车购置0辆，公务车保有量为1辆；国内公务接待16批次92人，其中：国内外事接待0批次，0人；国（境）外公务接待0批次，0人。2021年本部门人均接待费98.78元，车均购置费0.00万元，车均维护费3.88万元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四、其他需要说明的事项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（一）一般公共预算财政拨款会议费和培训费情况说明。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本年度会议费支出0.00万元，较上年决算数增加0.00万元，增长%，主要原因是……。（由部门根据实际情况补充）。本年度培训费支出0.00万元，较上年决算数增加0.00万元，增长%，主要原因是……。（由部门根据实际情况补充）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（二）机关运行经费情况说明。</w:t>
      </w:r>
    </w:p>
    <w:p>
      <w:pPr>
        <w:pStyle w:val="4"/>
        <w:widowControl/>
        <w:snapToGrid w:val="0"/>
        <w:spacing w:beforeAutospacing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2021年度本部门机关运行经费支出16.02万元，机关运行经费主要用于开支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办公费、差旅费等维持部门正常运转经费支出。</w:t>
      </w:r>
      <w:r>
        <w:rPr>
          <w:rFonts w:hint="eastAsia" w:cs="宋体"/>
          <w:sz w:val="27"/>
          <w:szCs w:val="27"/>
          <w:shd w:val="clear" w:color="auto" w:fill="FFFFFF"/>
        </w:rPr>
        <w:t>机关运行经费较上年决算数减少38.12万元，下降70.4%，主要原因是</w:t>
      </w:r>
      <w:r>
        <w:rPr>
          <w:rFonts w:hint="eastAsia" w:ascii="仿宋_GB2312" w:hAnsi="仿宋_GB2312" w:eastAsia="仿宋_GB2312" w:cs="仿宋_GB2312"/>
          <w:sz w:val="32"/>
          <w:szCs w:val="32"/>
        </w:rPr>
        <w:t>厉行节约，控制了所有的公用经费的支出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（三）国有资产占用情况说明。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 xml:space="preserve">  截至2021年12月31日，本部门共有车辆1辆，其中，副部（省）级及以上领导用车0辆、主要领导干部用车0辆、机要通信用车0辆、应急保障用车1辆、执法执勤用车0辆，特种专业技术用车0辆，离退休干部用车0辆，其他用车0辆，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（四）政府采购支出情况说明。</w:t>
      </w:r>
    </w:p>
    <w:p>
      <w:pPr>
        <w:pStyle w:val="4"/>
        <w:shd w:val="clear" w:color="auto" w:fill="FFFFFF"/>
        <w:spacing w:beforeAutospacing="0" w:afterAutospacing="0" w:line="594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2021年度我单位未发生政府采购事项，无相关经费支出。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五、预算绩效管理情况说明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（一）预算绩效管理工作开展情况。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cs="宋体"/>
          <w:sz w:val="27"/>
          <w:szCs w:val="27"/>
          <w:shd w:val="clear" w:color="auto" w:fill="FFFFFF"/>
        </w:rPr>
        <w:t>根据预算绩效管理要求，我单位对4个项目开展了绩效自评，其中，以填报自评表形式开展自评4项，涉及资金101万元；本单位没有委托第三方出具报告的方式开展绩效评价。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（二）绩效自评结果。</w:t>
      </w:r>
    </w:p>
    <w:p>
      <w:pPr>
        <w:pStyle w:val="4"/>
        <w:widowControl/>
        <w:snapToGrid w:val="0"/>
        <w:spacing w:beforeAutospacing="0"/>
        <w:rPr>
          <w:rStyle w:val="8"/>
          <w:rFonts w:ascii="宋体" w:hAnsi="宋体"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 xml:space="preserve">  1.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绩效目标自评表。</w:t>
      </w: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594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</w:rPr>
        <w:t>1</w:t>
      </w: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年度项目绩效自评表</w:t>
      </w:r>
    </w:p>
    <w:p>
      <w:pPr>
        <w:widowControl/>
        <w:spacing w:line="594" w:lineRule="exact"/>
        <w:jc w:val="center"/>
        <w:rPr>
          <w:rFonts w:hint="eastAsia" w:ascii="Times New Roman" w:hAnsi="Times New Roman" w:eastAsia="方正小标宋_GBK"/>
          <w:color w:val="000000"/>
          <w:kern w:val="0"/>
          <w:sz w:val="36"/>
          <w:szCs w:val="36"/>
        </w:rPr>
      </w:pPr>
    </w:p>
    <w:tbl>
      <w:tblPr>
        <w:tblStyle w:val="5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00"/>
        <w:gridCol w:w="1300"/>
        <w:gridCol w:w="1300"/>
        <w:gridCol w:w="1300"/>
        <w:gridCol w:w="1300"/>
        <w:gridCol w:w="80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项目</w:t>
            </w:r>
            <w:r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52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劳动保障监察两网化建设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自评总分</w:t>
            </w:r>
          </w:p>
        </w:tc>
        <w:tc>
          <w:tcPr>
            <w:tcW w:w="22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52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丰都县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人力资源和社会保障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局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2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丰都县人力资源和社会保障行政执法支队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年初预算数</w:t>
            </w:r>
          </w:p>
        </w:tc>
        <w:tc>
          <w:tcPr>
            <w:tcW w:w="26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全年执行数</w:t>
            </w:r>
          </w:p>
        </w:tc>
        <w:tc>
          <w:tcPr>
            <w:tcW w:w="2225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  <w:t>预算执行率（%）（全年执行数/全年预算数）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年度总金额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6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6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52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52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全年完成情况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5200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实际完成值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分值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数量指标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监察网络信息录入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保证市县两网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建设同步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  <w:t>服务对象满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服务对象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好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好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  <w:t>意度指标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群众满意度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等线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等线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等线" w:cs="宋体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5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等线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等线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872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等线" w:cs="宋体"/>
                <w:kern w:val="0"/>
                <w:sz w:val="20"/>
                <w:szCs w:val="20"/>
              </w:rPr>
            </w:pPr>
          </w:p>
        </w:tc>
      </w:tr>
    </w:tbl>
    <w:p>
      <w:pPr>
        <w:pStyle w:val="4"/>
        <w:widowControl/>
        <w:snapToGrid w:val="0"/>
        <w:spacing w:beforeAutospacing="0"/>
        <w:rPr>
          <w:rStyle w:val="8"/>
          <w:rFonts w:ascii="宋体" w:hAnsi="宋体" w:cs="宋体"/>
          <w:sz w:val="27"/>
          <w:szCs w:val="27"/>
          <w:shd w:val="clear" w:color="auto" w:fill="FFFFFF"/>
        </w:rPr>
      </w:pPr>
      <w:r>
        <w:rPr>
          <w:rStyle w:val="8"/>
          <w:sz w:val="27"/>
          <w:szCs w:val="27"/>
          <w:shd w:val="clear" w:color="auto" w:fill="FFFFFF"/>
        </w:rPr>
        <w:t>2.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绩效自评报告或案例。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我单位未委托第三方开展绩效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Style w:val="8"/>
          <w:sz w:val="27"/>
          <w:szCs w:val="27"/>
          <w:shd w:val="clear" w:color="auto" w:fill="FFFFFF"/>
        </w:rPr>
        <w:t xml:space="preserve"> </w:t>
      </w:r>
    </w:p>
    <w:p>
      <w:pPr>
        <w:pStyle w:val="4"/>
        <w:widowControl/>
        <w:numPr>
          <w:ilvl w:val="0"/>
          <w:numId w:val="2"/>
        </w:numPr>
        <w:snapToGrid w:val="0"/>
        <w:spacing w:beforeAutospacing="0"/>
        <w:ind w:left="567"/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重点绩效评价结果。</w:t>
      </w:r>
    </w:p>
    <w:p>
      <w:pPr>
        <w:pStyle w:val="4"/>
        <w:widowControl/>
        <w:numPr>
          <w:ilvl w:val="0"/>
          <w:numId w:val="0"/>
        </w:numPr>
        <w:snapToGrid w:val="0"/>
        <w:spacing w:beforeAutospacing="0"/>
        <w:rPr>
          <w:rStyle w:val="8"/>
          <w:rFonts w:hint="eastAsia" w:ascii="宋体" w:hAnsi="宋体" w:eastAsia="仿宋_GB2312" w:cs="宋体"/>
          <w:b w:val="0"/>
          <w:bCs/>
          <w:sz w:val="27"/>
          <w:szCs w:val="27"/>
          <w:shd w:val="clear" w:color="auto" w:fill="FFFFFF"/>
          <w:lang w:val="en-US" w:eastAsia="zh-CN"/>
        </w:rPr>
      </w:pPr>
      <w:r>
        <w:rPr>
          <w:rStyle w:val="8"/>
          <w:rFonts w:hint="eastAsia" w:cs="宋体"/>
          <w:sz w:val="27"/>
          <w:szCs w:val="27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无</w:t>
      </w: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重点绩效评价</w:t>
      </w:r>
    </w:p>
    <w:p>
      <w:pPr>
        <w:pStyle w:val="4"/>
        <w:shd w:val="clear" w:color="auto" w:fill="FFFFFF"/>
        <w:ind w:left="567"/>
      </w:pPr>
      <w:r>
        <w:rPr>
          <w:rFonts w:hint="eastAsia"/>
          <w:sz w:val="27"/>
          <w:szCs w:val="27"/>
        </w:rPr>
        <w:t>我单位未委托第三方开展重点绩效评价。</w:t>
      </w:r>
    </w:p>
    <w:p>
      <w:pPr>
        <w:pStyle w:val="4"/>
        <w:widowControl/>
        <w:snapToGrid w:val="0"/>
        <w:spacing w:beforeAutospacing="0"/>
        <w:ind w:left="567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六、专业名词解释</w:t>
      </w:r>
    </w:p>
    <w:p>
      <w:pPr>
        <w:pStyle w:val="4"/>
        <w:widowControl/>
        <w:snapToGrid w:val="0"/>
        <w:spacing w:beforeAutospacing="0"/>
        <w:rPr>
          <w:rFonts w:cs="宋体"/>
        </w:rPr>
      </w:pPr>
      <w:r>
        <w:rPr>
          <w:rStyle w:val="8"/>
          <w:rFonts w:hint="eastAsia" w:ascii="宋体" w:hAnsi="宋体" w:cs="宋体"/>
          <w:sz w:val="27"/>
          <w:szCs w:val="27"/>
          <w:shd w:val="clear" w:color="auto" w:fill="FFFFFF"/>
        </w:rPr>
        <w:t>七、决算公开联系方式及信息反馈渠道</w:t>
      </w:r>
    </w:p>
    <w:p>
      <w:r>
        <w:rPr>
          <w:rFonts w:hint="eastAsia" w:ascii="宋体" w:hAnsi="宋体" w:eastAsia="宋体" w:cs="宋体"/>
          <w:kern w:val="0"/>
          <w:sz w:val="27"/>
          <w:szCs w:val="27"/>
          <w:shd w:val="clear" w:color="auto" w:fill="FFFFFF"/>
        </w:rPr>
        <w:t xml:space="preserve">  本单位决算公开信息反馈和联系方式：023-70708960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C790D"/>
    <w:multiLevelType w:val="singleLevel"/>
    <w:tmpl w:val="E56C790D"/>
    <w:lvl w:ilvl="0" w:tentative="0">
      <w:start w:val="3"/>
      <w:numFmt w:val="chineseCounting"/>
      <w:suff w:val="nothing"/>
      <w:lvlText w:val="（%1）"/>
      <w:lvlJc w:val="left"/>
      <w:pPr>
        <w:ind w:left="567" w:firstLine="0"/>
      </w:pPr>
      <w:rPr>
        <w:rFonts w:hint="eastAsia"/>
      </w:rPr>
    </w:lvl>
  </w:abstractNum>
  <w:abstractNum w:abstractNumId="1">
    <w:nsid w:val="10B97C14"/>
    <w:multiLevelType w:val="singleLevel"/>
    <w:tmpl w:val="10B97C14"/>
    <w:lvl w:ilvl="0" w:tentative="0">
      <w:start w:val="3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hmMDI0Y2Q2MDZmYmJiODIyYzdjZjJiM2ZmMDI5NDAifQ=="/>
  </w:docVars>
  <w:rsids>
    <w:rsidRoot w:val="00D903B1"/>
    <w:rsid w:val="005B0CCE"/>
    <w:rsid w:val="008B59E8"/>
    <w:rsid w:val="00D903B1"/>
    <w:rsid w:val="07D90733"/>
    <w:rsid w:val="124D72A3"/>
    <w:rsid w:val="2B9F2C1A"/>
    <w:rsid w:val="32BB6E53"/>
    <w:rsid w:val="349139D0"/>
    <w:rsid w:val="3F4E41C1"/>
    <w:rsid w:val="4E265D4C"/>
    <w:rsid w:val="5C0218A0"/>
    <w:rsid w:val="5D0431F0"/>
    <w:rsid w:val="7DDC3D7E"/>
    <w:rsid w:val="C59B3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宋体" w:hAnsi="宋体" w:eastAsia="宋体" w:cs="Times New Roman"/>
      <w:kern w:val="0"/>
      <w:sz w:val="24"/>
    </w:rPr>
  </w:style>
  <w:style w:type="character" w:customStyle="1" w:styleId="7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7</Pages>
  <Words>2964</Words>
  <Characters>3398</Characters>
  <Lines>39</Lines>
  <Paragraphs>11</Paragraphs>
  <TotalTime>1</TotalTime>
  <ScaleCrop>false</ScaleCrop>
  <LinksUpToDate>false</LinksUpToDate>
  <CharactersWithSpaces>3447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fengdu</cp:lastModifiedBy>
  <dcterms:modified xsi:type="dcterms:W3CDTF">2023-08-01T15:04:33Z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CD392B99023A482D8F5D96C195688ED2</vt:lpwstr>
  </property>
</Properties>
</file>