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3"/>
        <w:keepNext w:val="0"/>
        <w:keepLines w:val="0"/>
        <w:widowControl/>
        <w:suppressLineNumbers w:val="0"/>
        <w:shd w:val="clear" w:fill="FFFFFF"/>
        <w:autoSpaceDE w:val="0"/>
        <w:autoSpaceDN/>
        <w:ind w:left="0" w:firstLine="880" w:firstLineChars="200"/>
        <w:jc w:val="center"/>
        <w:rPr>
          <w:rFonts w:hint="eastAsia" w:ascii="方正小标宋_GBK" w:hAnsi="方正小标宋_GBK" w:eastAsia="方正小标宋_GBK" w:cs="方正小标宋_GBK"/>
          <w:kern w:val="0"/>
          <w:sz w:val="44"/>
          <w:szCs w:val="44"/>
          <w:shd w:val="clear" w:fill="FFFFFF"/>
        </w:rPr>
      </w:pPr>
      <w:r>
        <w:rPr>
          <w:rFonts w:hint="eastAsia" w:ascii="方正小标宋_GBK" w:hAnsi="方正小标宋_GBK" w:eastAsia="方正小标宋_GBK" w:cs="方正小标宋_GBK"/>
          <w:kern w:val="0"/>
          <w:sz w:val="44"/>
          <w:szCs w:val="44"/>
          <w:shd w:val="clear" w:fill="FFFFFF"/>
        </w:rPr>
        <w:t>重庆市丰都县社会保险事务中心</w:t>
      </w:r>
    </w:p>
    <w:p>
      <w:pPr>
        <w:pStyle w:val="13"/>
        <w:keepNext w:val="0"/>
        <w:keepLines w:val="0"/>
        <w:widowControl/>
        <w:suppressLineNumbers w:val="0"/>
        <w:shd w:val="clear" w:fill="FFFFFF"/>
        <w:autoSpaceDE w:val="0"/>
        <w:autoSpaceDN/>
        <w:ind w:left="0" w:firstLine="880" w:firstLineChars="200"/>
        <w:jc w:val="center"/>
        <w:rPr>
          <w:rFonts w:hint="eastAsia" w:ascii="方正小标宋_GBK" w:hAnsi="方正小标宋_GBK" w:eastAsia="方正小标宋_GBK" w:cs="方正小标宋_GBK"/>
          <w:kern w:val="0"/>
          <w:sz w:val="44"/>
          <w:szCs w:val="44"/>
          <w:shd w:val="clear" w:fill="FFFFFF"/>
        </w:rPr>
      </w:pPr>
      <w:r>
        <w:rPr>
          <w:rFonts w:hint="eastAsia" w:ascii="方正小标宋_GBK" w:hAnsi="方正小标宋_GBK" w:eastAsia="方正小标宋_GBK" w:cs="方正小标宋_GBK"/>
          <w:kern w:val="0"/>
          <w:sz w:val="44"/>
          <w:szCs w:val="44"/>
          <w:shd w:val="clear" w:fill="FFFFFF"/>
        </w:rPr>
        <w:t>2021年度部门决算情况说明</w:t>
      </w:r>
    </w:p>
    <w:p>
      <w:pPr>
        <w:pStyle w:val="13"/>
        <w:keepNext w:val="0"/>
        <w:keepLines w:val="0"/>
        <w:widowControl/>
        <w:suppressLineNumbers w:val="0"/>
        <w:shd w:val="clear" w:fill="FFFFFF"/>
        <w:autoSpaceDE w:val="0"/>
        <w:autoSpaceDN/>
        <w:rPr>
          <w:rFonts w:hint="eastAsia" w:ascii="宋体" w:hAnsi="宋体" w:eastAsia="宋体" w:cs="宋体"/>
          <w:kern w:val="0"/>
          <w:sz w:val="24"/>
          <w:szCs w:val="24"/>
          <w:shd w:val="clear" w:fill="FFFFFF"/>
        </w:rPr>
      </w:pPr>
      <w:r>
        <w:rPr>
          <w:rStyle w:val="14"/>
          <w:rFonts w:hint="eastAsia" w:ascii="Times New Roman" w:hAnsi="Times New Roman" w:eastAsia="宋体" w:cs="宋体"/>
          <w:b/>
          <w:sz w:val="33"/>
          <w:szCs w:val="33"/>
          <w:shd w:val="clear" w:fill="FFFFFF"/>
        </w:rPr>
        <w:t xml:space="preserve"> </w:t>
      </w:r>
      <w:r>
        <w:rPr>
          <w:rStyle w:val="14"/>
          <w:rFonts w:hint="eastAsia" w:ascii="宋体" w:hAnsi="宋体" w:eastAsia="宋体" w:cs="宋体"/>
          <w:b/>
          <w:sz w:val="33"/>
          <w:szCs w:val="33"/>
          <w:shd w:val="clear" w:fill="FFFFFF"/>
        </w:rPr>
        <w:t xml:space="preserve"> </w:t>
      </w:r>
      <w:r>
        <w:rPr>
          <w:rStyle w:val="14"/>
          <w:rFonts w:hint="eastAsia" w:ascii="宋体" w:hAnsi="宋体" w:eastAsia="宋体" w:cs="宋体"/>
          <w:b/>
          <w:shd w:val="clear" w:fill="FFFFFF"/>
        </w:rPr>
        <w:t>一、部门基本情况</w:t>
      </w:r>
    </w:p>
    <w:p>
      <w:pPr>
        <w:keepNext w:val="0"/>
        <w:keepLines w:val="0"/>
        <w:widowControl/>
        <w:suppressLineNumbers w:val="0"/>
        <w:autoSpaceDE w:val="0"/>
        <w:autoSpaceDN/>
        <w:ind w:left="0" w:firstLine="480" w:firstLineChars="200"/>
        <w:rPr>
          <w:rFonts w:hint="eastAsia" w:ascii="宋体" w:hAnsi="宋体" w:eastAsia="宋体" w:cs="仿宋"/>
          <w:kern w:val="0"/>
          <w:sz w:val="24"/>
          <w:szCs w:val="24"/>
        </w:rPr>
      </w:pPr>
      <w:r>
        <w:rPr>
          <w:rFonts w:hint="eastAsia" w:ascii="宋体" w:hAnsi="宋体" w:eastAsia="宋体" w:cs="宋体"/>
          <w:kern w:val="0"/>
          <w:sz w:val="24"/>
          <w:szCs w:val="24"/>
        </w:rPr>
        <w:t>本单位为丰都县人力资源和社会保障局所属级二级</w:t>
      </w:r>
      <w:r>
        <w:rPr>
          <w:rFonts w:hint="eastAsia" w:ascii="宋体" w:hAnsi="宋体" w:eastAsia="宋体" w:cs="宋体"/>
          <w:spacing w:val="0"/>
          <w:kern w:val="0"/>
          <w:sz w:val="24"/>
          <w:szCs w:val="24"/>
        </w:rPr>
        <w:t>预算单位，单位性质</w:t>
      </w:r>
      <w:r>
        <w:rPr>
          <w:rFonts w:hint="eastAsia" w:ascii="宋体" w:hAnsi="宋体" w:eastAsia="宋体" w:cs="宋体"/>
          <w:kern w:val="0"/>
          <w:sz w:val="24"/>
          <w:szCs w:val="24"/>
        </w:rPr>
        <w:t>为参照公务员管理的事业单位，决算编报类型为单户表，按照政府会计制度填报决算数据。</w:t>
      </w:r>
    </w:p>
    <w:p>
      <w:pPr>
        <w:keepNext w:val="0"/>
        <w:keepLines w:val="0"/>
        <w:widowControl/>
        <w:suppressLineNumbers w:val="0"/>
        <w:autoSpaceDE w:val="0"/>
        <w:autoSpaceDN/>
        <w:ind w:left="0" w:firstLine="480" w:firstLineChars="200"/>
        <w:rPr>
          <w:rFonts w:hint="eastAsia" w:ascii="宋体" w:hAnsi="宋体" w:eastAsia="宋体" w:cs="仿宋"/>
          <w:kern w:val="0"/>
          <w:sz w:val="24"/>
          <w:szCs w:val="24"/>
        </w:rPr>
      </w:pPr>
      <w:r>
        <w:rPr>
          <w:rFonts w:hint="eastAsia" w:ascii="宋体" w:hAnsi="宋体" w:eastAsia="宋体" w:cs="宋体"/>
          <w:kern w:val="0"/>
          <w:sz w:val="24"/>
          <w:szCs w:val="24"/>
        </w:rPr>
        <w:t>纳入本套决算编制范围的独立核算单位共1个，比上年增减0个。</w:t>
      </w:r>
    </w:p>
    <w:p>
      <w:pPr>
        <w:pStyle w:val="13"/>
        <w:keepNext w:val="0"/>
        <w:keepLines w:val="0"/>
        <w:widowControl/>
        <w:suppressLineNumbers w:val="0"/>
        <w:shd w:val="clear" w:fill="FFFFFF"/>
        <w:autoSpaceDE w:val="0"/>
        <w:autoSpaceDN/>
        <w:ind w:left="0" w:firstLine="481" w:firstLineChars="20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 xml:space="preserve">  （一）职能职责。</w:t>
      </w:r>
    </w:p>
    <w:p>
      <w:pPr>
        <w:keepNext w:val="0"/>
        <w:keepLines w:val="0"/>
        <w:widowControl/>
        <w:suppressLineNumbers w:val="0"/>
        <w:autoSpaceDE w:val="0"/>
        <w:autoSpaceDN/>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丰都社保中心由丰都县人力资源和社会保障局举办，统一社会信用代码：12500230452026447J；住所：丰都县三合街道商业路286号；法定代表人：李兴才；经费来源：经费自理；开办资金：593万元；宗旨和业务范围：提供社会保险管理服务，促进社会保险事业发展。贯彻执行国家和市有关养老、工伤保险法律、法规和政策；组织制定全县养老、工伤保险征缴计划和支付计划；负责全县养老、工伤保险经办管理服务的日常工作；负责指导乡镇（街道）开展养老、工伤保险经办服务工作。</w:t>
      </w:r>
    </w:p>
    <w:p>
      <w:pPr>
        <w:pStyle w:val="13"/>
        <w:keepNext w:val="0"/>
        <w:keepLines w:val="0"/>
        <w:widowControl/>
        <w:suppressLineNumbers w:val="0"/>
        <w:shd w:val="clear" w:fill="FFFFFF"/>
        <w:autoSpaceDE w:val="0"/>
        <w:autoSpaceDN/>
        <w:ind w:left="0" w:firstLine="481" w:firstLineChars="20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 xml:space="preserve">  （二）机构设置。</w:t>
      </w:r>
    </w:p>
    <w:p>
      <w:pPr>
        <w:keepNext w:val="0"/>
        <w:keepLines w:val="0"/>
        <w:widowControl/>
        <w:suppressLineNumbers w:val="0"/>
        <w:autoSpaceDE w:val="0"/>
        <w:autoSpaceDN/>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丰都社保中心2019年12月1日根据中共丰都县委机构编制委员会《关于丰都县社会保险局机构编制方案的批复》（丰委编委〔2019〕110号）“经县委编委会研究，同意丰都县社会保险局机构编制调整方案，丰都县社会保险局为丰都县人力资源和社会保障局所属正科级财政全额拨款公益一类事业单位”，内设9个机构：办公室、财务基金科（稽核监督科）、信息网络科、公共业务科（单位参保科）、个人参保科、机关事业养老保险科、工伤保险科、居民养老保险科、养老待遇科并确定了各科室的职责。丰都县社会保险局全额事业编制为32名，其中设局长1名、副局长2名；内设机构领导职数9名（各科室设科长、主任1名）。</w:t>
      </w:r>
    </w:p>
    <w:p>
      <w:pPr>
        <w:keepNext w:val="0"/>
        <w:keepLines w:val="0"/>
        <w:widowControl/>
        <w:suppressLineNumbers w:val="0"/>
        <w:autoSpaceDE w:val="0"/>
        <w:autoSpaceDN/>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2020年5月13日中共丰都县委机构编制委员会《关于丰都县社会保险事务中心内设机构调整方案的批复》（丰委编委〔2020〕18号）“经县委编委会研究，同意在保持原有内设机构总数不变的情况下，将在财务基金科挂牌设立的稽核监督科单独设立，撤销机关事业养老保险科，其职责分别并入公共业务科、养老待遇科”，并确定了稽核监督科、财务基金科、公共业务科（单位参保科）、养老待遇科的职责。</w:t>
      </w:r>
    </w:p>
    <w:p>
      <w:pPr>
        <w:pStyle w:val="13"/>
        <w:keepNext w:val="0"/>
        <w:keepLines w:val="0"/>
        <w:widowControl/>
        <w:suppressLineNumbers w:val="0"/>
        <w:shd w:val="clear" w:fill="FFFFFF"/>
        <w:autoSpaceDE w:val="0"/>
        <w:autoSpaceDN/>
        <w:ind w:left="0" w:firstLine="481" w:firstLineChars="20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 xml:space="preserve">   二、部门决算情况说明</w:t>
      </w:r>
    </w:p>
    <w:p>
      <w:pPr>
        <w:pStyle w:val="13"/>
        <w:keepNext w:val="0"/>
        <w:keepLines w:val="0"/>
        <w:widowControl/>
        <w:suppressLineNumbers w:val="0"/>
        <w:shd w:val="clear" w:fill="FFFFFF"/>
        <w:autoSpaceDE w:val="0"/>
        <w:autoSpaceDN/>
        <w:ind w:left="0" w:firstLine="481" w:firstLineChars="20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（一）收入支出决算总体情况说明。</w:t>
      </w:r>
    </w:p>
    <w:p>
      <w:pPr>
        <w:keepNext w:val="0"/>
        <w:keepLines w:val="0"/>
        <w:widowControl/>
        <w:suppressLineNumbers w:val="0"/>
        <w:autoSpaceDE w:val="0"/>
        <w:autoSpaceDN/>
        <w:ind w:left="0" w:firstLine="481" w:firstLineChars="200"/>
        <w:rPr>
          <w:rFonts w:hint="eastAsia" w:ascii="宋体" w:hAnsi="宋体" w:eastAsia="宋体" w:cs="宋体"/>
          <w:kern w:val="0"/>
          <w:sz w:val="24"/>
          <w:szCs w:val="24"/>
        </w:rPr>
      </w:pPr>
      <w:r>
        <w:rPr>
          <w:rStyle w:val="14"/>
          <w:rFonts w:hint="eastAsia" w:ascii="宋体" w:hAnsi="宋体" w:eastAsia="宋体" w:cs="宋体"/>
          <w:b/>
          <w:kern w:val="0"/>
          <w:sz w:val="24"/>
          <w:szCs w:val="24"/>
          <w:shd w:val="clear" w:fill="FFFFFF"/>
        </w:rPr>
        <w:t>1.总体情况。</w:t>
      </w:r>
      <w:r>
        <w:rPr>
          <w:rFonts w:hint="eastAsia" w:ascii="宋体" w:hAnsi="宋体" w:eastAsia="宋体" w:cs="宋体"/>
          <w:kern w:val="0"/>
          <w:sz w:val="24"/>
          <w:szCs w:val="24"/>
        </w:rPr>
        <w:t>2021年度收入总计2,129.51万元，支出总计2,129.51万元。收支较上年决算数增加408.96万元、增长23.8%，主要原因是本年收入总计2091.32万元，其中财政拨款2076.32万元，其他收入15万元，使用年初结转38.19万元，共计2129.51万元 。本年支出2129.51万元，其中一般公共服务支出21万元，社会保障和就业支出1997.98万元，卫生健康支出32.06万元，自然资源海洋气象支出38.8万元，住房保障支出24.67万元，其他支出15万元。</w:t>
      </w:r>
    </w:p>
    <w:p>
      <w:pPr>
        <w:keepNext w:val="0"/>
        <w:keepLines w:val="0"/>
        <w:widowControl/>
        <w:suppressLineNumbers w:val="0"/>
        <w:autoSpaceDE w:val="0"/>
        <w:autoSpaceDN/>
        <w:ind w:left="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 xml:space="preserve">  </w:t>
      </w:r>
      <w:r>
        <w:rPr>
          <w:rStyle w:val="14"/>
          <w:rFonts w:hint="eastAsia" w:ascii="宋体" w:hAnsi="宋体" w:eastAsia="宋体" w:cs="宋体"/>
          <w:b/>
          <w:kern w:val="0"/>
          <w:sz w:val="24"/>
          <w:szCs w:val="24"/>
          <w:shd w:val="clear" w:fill="FFFFFF"/>
        </w:rPr>
        <w:t>2.收入情况。</w:t>
      </w:r>
      <w:r>
        <w:rPr>
          <w:rFonts w:hint="eastAsia" w:ascii="宋体" w:hAnsi="宋体" w:eastAsia="宋体" w:cs="宋体"/>
          <w:kern w:val="0"/>
          <w:sz w:val="24"/>
          <w:szCs w:val="24"/>
        </w:rPr>
        <w:t>2021年度收入合计2,091.32万元，较上年决算数增加427.46万元，增长25.7%，主要原因是财政拨款增加了427.46万元，占25.7%；其中：财政拨款收入2,076.32万元，占99.3%；其他收入15.00万元，占0.7%。此外，年初结转和结余38.19万元。</w:t>
      </w:r>
    </w:p>
    <w:p>
      <w:pPr>
        <w:keepNext w:val="0"/>
        <w:keepLines w:val="0"/>
        <w:widowControl/>
        <w:suppressLineNumbers w:val="0"/>
        <w:autoSpaceDE w:val="0"/>
        <w:autoSpaceDN/>
        <w:ind w:left="0" w:firstLine="481" w:firstLineChars="200"/>
        <w:rPr>
          <w:rFonts w:hint="eastAsia" w:ascii="宋体" w:hAnsi="宋体" w:eastAsia="宋体" w:cs="宋体"/>
          <w:kern w:val="0"/>
          <w:sz w:val="24"/>
          <w:szCs w:val="24"/>
        </w:rPr>
      </w:pPr>
      <w:r>
        <w:rPr>
          <w:rStyle w:val="14"/>
          <w:rFonts w:hint="eastAsia" w:ascii="宋体" w:hAnsi="宋体" w:eastAsia="宋体" w:cs="宋体"/>
          <w:b/>
          <w:kern w:val="0"/>
          <w:sz w:val="24"/>
          <w:szCs w:val="24"/>
          <w:shd w:val="clear" w:fill="FFFFFF"/>
        </w:rPr>
        <w:t xml:space="preserve">  3.支出情况。</w:t>
      </w:r>
      <w:r>
        <w:rPr>
          <w:rFonts w:hint="eastAsia" w:ascii="宋体" w:hAnsi="宋体" w:eastAsia="宋体" w:cs="宋体"/>
          <w:kern w:val="0"/>
          <w:sz w:val="24"/>
          <w:szCs w:val="24"/>
        </w:rPr>
        <w:t>2021年度支出合计2,129.51万元，较上年决算数增加447.15万元，增长26.6%，主要原因是财政拨款447.15万元，占26.6%；其中：基本支出574.55万元，占27%；项目支出1,554.95万元，占73%。</w:t>
      </w:r>
    </w:p>
    <w:p>
      <w:pPr>
        <w:pStyle w:val="13"/>
        <w:keepNext w:val="0"/>
        <w:keepLines w:val="0"/>
        <w:widowControl/>
        <w:suppressLineNumbers w:val="0"/>
        <w:shd w:val="clear" w:fill="FFFFFF"/>
        <w:autoSpaceDE w:val="0"/>
        <w:autoSpaceDN/>
        <w:ind w:left="0" w:firstLine="481" w:firstLineChars="200"/>
        <w:rPr>
          <w:rFonts w:hint="eastAsia" w:ascii="宋体" w:hAnsi="宋体" w:eastAsia="宋体" w:cs="宋体"/>
          <w:color w:val="FF0000"/>
          <w:kern w:val="0"/>
          <w:sz w:val="24"/>
          <w:szCs w:val="24"/>
          <w:shd w:val="clear" w:fill="FFFFFF"/>
        </w:rPr>
      </w:pPr>
      <w:r>
        <w:rPr>
          <w:rStyle w:val="14"/>
          <w:rFonts w:hint="eastAsia" w:ascii="宋体" w:hAnsi="宋体" w:eastAsia="宋体" w:cs="宋体"/>
          <w:b/>
          <w:shd w:val="clear" w:fill="FFFFFF"/>
        </w:rPr>
        <w:t xml:space="preserve">  4.结转结余情况。</w:t>
      </w:r>
      <w:r>
        <w:rPr>
          <w:rFonts w:hint="eastAsia" w:ascii="宋体" w:hAnsi="宋体" w:eastAsia="宋体" w:cs="宋体"/>
          <w:kern w:val="0"/>
          <w:sz w:val="24"/>
          <w:szCs w:val="24"/>
          <w:shd w:val="clear" w:fill="FFFFFF"/>
        </w:rPr>
        <w:t>2021年度年末结转和结余0.00万元，较上年决算数减少38.19万元，下降100%，主要原因是本年年末无结转和结余。</w:t>
      </w:r>
    </w:p>
    <w:p>
      <w:pPr>
        <w:pStyle w:val="13"/>
        <w:keepNext w:val="0"/>
        <w:keepLines w:val="0"/>
        <w:widowControl/>
        <w:suppressLineNumbers w:val="0"/>
        <w:shd w:val="clear" w:fill="FFFFFF"/>
        <w:autoSpaceDE w:val="0"/>
        <w:autoSpaceDN/>
        <w:ind w:left="0" w:firstLine="481" w:firstLineChars="20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 xml:space="preserve">  （二）财政拨款收入支出决算总体情况说明。</w:t>
      </w:r>
    </w:p>
    <w:p>
      <w:pPr>
        <w:pStyle w:val="13"/>
        <w:keepNext w:val="0"/>
        <w:keepLines w:val="0"/>
        <w:widowControl/>
        <w:suppressLineNumbers w:val="0"/>
        <w:shd w:val="clear" w:fill="FFFFFF"/>
        <w:autoSpaceDE w:val="0"/>
        <w:autoSpaceDN/>
        <w:ind w:left="0" w:firstLine="480" w:firstLineChars="20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2021年度财政拨款收、支总计2,076.32万元。与2020年相比，财政拨款收、支总计各增加433.68万元，增长26.4%。主要原因是项目支出增加了433.68万元，占26.4%。</w:t>
      </w:r>
    </w:p>
    <w:p>
      <w:pPr>
        <w:pStyle w:val="13"/>
        <w:keepNext w:val="0"/>
        <w:keepLines w:val="0"/>
        <w:widowControl/>
        <w:suppressLineNumbers w:val="0"/>
        <w:shd w:val="clear" w:fill="FFFFFF"/>
        <w:autoSpaceDE w:val="0"/>
        <w:autoSpaceDN/>
        <w:ind w:left="0" w:firstLine="481" w:firstLineChars="20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 xml:space="preserve">  （三）一般公共预算财政拨款收入支出决算情况说明。</w:t>
      </w:r>
    </w:p>
    <w:p>
      <w:pPr>
        <w:pStyle w:val="13"/>
        <w:keepNext w:val="0"/>
        <w:keepLines w:val="0"/>
        <w:widowControl/>
        <w:suppressLineNumbers w:val="0"/>
        <w:shd w:val="clear" w:fill="FFFFFF"/>
        <w:autoSpaceDE w:val="0"/>
        <w:autoSpaceDN/>
        <w:ind w:left="0" w:firstLine="481" w:firstLineChars="20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 xml:space="preserve">  1.收入情况。</w:t>
      </w:r>
      <w:r>
        <w:rPr>
          <w:rFonts w:hint="eastAsia" w:ascii="宋体" w:hAnsi="宋体" w:eastAsia="宋体" w:cs="宋体"/>
          <w:kern w:val="0"/>
          <w:sz w:val="24"/>
          <w:szCs w:val="24"/>
          <w:shd w:val="clear" w:fill="FFFFFF"/>
        </w:rPr>
        <w:t>2021年度一般公共预算财政拨款收入2,076.32万元，较上年决算数增加433.68万元，增长26.4%。主要原因是项目支出增加了433.68万元，增长了26.4%；较年初预算数增加326.55万元，增长18.7%。主要原因是项目支出增加了326.55万元，增长了18.7%，此外，年初财政拨款结转和结余0.00万元。</w:t>
      </w:r>
    </w:p>
    <w:p>
      <w:pPr>
        <w:pStyle w:val="13"/>
        <w:keepNext w:val="0"/>
        <w:keepLines w:val="0"/>
        <w:widowControl/>
        <w:suppressLineNumbers w:val="0"/>
        <w:shd w:val="clear" w:fill="FFFFFF"/>
        <w:autoSpaceDE w:val="0"/>
        <w:autoSpaceDN/>
        <w:ind w:left="0" w:firstLine="481" w:firstLineChars="20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 xml:space="preserve">  2.支出情况。</w:t>
      </w:r>
      <w:r>
        <w:rPr>
          <w:rFonts w:hint="eastAsia" w:ascii="宋体" w:hAnsi="宋体" w:eastAsia="宋体" w:cs="宋体"/>
          <w:kern w:val="0"/>
          <w:sz w:val="24"/>
          <w:szCs w:val="24"/>
          <w:shd w:val="clear" w:fill="FFFFFF"/>
        </w:rPr>
        <w:t>2021年度一般公共预算财政拨款支出2,076.32万元，较上年决算数增加433.68万元，增长26.4%。主要原因是项目支出增加了433.68万元，增长了26.4%；较年初预算数增加326.55万元，增长18.7%。主要原因是项目支出增加了326.55万元，增长了18.7%。</w:t>
      </w:r>
    </w:p>
    <w:p>
      <w:pPr>
        <w:pStyle w:val="13"/>
        <w:keepNext w:val="0"/>
        <w:keepLines w:val="0"/>
        <w:widowControl/>
        <w:suppressLineNumbers w:val="0"/>
        <w:shd w:val="clear" w:fill="FFFFFF"/>
        <w:autoSpaceDE w:val="0"/>
        <w:autoSpaceDN/>
        <w:ind w:left="0" w:firstLine="481" w:firstLineChars="20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 xml:space="preserve">  3.结转结余情况。</w:t>
      </w:r>
      <w:r>
        <w:rPr>
          <w:rFonts w:hint="eastAsia" w:ascii="宋体" w:hAnsi="宋体" w:eastAsia="宋体" w:cs="宋体"/>
          <w:kern w:val="0"/>
          <w:sz w:val="24"/>
          <w:szCs w:val="24"/>
          <w:shd w:val="clear" w:fill="FFFFFF"/>
        </w:rPr>
        <w:t>2021年度年末一般公共预算财政拨款结转和结余0.00万元，较上年决算数增加0.00万元，增长%，主要原因是本年末一般公共预算财政拨款结转和结余。</w:t>
      </w:r>
    </w:p>
    <w:p>
      <w:pPr>
        <w:pStyle w:val="13"/>
        <w:keepNext w:val="0"/>
        <w:keepLines w:val="0"/>
        <w:widowControl/>
        <w:suppressLineNumbers w:val="0"/>
        <w:shd w:val="clear" w:fill="FFFFFF"/>
        <w:autoSpaceDE w:val="0"/>
        <w:autoSpaceDN/>
        <w:ind w:left="0" w:firstLine="481" w:firstLineChars="20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 xml:space="preserve">  4.比较情况。</w:t>
      </w:r>
      <w:r>
        <w:rPr>
          <w:rFonts w:hint="eastAsia" w:ascii="宋体" w:hAnsi="宋体" w:eastAsia="宋体" w:cs="宋体"/>
          <w:kern w:val="0"/>
          <w:sz w:val="24"/>
          <w:szCs w:val="24"/>
          <w:shd w:val="clear" w:fill="FFFFFF"/>
        </w:rPr>
        <w:t xml:space="preserve">本部门2021年度一般公共预算财政拨款支出主要用于以下几个方面： </w:t>
      </w:r>
    </w:p>
    <w:p>
      <w:pPr>
        <w:pStyle w:val="13"/>
        <w:keepNext w:val="0"/>
        <w:keepLines w:val="0"/>
        <w:widowControl/>
        <w:suppressLineNumbers w:val="0"/>
        <w:shd w:val="clear" w:fill="FFFFFF"/>
        <w:autoSpaceDE w:val="0"/>
        <w:autoSpaceDN/>
        <w:ind w:left="0" w:firstLine="480" w:firstLineChars="20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（1）一般公共服务支出21.00万元，占1%，较年初预算数增加0.00万元，增长0%，主要原因是项目支出无增加预算。</w:t>
      </w:r>
    </w:p>
    <w:p>
      <w:pPr>
        <w:pStyle w:val="13"/>
        <w:keepNext w:val="0"/>
        <w:keepLines w:val="0"/>
        <w:widowControl/>
        <w:suppressLineNumbers w:val="0"/>
        <w:shd w:val="clear" w:fill="FFFFFF"/>
        <w:autoSpaceDE w:val="0"/>
        <w:autoSpaceDN/>
        <w:ind w:left="0" w:firstLine="480" w:firstLineChars="20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（2）社会保障与就业支出1,959.79万元，占94.4%，较年初预算数增加283.04万元，增长16.9%，主要原因是中途人员增加导致社会保障缴费增加了283.04万元，占 16.9%。</w:t>
      </w:r>
    </w:p>
    <w:p>
      <w:pPr>
        <w:pStyle w:val="13"/>
        <w:keepNext w:val="0"/>
        <w:keepLines w:val="0"/>
        <w:widowControl/>
        <w:suppressLineNumbers w:val="0"/>
        <w:shd w:val="clear" w:fill="FFFFFF"/>
        <w:autoSpaceDE w:val="0"/>
        <w:autoSpaceDN/>
        <w:ind w:left="0" w:firstLine="480" w:firstLineChars="20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（3）卫生健康支出32.06万元，占1.5%，较年初预算数增加4.71万元，增长17.2%，主要原因是中途人员增加导致社会保障缴费增加了4.71万元，占 17.2%。</w:t>
      </w:r>
    </w:p>
    <w:p>
      <w:pPr>
        <w:pStyle w:val="13"/>
        <w:keepNext w:val="0"/>
        <w:keepLines w:val="0"/>
        <w:widowControl/>
        <w:suppressLineNumbers w:val="0"/>
        <w:shd w:val="clear" w:fill="FFFFFF"/>
        <w:autoSpaceDE w:val="0"/>
        <w:autoSpaceDN/>
        <w:ind w:left="0" w:firstLine="480" w:firstLineChars="200"/>
        <w:rPr>
          <w:rFonts w:hint="eastAsia" w:ascii="宋体" w:hAnsi="宋体" w:eastAsia="宋体" w:cs="宋体"/>
          <w:color w:val="FF0000"/>
          <w:kern w:val="0"/>
          <w:sz w:val="24"/>
          <w:szCs w:val="24"/>
          <w:shd w:val="clear" w:fill="FFFFFF"/>
        </w:rPr>
      </w:pPr>
      <w:r>
        <w:rPr>
          <w:rFonts w:hint="eastAsia" w:ascii="宋体" w:hAnsi="宋体" w:eastAsia="宋体" w:cs="宋体"/>
          <w:kern w:val="0"/>
          <w:sz w:val="24"/>
          <w:szCs w:val="24"/>
          <w:shd w:val="clear" w:fill="FFFFFF"/>
        </w:rPr>
        <w:t xml:space="preserve">  （4）自然资源海洋气象等支出38.80万元，占1.9%，较年初预算数增加38.80万元，增长100%，主要原因是年初无此项目预算，中途追加的项目预算38.80万元，增长100%.</w:t>
      </w:r>
    </w:p>
    <w:p>
      <w:pPr>
        <w:pStyle w:val="13"/>
        <w:keepNext w:val="0"/>
        <w:keepLines w:val="0"/>
        <w:widowControl/>
        <w:suppressLineNumbers w:val="0"/>
        <w:shd w:val="clear" w:fill="FFFFFF"/>
        <w:autoSpaceDE w:val="0"/>
        <w:autoSpaceDN/>
        <w:ind w:left="0" w:firstLine="480" w:firstLineChars="20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（5）住房保障支出24.67万元，占1.2%，较年初预算数增加0.00万元，增长0%，主要原因是实际支出住房公积金24.67万元。</w:t>
      </w:r>
    </w:p>
    <w:p>
      <w:pPr>
        <w:pStyle w:val="13"/>
        <w:keepNext w:val="0"/>
        <w:keepLines w:val="0"/>
        <w:widowControl/>
        <w:suppressLineNumbers w:val="0"/>
        <w:shd w:val="clear" w:fill="FFFFFF"/>
        <w:autoSpaceDE w:val="0"/>
        <w:autoSpaceDN/>
        <w:ind w:left="0" w:firstLine="480" w:firstLineChars="20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r>
        <w:rPr>
          <w:rStyle w:val="14"/>
          <w:rFonts w:hint="eastAsia" w:ascii="宋体" w:hAnsi="宋体" w:eastAsia="宋体" w:cs="宋体"/>
          <w:b/>
          <w:shd w:val="clear" w:fill="FFFFFF"/>
        </w:rPr>
        <w:t>（四）一般公共预算财政拨款基本支出决算情况说明。</w:t>
      </w:r>
    </w:p>
    <w:p>
      <w:pPr>
        <w:pStyle w:val="13"/>
        <w:keepNext w:val="0"/>
        <w:keepLines w:val="0"/>
        <w:widowControl/>
        <w:suppressLineNumbers w:val="0"/>
        <w:shd w:val="clear" w:fill="FFFFFF"/>
        <w:autoSpaceDE w:val="0"/>
        <w:autoSpaceDN/>
        <w:ind w:left="0" w:firstLine="480" w:firstLineChars="20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2021年度一般公共财政拨款基本支出574.55万元。其中：人员经费503.22万元，较上年决算数减少3.71万元，下降0.7%，主要原因是工资福利支出减少，奖金减少了3.71万元，占 0.7%；人员经费用途主要包括工资福利支出473.73万元，对个人和家庭补助支出29.4万元；公用经费71.33万元，较上年决算数减少27.11万元，下降27.5%，主要原因是压缩了办公经费支出</w:t>
      </w:r>
      <w:r>
        <w:rPr>
          <w:rFonts w:hint="eastAsia" w:ascii="宋体" w:hAnsi="宋体" w:eastAsia="宋体" w:cs="宋体"/>
          <w:color w:val="FF0000"/>
          <w:kern w:val="0"/>
          <w:sz w:val="24"/>
          <w:szCs w:val="24"/>
          <w:shd w:val="clear" w:fill="FFFFFF"/>
        </w:rPr>
        <w:t>，</w:t>
      </w:r>
      <w:r>
        <w:rPr>
          <w:rFonts w:hint="eastAsia" w:ascii="宋体" w:hAnsi="宋体" w:eastAsia="宋体" w:cs="宋体"/>
          <w:kern w:val="0"/>
          <w:sz w:val="24"/>
          <w:szCs w:val="24"/>
          <w:shd w:val="clear" w:fill="FFFFFF"/>
        </w:rPr>
        <w:t>公用经费用途主要包括水电费、邮电费、工会经费、其他交通费和其他商品和服务支出。</w:t>
      </w:r>
    </w:p>
    <w:p>
      <w:pPr>
        <w:pStyle w:val="13"/>
        <w:keepNext w:val="0"/>
        <w:keepLines w:val="0"/>
        <w:widowControl/>
        <w:suppressLineNumbers w:val="0"/>
        <w:shd w:val="clear" w:fill="FFFFFF"/>
        <w:autoSpaceDE w:val="0"/>
        <w:autoSpaceDN/>
        <w:ind w:left="0" w:firstLine="481" w:firstLineChars="20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 xml:space="preserve">  （五）政府性基金预算收支决算情况说明。</w:t>
      </w:r>
    </w:p>
    <w:p>
      <w:pPr>
        <w:pStyle w:val="9"/>
        <w:keepNext w:val="0"/>
        <w:keepLines w:val="0"/>
        <w:widowControl/>
        <w:suppressLineNumbers w:val="0"/>
        <w:shd w:val="clear" w:fill="FFFFFF"/>
        <w:autoSpaceDE w:val="0"/>
        <w:autoSpaceDN/>
        <w:ind w:left="0" w:firstLine="480" w:firstLineChars="20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本单位2021年度无政府性基金预算财政拨款收支。</w:t>
      </w:r>
    </w:p>
    <w:p>
      <w:pPr>
        <w:pStyle w:val="13"/>
        <w:keepNext w:val="0"/>
        <w:keepLines w:val="0"/>
        <w:widowControl/>
        <w:suppressLineNumbers w:val="0"/>
        <w:shd w:val="clear" w:fill="FFFFFF"/>
        <w:autoSpaceDE w:val="0"/>
        <w:autoSpaceDN/>
        <w:ind w:left="0" w:firstLine="481" w:firstLineChars="20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 xml:space="preserve">  （六）国有资本经营预算财政拨款支出决算情况说明。</w:t>
      </w:r>
    </w:p>
    <w:p>
      <w:pPr>
        <w:pStyle w:val="13"/>
        <w:keepNext w:val="0"/>
        <w:keepLines w:val="0"/>
        <w:widowControl/>
        <w:suppressLineNumbers w:val="0"/>
        <w:shd w:val="clear" w:fill="FFFFFF"/>
        <w:autoSpaceDE w:val="0"/>
        <w:autoSpaceDN/>
        <w:ind w:left="0" w:firstLine="480" w:firstLineChars="200"/>
        <w:rPr>
          <w:rFonts w:hint="eastAsia" w:ascii="宋体" w:hAnsi="宋体" w:eastAsia="宋体" w:cs="宋体"/>
          <w:kern w:val="0"/>
          <w:sz w:val="27"/>
          <w:szCs w:val="27"/>
          <w:shd w:val="clear" w:fill="FFFFFF"/>
        </w:rPr>
      </w:pPr>
      <w:r>
        <w:rPr>
          <w:rFonts w:hint="eastAsia" w:ascii="宋体" w:hAnsi="宋体" w:eastAsia="宋体" w:cs="宋体"/>
          <w:kern w:val="0"/>
          <w:sz w:val="24"/>
          <w:szCs w:val="24"/>
          <w:shd w:val="clear" w:fill="FFFFFF"/>
        </w:rPr>
        <w:t>本单位2021年度无国有资本经营预算财政拨款支出。</w:t>
      </w:r>
    </w:p>
    <w:p>
      <w:pPr>
        <w:pStyle w:val="13"/>
        <w:keepNext w:val="0"/>
        <w:keepLines w:val="0"/>
        <w:widowControl/>
        <w:suppressLineNumbers w:val="0"/>
        <w:shd w:val="clear" w:fill="FFFFFF"/>
        <w:autoSpaceDE w:val="0"/>
        <w:autoSpaceDN/>
        <w:ind w:left="0" w:firstLine="480" w:firstLineChars="20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r>
        <w:rPr>
          <w:rStyle w:val="14"/>
          <w:rFonts w:hint="eastAsia" w:ascii="宋体" w:hAnsi="宋体" w:eastAsia="宋体" w:cs="宋体"/>
          <w:b/>
          <w:shd w:val="clear" w:fill="FFFFFF"/>
        </w:rPr>
        <w:t xml:space="preserve">  三、“三公”经费情况说明</w:t>
      </w:r>
    </w:p>
    <w:p>
      <w:pPr>
        <w:pStyle w:val="13"/>
        <w:keepNext w:val="0"/>
        <w:keepLines w:val="0"/>
        <w:widowControl/>
        <w:suppressLineNumbers w:val="0"/>
        <w:shd w:val="clear" w:fill="FFFFFF"/>
        <w:autoSpaceDE w:val="0"/>
        <w:autoSpaceDN/>
        <w:ind w:left="0" w:firstLine="481" w:firstLineChars="20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 xml:space="preserve">  （一）“三公”经费支出总体情况说明。</w:t>
      </w:r>
    </w:p>
    <w:p>
      <w:pPr>
        <w:pStyle w:val="13"/>
        <w:keepNext w:val="0"/>
        <w:keepLines w:val="0"/>
        <w:widowControl/>
        <w:suppressLineNumbers w:val="0"/>
        <w:shd w:val="clear" w:fill="FFFFFF"/>
        <w:autoSpaceDE w:val="0"/>
        <w:autoSpaceDN/>
        <w:ind w:left="0" w:firstLine="480" w:firstLineChars="200"/>
        <w:rPr>
          <w:rFonts w:hint="eastAsia" w:ascii="宋体" w:hAnsi="宋体" w:eastAsia="宋体" w:cs="宋体"/>
          <w:color w:val="FF0000"/>
          <w:kern w:val="0"/>
          <w:sz w:val="24"/>
          <w:szCs w:val="24"/>
          <w:shd w:val="clear" w:fill="FFFFFF"/>
        </w:rPr>
      </w:pPr>
      <w:r>
        <w:rPr>
          <w:rFonts w:hint="eastAsia" w:ascii="宋体" w:hAnsi="宋体" w:eastAsia="宋体" w:cs="宋体"/>
          <w:kern w:val="0"/>
          <w:sz w:val="24"/>
          <w:szCs w:val="24"/>
          <w:shd w:val="clear" w:fill="FFFFFF"/>
        </w:rPr>
        <w:t xml:space="preserve">  2021年度“三公”经费支出共计0.70万元，较年初预算数减少4.30万元，下降86%，主要原因是公务接待人次比预算减少了，较上年支出数增加0.47万元，增长204.3%，主要原因是公务接待人次比上年增加了。</w:t>
      </w:r>
    </w:p>
    <w:p>
      <w:pPr>
        <w:pStyle w:val="13"/>
        <w:keepNext w:val="0"/>
        <w:keepLines w:val="0"/>
        <w:widowControl/>
        <w:suppressLineNumbers w:val="0"/>
        <w:shd w:val="clear" w:fill="FFFFFF"/>
        <w:autoSpaceDE w:val="0"/>
        <w:autoSpaceDN/>
        <w:ind w:left="0" w:firstLine="481" w:firstLineChars="20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 xml:space="preserve">  （二）“三公”经费分项支出情况。</w:t>
      </w:r>
    </w:p>
    <w:p>
      <w:pPr>
        <w:pStyle w:val="9"/>
        <w:keepNext w:val="0"/>
        <w:keepLines w:val="0"/>
        <w:widowControl/>
        <w:suppressLineNumbers w:val="0"/>
        <w:shd w:val="clear" w:fill="FFFFFF"/>
        <w:autoSpaceDE w:val="0"/>
        <w:autoSpaceDN/>
        <w:ind w:left="0" w:firstLine="480" w:firstLineChars="20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本单位2021年度未发生因公出国（境）费用。</w:t>
      </w:r>
    </w:p>
    <w:p>
      <w:pPr>
        <w:pStyle w:val="9"/>
        <w:keepNext w:val="0"/>
        <w:keepLines w:val="0"/>
        <w:widowControl/>
        <w:suppressLineNumbers w:val="0"/>
        <w:shd w:val="clear" w:fill="FFFFFF"/>
        <w:autoSpaceDE w:val="0"/>
        <w:autoSpaceDN/>
        <w:ind w:left="0" w:firstLine="480" w:firstLineChars="20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本单位2021年度未发生公务车购置费。</w:t>
      </w:r>
    </w:p>
    <w:p>
      <w:pPr>
        <w:pStyle w:val="13"/>
        <w:keepNext w:val="0"/>
        <w:keepLines w:val="0"/>
        <w:widowControl/>
        <w:suppressLineNumbers w:val="0"/>
        <w:shd w:val="clear" w:fill="FFFFFF"/>
        <w:autoSpaceDE w:val="0"/>
        <w:autoSpaceDN/>
        <w:ind w:left="0" w:firstLine="480" w:firstLineChars="20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本单位2021年度未发生公务车运行维护费</w:t>
      </w:r>
    </w:p>
    <w:p>
      <w:pPr>
        <w:pStyle w:val="13"/>
        <w:keepNext w:val="0"/>
        <w:keepLines w:val="0"/>
        <w:widowControl/>
        <w:suppressLineNumbers w:val="0"/>
        <w:shd w:val="clear" w:fill="FFFFFF"/>
        <w:autoSpaceDE w:val="0"/>
        <w:autoSpaceDN/>
        <w:ind w:left="0" w:firstLine="480" w:firstLineChars="20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公务接待费0.70万元，主要用于接待市社保局的专项检查和区县间的交换督查，费用支出较年初预算数减少4.30万元，下降86%，主要原因是减少了人次，较上年支出数增加0.47万元，增长204.3%，主要原因是增加了区县间的交换督查</w:t>
      </w:r>
    </w:p>
    <w:p>
      <w:pPr>
        <w:pStyle w:val="13"/>
        <w:keepNext w:val="0"/>
        <w:keepLines w:val="0"/>
        <w:widowControl/>
        <w:suppressLineNumbers w:val="0"/>
        <w:shd w:val="clear" w:fill="FFFFFF"/>
        <w:autoSpaceDE w:val="0"/>
        <w:autoSpaceDN/>
        <w:ind w:left="0" w:firstLine="481" w:firstLineChars="20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 xml:space="preserve">  （三）“三公”经费实物量情况。</w:t>
      </w:r>
    </w:p>
    <w:p>
      <w:pPr>
        <w:pStyle w:val="13"/>
        <w:keepNext w:val="0"/>
        <w:keepLines w:val="0"/>
        <w:widowControl/>
        <w:suppressLineNumbers w:val="0"/>
        <w:shd w:val="clear" w:fill="FFFFFF"/>
        <w:autoSpaceDE w:val="0"/>
        <w:autoSpaceDN/>
        <w:ind w:left="0" w:firstLine="480" w:firstLineChars="20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2021年度本部门因公出国（境）共计0个团组，0人；公务用车购置0辆，公务车保有量为0辆；国内公务接待7批次68人，其中：国内外事接待0批次，0人；国（境）外公务接待0批次，0人。2021年本部门人均接待费102.46元，车均购置费0.00万元，车均维护费0.00万元。</w:t>
      </w:r>
    </w:p>
    <w:p>
      <w:pPr>
        <w:pStyle w:val="13"/>
        <w:keepNext w:val="0"/>
        <w:keepLines w:val="0"/>
        <w:widowControl/>
        <w:suppressLineNumbers w:val="0"/>
        <w:shd w:val="clear" w:fill="FFFFFF"/>
        <w:autoSpaceDE w:val="0"/>
        <w:autoSpaceDN/>
        <w:ind w:left="0" w:firstLine="481" w:firstLineChars="20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 xml:space="preserve">  四、其他需要说明的事项</w:t>
      </w:r>
    </w:p>
    <w:p>
      <w:pPr>
        <w:pStyle w:val="13"/>
        <w:keepNext w:val="0"/>
        <w:keepLines w:val="0"/>
        <w:widowControl/>
        <w:suppressLineNumbers w:val="0"/>
        <w:shd w:val="clear" w:fill="FFFFFF"/>
        <w:autoSpaceDE w:val="0"/>
        <w:autoSpaceDN/>
        <w:ind w:left="0" w:firstLine="481" w:firstLineChars="20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 xml:space="preserve">  （一）一般公共预算财政拨款会议费和培训费情况说明。</w:t>
      </w:r>
    </w:p>
    <w:p>
      <w:pPr>
        <w:pStyle w:val="13"/>
        <w:keepNext w:val="0"/>
        <w:keepLines w:val="0"/>
        <w:widowControl/>
        <w:suppressLineNumbers w:val="0"/>
        <w:shd w:val="clear" w:fill="FFFFFF"/>
        <w:autoSpaceDE w:val="0"/>
        <w:autoSpaceDN/>
        <w:ind w:left="0" w:firstLine="480" w:firstLineChars="20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本年度会议费支出0.16万元，较上年决算数增加0.16万元，增长%，主要原因是乡镇（街道）社保所人员会议。本年度培训费支出4.58万元，较上年决算数减少2.42万元，下降34.6%，主要原因是培训人次减少了。</w:t>
      </w:r>
    </w:p>
    <w:p>
      <w:pPr>
        <w:pStyle w:val="13"/>
        <w:keepNext w:val="0"/>
        <w:keepLines w:val="0"/>
        <w:widowControl/>
        <w:suppressLineNumbers w:val="0"/>
        <w:shd w:val="clear" w:fill="FFFFFF"/>
        <w:autoSpaceDE w:val="0"/>
        <w:autoSpaceDN/>
        <w:ind w:left="0" w:firstLine="481" w:firstLineChars="20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 xml:space="preserve">  （二）机关运行经费情况说明。</w:t>
      </w:r>
    </w:p>
    <w:p>
      <w:pPr>
        <w:pStyle w:val="13"/>
        <w:keepNext w:val="0"/>
        <w:keepLines w:val="0"/>
        <w:widowControl/>
        <w:suppressLineNumbers w:val="0"/>
        <w:shd w:val="clear" w:fill="FFFFFF"/>
        <w:autoSpaceDE w:val="0"/>
        <w:autoSpaceDN/>
        <w:ind w:left="0" w:firstLine="480" w:firstLineChars="20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2021年度本部门机关运行经费支出71.33万元，机关运行经费主要用于开支水电费、邮电费、工会经费、其他交通费和其他商品和服务支出。机关运行经费较上年决算数减少27.11万元，下降27.5%，主要原因是压缩了办公经费支出。</w:t>
      </w:r>
    </w:p>
    <w:p>
      <w:pPr>
        <w:pStyle w:val="13"/>
        <w:keepNext w:val="0"/>
        <w:keepLines w:val="0"/>
        <w:widowControl/>
        <w:suppressLineNumbers w:val="0"/>
        <w:shd w:val="clear" w:fill="FFFFFF"/>
        <w:autoSpaceDE w:val="0"/>
        <w:autoSpaceDN/>
        <w:ind w:left="0" w:firstLine="481" w:firstLineChars="20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 xml:space="preserve">  （三）国有资产占用情况说明。</w:t>
      </w:r>
    </w:p>
    <w:p>
      <w:pPr>
        <w:pStyle w:val="13"/>
        <w:keepNext w:val="0"/>
        <w:keepLines w:val="0"/>
        <w:widowControl/>
        <w:suppressLineNumbers w:val="0"/>
        <w:shd w:val="clear" w:fill="FFFFFF"/>
        <w:autoSpaceDE w:val="0"/>
        <w:autoSpaceDN/>
        <w:ind w:left="0" w:firstLine="480" w:firstLineChars="20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截至2021年12月31日，本部门共有车辆0辆，其中，副部（省）级及以上领导用车0辆、主要领导干部用车0辆、机要通信用车0辆、应急保障用车0辆、执法执勤用车0辆，特种专业技术用车0辆，离退休干部用车0辆，其他用车0辆，其他用车主要是其他用车。单价50万元（含）以上通用设备0台（套），单价100万元（含）以上专用设备0台（套）。</w:t>
      </w:r>
    </w:p>
    <w:p>
      <w:pPr>
        <w:pStyle w:val="13"/>
        <w:keepNext w:val="0"/>
        <w:keepLines w:val="0"/>
        <w:widowControl/>
        <w:suppressLineNumbers w:val="0"/>
        <w:shd w:val="clear" w:fill="FFFFFF"/>
        <w:autoSpaceDE w:val="0"/>
        <w:autoSpaceDN/>
        <w:ind w:left="0" w:firstLine="481" w:firstLineChars="20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 xml:space="preserve">  （四）政府采购支出情况说明。</w:t>
      </w:r>
    </w:p>
    <w:p>
      <w:pPr>
        <w:pStyle w:val="13"/>
        <w:keepNext w:val="0"/>
        <w:keepLines w:val="0"/>
        <w:widowControl/>
        <w:suppressLineNumbers w:val="0"/>
        <w:shd w:val="clear" w:fill="FFFFFF"/>
        <w:autoSpaceDE w:val="0"/>
        <w:autoSpaceDN/>
        <w:ind w:left="0" w:firstLine="480" w:firstLineChars="20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2021年度本部门政府采购支出总额298.86万元，其中：政府采购货物支出10.86万元、政府采购工程支出0.00万元、政府采购服务支出288.00万元。授予中小企业合同金额10.86万元，占政府采购支出总额的3.6%，其中：授予小微企业合同金额10.86万元，占政府采购支出总额的3.6%。主要用于采购通用设备（办公设备）和支付购买服务（丰都县继元活动中心费用）</w:t>
      </w:r>
    </w:p>
    <w:p>
      <w:pPr>
        <w:pStyle w:val="13"/>
        <w:keepNext w:val="0"/>
        <w:keepLines w:val="0"/>
        <w:widowControl/>
        <w:suppressLineNumbers w:val="0"/>
        <w:shd w:val="clear" w:fill="FFFFFF"/>
        <w:autoSpaceDE w:val="0"/>
        <w:autoSpaceDN/>
        <w:ind w:left="0" w:firstLine="481" w:firstLineChars="20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 xml:space="preserve"> 五、预算绩效管理情况说明</w:t>
      </w:r>
    </w:p>
    <w:p>
      <w:pPr>
        <w:pStyle w:val="13"/>
        <w:keepNext w:val="0"/>
        <w:keepLines w:val="0"/>
        <w:widowControl/>
        <w:suppressLineNumbers w:val="0"/>
        <w:shd w:val="clear" w:fill="FFFFFF"/>
        <w:autoSpaceDE w:val="0"/>
        <w:autoSpaceDN/>
        <w:rPr>
          <w:rFonts w:hint="eastAsia" w:ascii="宋体" w:hAnsi="宋体" w:eastAsia="宋体" w:cs="宋体"/>
          <w:kern w:val="0"/>
          <w:sz w:val="24"/>
          <w:szCs w:val="24"/>
          <w:shd w:val="clear" w:fill="FFFFFF"/>
        </w:rPr>
      </w:pPr>
      <w:r>
        <w:rPr>
          <w:rStyle w:val="14"/>
          <w:rFonts w:hint="eastAsia" w:ascii="Times New Roman" w:hAnsi="Times New Roman" w:eastAsia="宋体" w:cs="宋体"/>
          <w:b/>
          <w:shd w:val="clear" w:fill="FFFFFF"/>
        </w:rPr>
        <w:t xml:space="preserve">  （一）</w:t>
      </w:r>
      <w:r>
        <w:rPr>
          <w:rStyle w:val="14"/>
          <w:rFonts w:hint="eastAsia" w:ascii="宋体" w:hAnsi="宋体" w:eastAsia="宋体" w:cs="宋体"/>
          <w:b/>
          <w:shd w:val="clear" w:fill="FFFFFF"/>
        </w:rPr>
        <w:t>预算绩效管理工作开展情况。</w:t>
      </w:r>
    </w:p>
    <w:p>
      <w:pPr>
        <w:pStyle w:val="13"/>
        <w:keepNext w:val="0"/>
        <w:keepLines w:val="0"/>
        <w:widowControl/>
        <w:suppressLineNumbers w:val="0"/>
        <w:shd w:val="clear" w:fill="FFFFFF"/>
        <w:autoSpaceDE w:val="0"/>
        <w:autoSpaceDN/>
        <w:ind w:left="0" w:firstLine="480" w:firstLineChars="200"/>
        <w:rPr>
          <w:rFonts w:hint="eastAsia" w:ascii="宋体" w:hAnsi="宋体" w:eastAsia="宋体" w:cs="宋体"/>
          <w:kern w:val="2"/>
          <w:sz w:val="24"/>
          <w:szCs w:val="24"/>
          <w:shd w:val="clear" w:fill="FFFFFF"/>
        </w:rPr>
      </w:pPr>
      <w:r>
        <w:rPr>
          <w:rFonts w:hint="eastAsia" w:ascii="宋体" w:hAnsi="宋体" w:eastAsia="宋体" w:cs="宋体"/>
          <w:kern w:val="2"/>
          <w:sz w:val="24"/>
          <w:szCs w:val="24"/>
          <w:shd w:val="clear" w:fill="FFFFFF"/>
        </w:rPr>
        <w:t>根据预算绩效管理要求，本单位对18个项目开展了绩效自评，其中，以填报目标自评表形式开展自评18项，涉及资金1501.76万元。</w:t>
      </w:r>
    </w:p>
    <w:p>
      <w:pPr>
        <w:pStyle w:val="13"/>
        <w:keepNext w:val="0"/>
        <w:keepLines w:val="0"/>
        <w:widowControl/>
        <w:suppressLineNumbers w:val="0"/>
        <w:shd w:val="clear" w:fill="FFFFFF"/>
        <w:autoSpaceDE w:val="0"/>
        <w:autoSpaceDN/>
        <w:ind w:left="0" w:firstLine="481" w:firstLineChars="20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（二）绩效自评结果。</w:t>
      </w:r>
    </w:p>
    <w:p>
      <w:pPr>
        <w:pStyle w:val="13"/>
        <w:keepNext w:val="0"/>
        <w:keepLines w:val="0"/>
        <w:widowControl/>
        <w:suppressLineNumbers w:val="0"/>
        <w:shd w:val="clear" w:fill="FFFFFF"/>
        <w:autoSpaceDE w:val="0"/>
        <w:autoSpaceDN/>
        <w:ind w:left="0" w:firstLine="480" w:firstLineChars="200"/>
        <w:rPr>
          <w:rFonts w:hint="eastAsia" w:ascii="宋体" w:hAnsi="宋体" w:eastAsia="宋体" w:cs="宋体"/>
          <w:b w:val="0"/>
          <w:kern w:val="0"/>
          <w:sz w:val="24"/>
          <w:szCs w:val="24"/>
          <w:shd w:val="clear" w:fill="FFFFFF"/>
        </w:rPr>
      </w:pPr>
      <w:r>
        <w:rPr>
          <w:rStyle w:val="14"/>
          <w:rFonts w:hint="eastAsia" w:ascii="宋体" w:hAnsi="宋体" w:eastAsia="宋体" w:cs="宋体"/>
          <w:b w:val="0"/>
          <w:shd w:val="clear" w:fill="FFFFFF"/>
        </w:rPr>
        <w:t xml:space="preserve">  </w:t>
      </w:r>
      <w:r>
        <w:rPr>
          <w:rStyle w:val="14"/>
          <w:rFonts w:hint="eastAsia" w:ascii="宋体" w:hAnsi="宋体" w:eastAsia="宋体" w:cs="宋体"/>
          <w:b/>
          <w:shd w:val="clear" w:fill="FFFFFF"/>
        </w:rPr>
        <w:t>1.绩效目标自评表。</w:t>
      </w:r>
    </w:p>
    <w:p>
      <w:pPr>
        <w:keepNext w:val="0"/>
        <w:keepLines w:val="0"/>
        <w:widowControl/>
        <w:suppressLineNumbers w:val="0"/>
        <w:autoSpaceDE w:val="0"/>
        <w:autoSpaceDN/>
        <w:ind w:left="0" w:firstLine="480" w:firstLineChars="20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2021年度项目绩效自评表</w:t>
      </w:r>
    </w:p>
    <w:tbl>
      <w:tblPr>
        <w:tblStyle w:val="10"/>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55"/>
        <w:gridCol w:w="1300"/>
        <w:gridCol w:w="1300"/>
        <w:gridCol w:w="1300"/>
        <w:gridCol w:w="1300"/>
        <w:gridCol w:w="1300"/>
        <w:gridCol w:w="80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项目名称</w:t>
            </w:r>
          </w:p>
        </w:tc>
        <w:tc>
          <w:tcPr>
            <w:tcW w:w="520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农机员医疗补助</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自评总分</w:t>
            </w:r>
          </w:p>
        </w:tc>
        <w:tc>
          <w:tcPr>
            <w:tcW w:w="222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主管部门</w:t>
            </w:r>
          </w:p>
        </w:tc>
        <w:tc>
          <w:tcPr>
            <w:tcW w:w="520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丰都县人力资源和社会保障局</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实施单位</w:t>
            </w:r>
          </w:p>
        </w:tc>
        <w:tc>
          <w:tcPr>
            <w:tcW w:w="222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丰都县社会保险事务中心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5"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项目资金（万元）</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47</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年初预算数</w:t>
            </w:r>
          </w:p>
        </w:tc>
        <w:tc>
          <w:tcPr>
            <w:tcW w:w="260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全年预算数</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全年执行数</w:t>
            </w:r>
          </w:p>
        </w:tc>
        <w:tc>
          <w:tcPr>
            <w:tcW w:w="222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预算执行率（%）（全年执行数/全年预算数）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年度总金额</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47</w:t>
            </w:r>
          </w:p>
        </w:tc>
        <w:tc>
          <w:tcPr>
            <w:tcW w:w="260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47</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47</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其中：财政拨款</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47</w:t>
            </w:r>
          </w:p>
        </w:tc>
        <w:tc>
          <w:tcPr>
            <w:tcW w:w="260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47</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47</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上年结转结余</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260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其他资金</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260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年度总体目标</w:t>
            </w:r>
          </w:p>
        </w:tc>
        <w:tc>
          <w:tcPr>
            <w:tcW w:w="520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预期目标</w:t>
            </w:r>
          </w:p>
        </w:tc>
        <w:tc>
          <w:tcPr>
            <w:tcW w:w="352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全年完成情况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c>
          <w:tcPr>
            <w:tcW w:w="520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c>
          <w:tcPr>
            <w:tcW w:w="352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绩效指标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一级指标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二级指标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三级指标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年度指标值</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实际完成值</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分值</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c>
          <w:tcPr>
            <w:tcW w:w="130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rPr>
                <w:rFonts w:hint="eastAsia" w:ascii="宋体" w:hAnsi="宋体" w:eastAsia="宋体" w:cs="宋体"/>
                <w:kern w:val="0"/>
                <w:sz w:val="18"/>
                <w:szCs w:val="18"/>
              </w:rPr>
            </w:pPr>
            <w:r>
              <w:rPr>
                <w:rFonts w:hint="eastAsia" w:ascii="宋体" w:hAnsi="宋体" w:eastAsia="宋体" w:cs="宋体"/>
                <w:kern w:val="0"/>
                <w:sz w:val="18"/>
                <w:szCs w:val="18"/>
              </w:rPr>
              <w:t>产出指标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数量指标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农机员医疗补贴享受</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277</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277</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300"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质量指标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农机员医疗补助足额发放</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20</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300"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时效指标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农机员医疗补助按时</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100%</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300"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300"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30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效益指标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社会效应指标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提高农机员全体生活</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277</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277</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30</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300"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30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满意度指标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农机员全体满意</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》98</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》98</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10</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300"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300" w:type="dxa"/>
            <w:vMerge w:val="continue"/>
            <w:tcBorders>
              <w:top w:val="nil"/>
              <w:left w:val="nil"/>
              <w:bottom w:val="single" w:color="auto" w:sz="4" w:space="0"/>
              <w:right w:val="single" w:color="auto" w:sz="4" w:space="0"/>
            </w:tcBorders>
            <w:shd w:val="clear" w:color="auto" w:fill="auto"/>
            <w:vAlign w:val="center"/>
          </w:tcPr>
          <w:p>
            <w:pPr>
              <w:rPr>
                <w:rFonts w:hint="default" w:ascii="Times New Roman" w:hAnsi="Times New Roman" w:cs="Times New Roman"/>
                <w:sz w:val="20"/>
                <w:szCs w:val="20"/>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r>
              <w:rPr>
                <w:rFonts w:hint="eastAsia" w:ascii="宋体" w:hAnsi="宋体" w:eastAsia="宋体" w:cs="宋体"/>
                <w:kern w:val="0"/>
                <w:sz w:val="18"/>
                <w:szCs w:val="18"/>
              </w:rPr>
              <w:t>说明</w:t>
            </w:r>
          </w:p>
        </w:tc>
        <w:tc>
          <w:tcPr>
            <w:tcW w:w="8725"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ind w:left="0" w:firstLine="360" w:firstLineChars="200"/>
              <w:jc w:val="center"/>
              <w:rPr>
                <w:rFonts w:hint="eastAsia" w:ascii="宋体" w:hAnsi="宋体" w:eastAsia="宋体" w:cs="宋体"/>
                <w:kern w:val="0"/>
                <w:sz w:val="18"/>
                <w:szCs w:val="18"/>
              </w:rPr>
            </w:pPr>
          </w:p>
        </w:tc>
      </w:tr>
    </w:tbl>
    <w:p>
      <w:pPr>
        <w:pStyle w:val="13"/>
        <w:keepNext w:val="0"/>
        <w:keepLines w:val="0"/>
        <w:widowControl w:val="0"/>
        <w:numPr>
          <w:ilvl w:val="0"/>
          <w:numId w:val="1"/>
        </w:numPr>
        <w:suppressLineNumbers w:val="0"/>
        <w:shd w:val="clear" w:fill="FFFFFF"/>
        <w:autoSpaceDE w:val="0"/>
        <w:autoSpaceDN/>
        <w:ind w:left="0" w:leftChars="0" w:firstLine="481" w:firstLineChars="200"/>
        <w:rPr>
          <w:rFonts w:hint="eastAsia" w:ascii="宋体" w:hAnsi="宋体" w:eastAsia="宋体" w:cs="宋体"/>
          <w:kern w:val="0"/>
          <w:sz w:val="24"/>
          <w:szCs w:val="24"/>
          <w:shd w:val="clear" w:fill="FFFF00"/>
        </w:rPr>
      </w:pPr>
      <w:r>
        <w:rPr>
          <w:rStyle w:val="14"/>
          <w:rFonts w:hint="eastAsia" w:ascii="宋体" w:hAnsi="宋体" w:eastAsia="宋体" w:cs="宋体"/>
          <w:b/>
          <w:shd w:val="clear" w:fill="FFFFFF"/>
        </w:rPr>
        <w:t>绩效自评报告或案例。</w:t>
      </w:r>
    </w:p>
    <w:p>
      <w:pPr>
        <w:keepNext w:val="0"/>
        <w:keepLines w:val="0"/>
        <w:widowControl w:val="0"/>
        <w:suppressLineNumbers w:val="0"/>
        <w:autoSpaceDE w:val="0"/>
        <w:autoSpaceDN/>
        <w:ind w:left="0" w:firstLine="481" w:firstLineChars="200"/>
        <w:jc w:val="center"/>
        <w:rPr>
          <w:rFonts w:hint="eastAsia" w:ascii="宋体" w:hAnsi="宋体" w:eastAsia="宋体" w:cs="宋体"/>
          <w:b/>
          <w:kern w:val="0"/>
          <w:sz w:val="24"/>
          <w:szCs w:val="24"/>
        </w:rPr>
      </w:pPr>
      <w:r>
        <w:rPr>
          <w:rFonts w:hint="eastAsia" w:ascii="宋体" w:hAnsi="宋体" w:eastAsia="宋体" w:cs="宋体"/>
          <w:b/>
          <w:kern w:val="0"/>
          <w:sz w:val="24"/>
          <w:szCs w:val="24"/>
        </w:rPr>
        <w:t>乡村医生医疗补贴绩效自评报告</w:t>
      </w:r>
    </w:p>
    <w:p>
      <w:pPr>
        <w:keepNext w:val="0"/>
        <w:keepLines w:val="0"/>
        <w:widowControl w:val="0"/>
        <w:suppressLineNumbers w:val="0"/>
        <w:autoSpaceDE w:val="0"/>
        <w:autoSpaceDN/>
        <w:ind w:left="0" w:firstLine="481" w:firstLineChars="200"/>
        <w:rPr>
          <w:rFonts w:hint="eastAsia" w:ascii="宋体" w:hAnsi="宋体" w:eastAsia="宋体" w:cs="黑体"/>
          <w:b/>
          <w:kern w:val="0"/>
          <w:sz w:val="24"/>
          <w:szCs w:val="24"/>
        </w:rPr>
      </w:pPr>
      <w:r>
        <w:rPr>
          <w:rFonts w:hint="eastAsia" w:ascii="宋体" w:hAnsi="宋体" w:eastAsia="宋体" w:cs="宋体"/>
          <w:b/>
          <w:kern w:val="0"/>
          <w:sz w:val="24"/>
          <w:szCs w:val="24"/>
        </w:rPr>
        <w:t>一、基本情况</w:t>
      </w:r>
    </w:p>
    <w:p>
      <w:pPr>
        <w:keepNext w:val="0"/>
        <w:keepLines w:val="0"/>
        <w:widowControl w:val="0"/>
        <w:suppressLineNumbers w:val="0"/>
        <w:autoSpaceDE w:val="0"/>
        <w:autoSpaceDN/>
        <w:ind w:left="0" w:firstLine="481" w:firstLineChars="200"/>
        <w:outlineLvl w:val="0"/>
        <w:rPr>
          <w:rFonts w:hint="eastAsia" w:ascii="宋体" w:hAnsi="宋体" w:eastAsia="宋体" w:cs="楷体_GB2312"/>
          <w:kern w:val="0"/>
          <w:sz w:val="24"/>
          <w:szCs w:val="24"/>
        </w:rPr>
      </w:pPr>
      <w:r>
        <w:rPr>
          <w:rFonts w:hint="eastAsia" w:ascii="宋体" w:hAnsi="宋体" w:eastAsia="宋体" w:cs="宋体"/>
          <w:b/>
          <w:kern w:val="0"/>
          <w:sz w:val="24"/>
          <w:szCs w:val="24"/>
        </w:rPr>
        <w:t>（一）项目背景、内容</w:t>
      </w:r>
      <w:r>
        <w:rPr>
          <w:rFonts w:hint="eastAsia" w:ascii="宋体" w:hAnsi="宋体" w:eastAsia="宋体" w:cs="宋体"/>
          <w:kern w:val="0"/>
          <w:sz w:val="24"/>
          <w:szCs w:val="24"/>
        </w:rPr>
        <w:t>。</w:t>
      </w:r>
    </w:p>
    <w:p>
      <w:pPr>
        <w:keepNext w:val="0"/>
        <w:keepLines w:val="0"/>
        <w:widowControl w:val="0"/>
        <w:suppressLineNumbers w:val="0"/>
        <w:autoSpaceDE w:val="0"/>
        <w:autoSpaceDN/>
        <w:ind w:left="0" w:firstLine="480" w:firstLineChars="200"/>
        <w:outlineLvl w:val="0"/>
        <w:rPr>
          <w:rFonts w:hint="eastAsia" w:ascii="宋体" w:hAnsi="宋体" w:eastAsia="宋体" w:cs="楷体_GB2312"/>
          <w:kern w:val="0"/>
          <w:sz w:val="24"/>
          <w:szCs w:val="24"/>
        </w:rPr>
      </w:pPr>
      <w:r>
        <w:rPr>
          <w:rFonts w:hint="eastAsia" w:ascii="宋体" w:hAnsi="宋体" w:eastAsia="宋体" w:cs="宋体"/>
          <w:kern w:val="0"/>
          <w:sz w:val="24"/>
          <w:szCs w:val="24"/>
        </w:rPr>
        <w:t>依据《重庆市卫生</w:t>
      </w:r>
      <w:r>
        <w:rPr>
          <w:rFonts w:hint="eastAsia" w:cs="宋体"/>
          <w:kern w:val="0"/>
          <w:sz w:val="24"/>
          <w:szCs w:val="24"/>
          <w:lang w:eastAsia="zh-CN"/>
        </w:rPr>
        <w:t>健康</w:t>
      </w:r>
      <w:r>
        <w:rPr>
          <w:rFonts w:hint="eastAsia" w:ascii="宋体" w:hAnsi="宋体" w:eastAsia="宋体" w:cs="宋体"/>
          <w:kern w:val="0"/>
          <w:sz w:val="24"/>
          <w:szCs w:val="24"/>
        </w:rPr>
        <w:t>委员会、重庆市财政局</w:t>
      </w:r>
      <w:r>
        <w:rPr>
          <w:rFonts w:hint="eastAsia" w:ascii="宋体" w:hAnsi="宋体" w:eastAsia="宋体" w:cs="楷体_GB2312"/>
          <w:kern w:val="0"/>
          <w:sz w:val="24"/>
          <w:szCs w:val="24"/>
        </w:rPr>
        <w:t xml:space="preserve"> </w:t>
      </w:r>
      <w:r>
        <w:rPr>
          <w:rFonts w:hint="eastAsia" w:ascii="宋体" w:hAnsi="宋体" w:eastAsia="宋体" w:cs="宋体"/>
          <w:kern w:val="0"/>
          <w:sz w:val="24"/>
          <w:szCs w:val="24"/>
        </w:rPr>
        <w:t>重庆市人力资源和社会保障局关于离岗乡村医生养老和医疗补助的通知》（</w:t>
      </w:r>
      <w:bookmarkStart w:id="0" w:name="_GoBack"/>
      <w:bookmarkEnd w:id="0"/>
      <w:r>
        <w:rPr>
          <w:rFonts w:hint="eastAsia" w:ascii="宋体" w:hAnsi="宋体" w:eastAsia="宋体" w:cs="宋体"/>
          <w:kern w:val="0"/>
          <w:sz w:val="24"/>
          <w:szCs w:val="24"/>
        </w:rPr>
        <w:t>渝卫基层发〔2016〕85号）文件，为贯彻落实国务院办公厅《关于进一步加强乡村医生队伍建设的实施意见》（国办发〔2015〕13号）和重庆市人民政府办公厅《关于进一步加强乡村医生队伍建设的实施意见》（渝府办发〔2016〕1号）精神，健全乡村医生养老和退出机制，提高乡村医生队伍整体服务能力，更好地为农村居民提供健康服务，经市政府同意，</w:t>
      </w:r>
      <w:r>
        <w:rPr>
          <w:rFonts w:hint="eastAsia" w:ascii="宋体" w:hAnsi="宋体" w:eastAsia="宋体" w:cs="楷体_GB2312"/>
          <w:kern w:val="0"/>
          <w:sz w:val="24"/>
          <w:szCs w:val="24"/>
        </w:rPr>
        <w:t xml:space="preserve"> </w:t>
      </w:r>
      <w:r>
        <w:rPr>
          <w:rFonts w:hint="eastAsia" w:ascii="宋体" w:hAnsi="宋体" w:eastAsia="宋体" w:cs="宋体"/>
          <w:kern w:val="0"/>
          <w:sz w:val="24"/>
          <w:szCs w:val="24"/>
        </w:rPr>
        <w:t>1965年6月26日至2009年10月7日，在重庆市辖区内村卫生室连续从事乡村医生工作满1年（含1年）以上，且持有有效的乡村医生执业证明材料，离开乡村医生岗位后未被国家机关（企事业单位）录（聘）用为正式工作人员的原乡村医生。户籍迁移到市外的也纳入补助发放范围。</w:t>
      </w:r>
    </w:p>
    <w:p>
      <w:pPr>
        <w:keepNext w:val="0"/>
        <w:keepLines w:val="0"/>
        <w:widowControl w:val="0"/>
        <w:suppressLineNumbers w:val="0"/>
        <w:autoSpaceDE w:val="0"/>
        <w:autoSpaceDN/>
        <w:ind w:left="0" w:firstLine="480" w:firstLineChars="200"/>
        <w:outlineLvl w:val="0"/>
        <w:rPr>
          <w:rFonts w:hint="eastAsia" w:ascii="宋体" w:hAnsi="宋体" w:eastAsia="宋体" w:cs="楷体_GB2312"/>
          <w:kern w:val="0"/>
          <w:sz w:val="24"/>
          <w:szCs w:val="24"/>
        </w:rPr>
      </w:pPr>
      <w:r>
        <w:rPr>
          <w:rFonts w:hint="eastAsia" w:ascii="宋体" w:hAnsi="宋体" w:eastAsia="宋体" w:cs="宋体"/>
          <w:kern w:val="0"/>
          <w:sz w:val="24"/>
          <w:szCs w:val="24"/>
        </w:rPr>
        <w:t>按照“区县负责、实事求是、客观公正、全面准确”的工作原则，实行“原始材料证明与组织查证相结合”的认定办法，由县（自治县）卫生计生行政部门负责离岗乡村医生的身份及服务年限认定。1．持有卫生计生行政部门颁发的“四证”（乡村医生执业证书、执业（助理）医师证书、赤脚医生证、卫生员证）之一；2．区县（自治县）卫生计生行政部门或乡镇卫生院（社区卫生服务中心）有从事乡村医生工作档案记载的。</w:t>
      </w:r>
    </w:p>
    <w:p>
      <w:pPr>
        <w:keepNext w:val="0"/>
        <w:keepLines w:val="0"/>
        <w:widowControl w:val="0"/>
        <w:suppressLineNumbers w:val="0"/>
        <w:autoSpaceDE w:val="0"/>
        <w:autoSpaceDN/>
        <w:ind w:left="0" w:firstLine="480" w:firstLineChars="200"/>
        <w:outlineLvl w:val="0"/>
        <w:rPr>
          <w:rFonts w:hint="eastAsia" w:ascii="宋体" w:hAnsi="宋体" w:eastAsia="宋体" w:cs="楷体_GB2312"/>
          <w:kern w:val="0"/>
          <w:sz w:val="24"/>
          <w:szCs w:val="24"/>
        </w:rPr>
      </w:pPr>
      <w:r>
        <w:rPr>
          <w:rFonts w:hint="eastAsia" w:ascii="宋体" w:hAnsi="宋体" w:eastAsia="宋体" w:cs="宋体"/>
          <w:kern w:val="0"/>
          <w:sz w:val="24"/>
          <w:szCs w:val="24"/>
        </w:rPr>
        <w:t>符合以上两个条件的人员，均纳入本次离岗乡村医生身份认定的范围。符合其中条件之一的，经无利益关系的本村或邻村同期乡村医生、原执业所在地乡镇卫生院（社区卫生服务中心）同期工作人员、原执业所在地村委会（居委会）同期干部至少3人以上证实，并在本乡镇（街道）和所在村委会（居委会）公示无异议后，可纳入本次离岗乡村医生身份认定的范围。服务年限认定范围为1965年6月26日至2009年10月7日期间，且连续服务满1年（含1年）以上，不同时段、不同村卫生室服务的实际时间可以累加，累计尾数不足1年的按1年计算。本项目自2019开始立项，属于长久性项目。2021年补贴乡村医生人数1257人。</w:t>
      </w:r>
    </w:p>
    <w:p>
      <w:pPr>
        <w:keepNext w:val="0"/>
        <w:keepLines w:val="0"/>
        <w:widowControl w:val="0"/>
        <w:suppressLineNumbers w:val="0"/>
        <w:autoSpaceDE w:val="0"/>
        <w:autoSpaceDN/>
        <w:ind w:leftChars="200" w:right="0" w:rightChars="0"/>
        <w:jc w:val="both"/>
        <w:outlineLvl w:val="0"/>
        <w:rPr>
          <w:rFonts w:hint="eastAsia" w:ascii="宋体" w:hAnsi="宋体" w:eastAsia="宋体" w:cs="楷体_GB2312"/>
          <w:kern w:val="0"/>
          <w:sz w:val="24"/>
          <w:szCs w:val="24"/>
        </w:rPr>
      </w:pPr>
      <w:r>
        <w:rPr>
          <w:rFonts w:hint="eastAsia" w:ascii="宋体" w:hAnsi="宋体" w:eastAsia="宋体" w:cs="宋体"/>
          <w:b/>
          <w:kern w:val="0"/>
          <w:sz w:val="24"/>
          <w:szCs w:val="24"/>
        </w:rPr>
        <w:t>（二）项目资金情况。</w:t>
      </w:r>
      <w:r>
        <w:rPr>
          <w:rFonts w:hint="eastAsia" w:ascii="宋体" w:hAnsi="宋体" w:eastAsia="宋体" w:cs="宋体"/>
          <w:kern w:val="0"/>
          <w:sz w:val="24"/>
          <w:szCs w:val="24"/>
        </w:rPr>
        <w:t>（项目资金到位、资金执行和管理等情况）</w:t>
      </w:r>
    </w:p>
    <w:p>
      <w:pPr>
        <w:keepNext w:val="0"/>
        <w:keepLines w:val="0"/>
        <w:widowControl w:val="0"/>
        <w:suppressLineNumbers w:val="0"/>
        <w:autoSpaceDE w:val="0"/>
        <w:autoSpaceDN/>
        <w:ind w:left="0" w:firstLine="480" w:firstLineChars="200"/>
        <w:rPr>
          <w:rFonts w:hint="eastAsia" w:ascii="宋体" w:hAnsi="宋体" w:eastAsia="宋体" w:cs="楷体_GB2312"/>
          <w:kern w:val="0"/>
          <w:sz w:val="24"/>
          <w:szCs w:val="24"/>
        </w:rPr>
      </w:pPr>
      <w:r>
        <w:rPr>
          <w:rFonts w:hint="eastAsia" w:ascii="宋体" w:hAnsi="宋体" w:eastAsia="宋体" w:cs="楷体_GB2312"/>
          <w:kern w:val="0"/>
          <w:sz w:val="24"/>
          <w:szCs w:val="24"/>
        </w:rPr>
        <w:t xml:space="preserve"> </w:t>
      </w:r>
      <w:r>
        <w:rPr>
          <w:rFonts w:hint="eastAsia" w:ascii="宋体" w:hAnsi="宋体" w:eastAsia="宋体" w:cs="宋体"/>
          <w:kern w:val="0"/>
          <w:sz w:val="24"/>
          <w:szCs w:val="24"/>
        </w:rPr>
        <w:t>2020年初县级财政预算乡村医生医疗补贴（卫健委）资金345万元。年内实际收到县级财政补助资金345万元进入丰都县社会保险局（社保资金代发户）专户，全年资金使用331.51万元，预算执行率96%，项目剩余资金在2021年年底全部划回县财政。</w:t>
      </w:r>
    </w:p>
    <w:p>
      <w:pPr>
        <w:keepNext w:val="0"/>
        <w:keepLines w:val="0"/>
        <w:widowControl w:val="0"/>
        <w:suppressLineNumbers w:val="0"/>
        <w:autoSpaceDE w:val="0"/>
        <w:autoSpaceDN/>
        <w:ind w:leftChars="200" w:right="0" w:rightChars="0"/>
        <w:jc w:val="both"/>
        <w:outlineLvl w:val="0"/>
        <w:rPr>
          <w:rFonts w:hint="eastAsia" w:ascii="宋体" w:hAnsi="宋体" w:eastAsia="宋体" w:cs="楷体_GB2312"/>
          <w:kern w:val="0"/>
          <w:sz w:val="24"/>
          <w:szCs w:val="24"/>
        </w:rPr>
      </w:pPr>
      <w:r>
        <w:rPr>
          <w:rFonts w:hint="eastAsia" w:ascii="宋体" w:hAnsi="宋体" w:eastAsia="宋体" w:cs="宋体"/>
          <w:b/>
          <w:kern w:val="0"/>
          <w:sz w:val="24"/>
          <w:szCs w:val="24"/>
        </w:rPr>
        <w:t>（三）绩效目标。</w:t>
      </w:r>
      <w:r>
        <w:rPr>
          <w:rFonts w:hint="eastAsia" w:ascii="宋体" w:hAnsi="宋体" w:eastAsia="宋体" w:cs="宋体"/>
          <w:kern w:val="0"/>
          <w:sz w:val="24"/>
          <w:szCs w:val="24"/>
        </w:rPr>
        <w:t>（设定预期目标情况）</w:t>
      </w:r>
    </w:p>
    <w:p>
      <w:pPr>
        <w:keepNext w:val="0"/>
        <w:keepLines w:val="0"/>
        <w:widowControl w:val="0"/>
        <w:suppressLineNumbers w:val="0"/>
        <w:autoSpaceDE w:val="0"/>
        <w:autoSpaceDN/>
        <w:ind w:left="0" w:firstLine="480" w:firstLineChars="200"/>
        <w:outlineLvl w:val="0"/>
        <w:rPr>
          <w:rFonts w:hint="eastAsia" w:ascii="宋体" w:hAnsi="宋体" w:eastAsia="宋体" w:cs="楷体_GB2312"/>
          <w:kern w:val="0"/>
          <w:sz w:val="24"/>
          <w:szCs w:val="24"/>
        </w:rPr>
      </w:pPr>
      <w:r>
        <w:rPr>
          <w:rFonts w:hint="eastAsia" w:ascii="宋体" w:hAnsi="宋体" w:eastAsia="宋体" w:cs="宋体"/>
          <w:kern w:val="0"/>
          <w:sz w:val="24"/>
          <w:szCs w:val="24"/>
        </w:rPr>
        <w:t>2020年乡村医生医疗补贴（卫健委）资金绩效目标：数量指标：应补贴人数1327人。质量指标：乡村医生医疗补贴足额发放率100%。时效指标：乡村医生医疗补贴按时发放率100%。社会效益指标：提高乡村医生群体生活水平，促进社会和谐稳定，人数1327人。服务对象满意度指标：乡村医生群体满意度≥98%。</w:t>
      </w:r>
    </w:p>
    <w:p>
      <w:pPr>
        <w:keepNext w:val="0"/>
        <w:keepLines w:val="0"/>
        <w:widowControl w:val="0"/>
        <w:suppressLineNumbers w:val="0"/>
        <w:autoSpaceDE w:val="0"/>
        <w:autoSpaceDN/>
        <w:ind w:left="0" w:firstLine="481" w:firstLineChars="200"/>
        <w:rPr>
          <w:rFonts w:hint="eastAsia" w:ascii="宋体" w:hAnsi="宋体" w:eastAsia="宋体" w:cs="黑体"/>
          <w:b/>
          <w:kern w:val="0"/>
          <w:sz w:val="24"/>
          <w:szCs w:val="24"/>
        </w:rPr>
      </w:pPr>
      <w:r>
        <w:rPr>
          <w:rFonts w:hint="eastAsia" w:ascii="宋体" w:hAnsi="宋体" w:eastAsia="宋体" w:cs="宋体"/>
          <w:b/>
          <w:kern w:val="0"/>
          <w:sz w:val="24"/>
          <w:szCs w:val="24"/>
        </w:rPr>
        <w:t>二、绩效目标完成情况分析</w:t>
      </w:r>
    </w:p>
    <w:p>
      <w:pPr>
        <w:keepNext w:val="0"/>
        <w:keepLines w:val="0"/>
        <w:widowControl w:val="0"/>
        <w:suppressLineNumbers w:val="0"/>
        <w:autoSpaceDE w:val="0"/>
        <w:autoSpaceDN/>
        <w:ind w:left="0" w:firstLine="481" w:firstLineChars="200"/>
        <w:outlineLvl w:val="0"/>
        <w:rPr>
          <w:rFonts w:hint="eastAsia" w:ascii="宋体" w:hAnsi="宋体" w:eastAsia="宋体" w:cs="宋体"/>
          <w:b/>
          <w:kern w:val="0"/>
          <w:sz w:val="24"/>
          <w:szCs w:val="24"/>
        </w:rPr>
      </w:pPr>
      <w:r>
        <w:rPr>
          <w:rFonts w:hint="eastAsia" w:ascii="宋体" w:hAnsi="宋体" w:eastAsia="宋体" w:cs="宋体"/>
          <w:b/>
          <w:kern w:val="0"/>
          <w:sz w:val="24"/>
          <w:szCs w:val="24"/>
        </w:rPr>
        <w:t>（一）总体绩效目标完成情况分析</w:t>
      </w:r>
    </w:p>
    <w:p>
      <w:pPr>
        <w:keepNext w:val="0"/>
        <w:keepLines w:val="0"/>
        <w:widowControl w:val="0"/>
        <w:suppressLineNumbers w:val="0"/>
        <w:autoSpaceDE w:val="0"/>
        <w:autoSpaceDN/>
        <w:ind w:left="0" w:firstLine="480" w:firstLineChars="200"/>
        <w:outlineLvl w:val="0"/>
        <w:rPr>
          <w:rFonts w:hint="eastAsia" w:ascii="宋体" w:hAnsi="宋体" w:eastAsia="宋体" w:cs="宋体"/>
          <w:kern w:val="0"/>
          <w:sz w:val="24"/>
          <w:szCs w:val="24"/>
        </w:rPr>
      </w:pPr>
      <w:r>
        <w:rPr>
          <w:rFonts w:hint="eastAsia" w:ascii="宋体" w:hAnsi="宋体" w:eastAsia="宋体" w:cs="宋体"/>
          <w:kern w:val="0"/>
          <w:sz w:val="24"/>
          <w:szCs w:val="24"/>
        </w:rPr>
        <w:t>全年按时足额发放乡村医生医疗补贴，提高乡村医生群体生活水平，促进社会和谐稳定。</w:t>
      </w:r>
    </w:p>
    <w:p>
      <w:pPr>
        <w:keepNext w:val="0"/>
        <w:keepLines w:val="0"/>
        <w:widowControl w:val="0"/>
        <w:suppressLineNumbers w:val="0"/>
        <w:autoSpaceDE w:val="0"/>
        <w:autoSpaceDN/>
        <w:ind w:left="0" w:firstLine="481" w:firstLineChars="200"/>
        <w:outlineLvl w:val="0"/>
        <w:rPr>
          <w:rFonts w:hint="eastAsia" w:ascii="宋体" w:hAnsi="宋体" w:eastAsia="宋体" w:cs="宋体"/>
          <w:b/>
          <w:kern w:val="0"/>
          <w:sz w:val="24"/>
          <w:szCs w:val="24"/>
        </w:rPr>
      </w:pPr>
      <w:r>
        <w:rPr>
          <w:rFonts w:hint="eastAsia" w:ascii="宋体" w:hAnsi="宋体" w:eastAsia="宋体" w:cs="宋体"/>
          <w:b/>
          <w:kern w:val="0"/>
          <w:sz w:val="24"/>
          <w:szCs w:val="24"/>
        </w:rPr>
        <w:t>（二）绩效指标完成情况分析</w:t>
      </w:r>
    </w:p>
    <w:p>
      <w:pPr>
        <w:keepNext w:val="0"/>
        <w:keepLines w:val="0"/>
        <w:widowControl w:val="0"/>
        <w:suppressLineNumbers w:val="0"/>
        <w:autoSpaceDE w:val="0"/>
        <w:autoSpaceDN/>
        <w:ind w:left="0" w:firstLine="480" w:firstLineChars="200"/>
        <w:outlineLvl w:val="0"/>
        <w:rPr>
          <w:rFonts w:hint="eastAsia" w:ascii="宋体" w:hAnsi="宋体" w:eastAsia="宋体" w:cs="宋体"/>
          <w:kern w:val="0"/>
          <w:sz w:val="24"/>
          <w:szCs w:val="24"/>
        </w:rPr>
      </w:pPr>
      <w:r>
        <w:rPr>
          <w:rFonts w:hint="eastAsia" w:ascii="宋体" w:hAnsi="宋体" w:eastAsia="宋体" w:cs="宋体"/>
          <w:kern w:val="0"/>
          <w:sz w:val="24"/>
          <w:szCs w:val="24"/>
        </w:rPr>
        <w:t>根据产出、效益、满意度绩效指标值，逐项分析全年实际完成情况。</w:t>
      </w:r>
    </w:p>
    <w:p>
      <w:pPr>
        <w:keepNext w:val="0"/>
        <w:keepLines w:val="0"/>
        <w:widowControl w:val="0"/>
        <w:suppressLineNumbers w:val="0"/>
        <w:autoSpaceDE w:val="0"/>
        <w:autoSpaceDN/>
        <w:ind w:left="0" w:firstLine="481" w:firstLineChars="200"/>
        <w:outlineLvl w:val="0"/>
        <w:rPr>
          <w:rFonts w:hint="eastAsia" w:ascii="宋体" w:hAnsi="宋体" w:eastAsia="宋体" w:cs="宋体"/>
          <w:b/>
          <w:kern w:val="0"/>
          <w:sz w:val="24"/>
          <w:szCs w:val="24"/>
        </w:rPr>
      </w:pPr>
      <w:r>
        <w:rPr>
          <w:rFonts w:hint="eastAsia" w:ascii="宋体" w:hAnsi="宋体" w:eastAsia="宋体" w:cs="宋体"/>
          <w:b/>
          <w:kern w:val="0"/>
          <w:sz w:val="24"/>
          <w:szCs w:val="24"/>
        </w:rPr>
        <w:t>（三）评价结果</w:t>
      </w:r>
    </w:p>
    <w:p>
      <w:pPr>
        <w:keepNext w:val="0"/>
        <w:keepLines w:val="0"/>
        <w:widowControl w:val="0"/>
        <w:suppressLineNumbers w:val="0"/>
        <w:autoSpaceDE w:val="0"/>
        <w:autoSpaceDN/>
        <w:ind w:left="0" w:firstLine="480" w:firstLineChars="200"/>
        <w:rPr>
          <w:rFonts w:hint="eastAsia" w:ascii="宋体" w:hAnsi="宋体" w:eastAsia="宋体" w:cs="黑体"/>
          <w:kern w:val="0"/>
          <w:sz w:val="24"/>
          <w:szCs w:val="24"/>
        </w:rPr>
      </w:pPr>
      <w:r>
        <w:rPr>
          <w:rFonts w:hint="eastAsia" w:ascii="宋体" w:hAnsi="宋体" w:eastAsia="宋体" w:cs="宋体"/>
          <w:kern w:val="0"/>
          <w:sz w:val="24"/>
          <w:szCs w:val="24"/>
        </w:rPr>
        <w:t>本项目自评得分95分，达到预期绩效目标。</w:t>
      </w:r>
    </w:p>
    <w:p>
      <w:pPr>
        <w:keepNext w:val="0"/>
        <w:keepLines w:val="0"/>
        <w:widowControl w:val="0"/>
        <w:suppressLineNumbers w:val="0"/>
        <w:autoSpaceDE w:val="0"/>
        <w:autoSpaceDN/>
        <w:ind w:left="0" w:firstLine="481" w:firstLineChars="200"/>
        <w:rPr>
          <w:rFonts w:hint="eastAsia" w:ascii="宋体" w:hAnsi="宋体" w:eastAsia="宋体" w:cs="黑体"/>
          <w:b/>
          <w:kern w:val="0"/>
          <w:sz w:val="24"/>
          <w:szCs w:val="24"/>
        </w:rPr>
      </w:pPr>
      <w:r>
        <w:rPr>
          <w:rFonts w:hint="eastAsia" w:ascii="宋体" w:hAnsi="宋体" w:eastAsia="宋体" w:cs="宋体"/>
          <w:b/>
          <w:kern w:val="0"/>
          <w:sz w:val="24"/>
          <w:szCs w:val="24"/>
        </w:rPr>
        <w:t>三、存在问题</w:t>
      </w:r>
    </w:p>
    <w:p>
      <w:pPr>
        <w:keepNext w:val="0"/>
        <w:keepLines w:val="0"/>
        <w:widowControl w:val="0"/>
        <w:suppressLineNumbers w:val="0"/>
        <w:autoSpaceDE w:val="0"/>
        <w:autoSpaceDN/>
        <w:ind w:left="0" w:firstLine="480" w:firstLineChars="200"/>
        <w:rPr>
          <w:rFonts w:hint="eastAsia" w:ascii="宋体" w:hAnsi="宋体" w:eastAsia="宋体" w:cs="楷体_GB2312"/>
          <w:kern w:val="0"/>
          <w:sz w:val="24"/>
          <w:szCs w:val="24"/>
        </w:rPr>
      </w:pPr>
      <w:r>
        <w:rPr>
          <w:rFonts w:hint="eastAsia" w:ascii="宋体" w:hAnsi="宋体" w:eastAsia="宋体" w:cs="宋体"/>
          <w:kern w:val="0"/>
          <w:sz w:val="24"/>
          <w:szCs w:val="24"/>
        </w:rPr>
        <w:t>项目管理方面和项目绩效方面存在问题</w:t>
      </w:r>
    </w:p>
    <w:p>
      <w:pPr>
        <w:keepNext w:val="0"/>
        <w:keepLines w:val="0"/>
        <w:widowControl w:val="0"/>
        <w:suppressLineNumbers w:val="0"/>
        <w:autoSpaceDE w:val="0"/>
        <w:autoSpaceDN/>
        <w:ind w:left="0" w:firstLine="481" w:firstLineChars="200"/>
        <w:rPr>
          <w:rFonts w:hint="eastAsia" w:ascii="宋体" w:hAnsi="宋体" w:eastAsia="宋体" w:cs="黑体"/>
          <w:b/>
          <w:kern w:val="0"/>
          <w:sz w:val="24"/>
          <w:szCs w:val="24"/>
        </w:rPr>
      </w:pPr>
      <w:r>
        <w:rPr>
          <w:rFonts w:hint="eastAsia" w:ascii="宋体" w:hAnsi="宋体" w:eastAsia="宋体" w:cs="宋体"/>
          <w:b/>
          <w:kern w:val="0"/>
          <w:sz w:val="24"/>
          <w:szCs w:val="24"/>
        </w:rPr>
        <w:t>四、下一步改进措施</w:t>
      </w:r>
    </w:p>
    <w:p>
      <w:pPr>
        <w:keepNext w:val="0"/>
        <w:keepLines w:val="0"/>
        <w:widowControl/>
        <w:suppressLineNumbers w:val="0"/>
        <w:autoSpaceDE w:val="0"/>
        <w:autoSpaceDN/>
        <w:ind w:left="0" w:firstLine="480" w:firstLineChars="200"/>
        <w:rPr>
          <w:rFonts w:hint="eastAsia" w:ascii="宋体" w:hAnsi="宋体" w:eastAsia="宋体" w:cs="黑体"/>
          <w:b w:val="0"/>
          <w:kern w:val="0"/>
          <w:sz w:val="24"/>
          <w:szCs w:val="24"/>
        </w:rPr>
      </w:pPr>
      <w:r>
        <w:rPr>
          <w:rFonts w:hint="eastAsia" w:ascii="宋体" w:hAnsi="宋体" w:eastAsia="宋体" w:cs="宋体"/>
          <w:b w:val="0"/>
          <w:kern w:val="0"/>
          <w:sz w:val="24"/>
          <w:szCs w:val="24"/>
        </w:rPr>
        <w:t>１.加大对项目的管理，资金按时足额兑现。</w:t>
      </w:r>
    </w:p>
    <w:p>
      <w:pPr>
        <w:pStyle w:val="13"/>
        <w:keepNext w:val="0"/>
        <w:keepLines w:val="0"/>
        <w:widowControl w:val="0"/>
        <w:suppressLineNumbers w:val="0"/>
        <w:shd w:val="clear" w:fill="FFFFFF"/>
        <w:autoSpaceDE w:val="0"/>
        <w:autoSpaceDN/>
        <w:ind w:leftChars="200" w:right="0" w:rightChars="0"/>
        <w:rPr>
          <w:rFonts w:hint="eastAsia" w:ascii="宋体" w:hAnsi="宋体" w:eastAsia="宋体" w:cs="宋体"/>
          <w:kern w:val="0"/>
          <w:sz w:val="24"/>
          <w:szCs w:val="24"/>
          <w:shd w:val="clear" w:fill="FFFFFF"/>
        </w:rPr>
      </w:pPr>
      <w:r>
        <w:rPr>
          <w:rFonts w:hint="eastAsia" w:ascii="宋体" w:hAnsi="宋体" w:eastAsia="宋体" w:cs="宋体"/>
          <w:b w:val="0"/>
          <w:kern w:val="0"/>
          <w:sz w:val="24"/>
          <w:szCs w:val="24"/>
          <w:shd w:val="clear" w:fill="FFFFFF"/>
        </w:rPr>
        <w:t>２.本单位无委托第三方展开绩</w:t>
      </w:r>
      <w:r>
        <w:rPr>
          <w:rFonts w:hint="eastAsia" w:ascii="宋体" w:hAnsi="宋体" w:eastAsia="宋体" w:cs="宋体"/>
          <w:kern w:val="0"/>
          <w:sz w:val="24"/>
          <w:szCs w:val="24"/>
          <w:shd w:val="clear" w:fill="FFFFFF"/>
        </w:rPr>
        <w:t>效平价的项目</w:t>
      </w:r>
    </w:p>
    <w:p>
      <w:pPr>
        <w:pStyle w:val="13"/>
        <w:keepNext w:val="0"/>
        <w:keepLines w:val="0"/>
        <w:widowControl w:val="0"/>
        <w:suppressLineNumbers w:val="0"/>
        <w:shd w:val="clear" w:fill="FFFFFF"/>
        <w:autoSpaceDE w:val="0"/>
        <w:autoSpaceDN/>
        <w:ind w:leftChars="200" w:right="0" w:rightChars="0"/>
        <w:rPr>
          <w:rFonts w:hint="eastAsia" w:ascii="宋体" w:hAnsi="宋体" w:eastAsia="宋体" w:cs="宋体"/>
          <w:b/>
          <w:kern w:val="0"/>
          <w:sz w:val="24"/>
          <w:szCs w:val="24"/>
          <w:shd w:val="clear" w:fill="FFFFFF"/>
        </w:rPr>
      </w:pPr>
      <w:r>
        <w:rPr>
          <w:rStyle w:val="14"/>
          <w:rFonts w:hint="eastAsia" w:ascii="Times New Roman" w:hAnsi="Times New Roman" w:eastAsia="宋体" w:cs="宋体"/>
          <w:b w:val="0"/>
          <w:shd w:val="clear" w:fill="FFFFFF"/>
        </w:rPr>
        <w:t>３</w:t>
      </w:r>
      <w:r>
        <w:rPr>
          <w:rStyle w:val="14"/>
          <w:rFonts w:hint="default" w:ascii="Times New Roman" w:hAnsi="Times New Roman" w:eastAsia="宋体" w:cs="Times New Roman"/>
          <w:b w:val="0"/>
          <w:shd w:val="clear" w:fill="FFFFFF"/>
        </w:rPr>
        <w:t>.</w:t>
      </w:r>
      <w:r>
        <w:rPr>
          <w:rStyle w:val="14"/>
          <w:rFonts w:hint="eastAsia" w:ascii="宋体" w:hAnsi="宋体" w:eastAsia="宋体" w:cs="宋体"/>
          <w:b w:val="0"/>
          <w:shd w:val="clear" w:fill="FFFFFF"/>
        </w:rPr>
        <w:t>关于绩效自评结果的说明。</w:t>
      </w:r>
    </w:p>
    <w:p>
      <w:pPr>
        <w:pStyle w:val="13"/>
        <w:keepNext w:val="0"/>
        <w:keepLines w:val="0"/>
        <w:widowControl w:val="0"/>
        <w:suppressLineNumbers w:val="0"/>
        <w:shd w:val="clear" w:fill="FFFFFF"/>
        <w:autoSpaceDE w:val="0"/>
        <w:autoSpaceDN/>
        <w:ind w:left="0" w:leftChars="0" w:right="0" w:rightChars="0" w:firstLine="480" w:firstLineChars="200"/>
        <w:rPr>
          <w:rFonts w:hint="eastAsia" w:ascii="宋体" w:hAnsi="宋体" w:eastAsia="宋体" w:cs="宋体"/>
          <w:b w:val="0"/>
          <w:kern w:val="0"/>
          <w:sz w:val="24"/>
          <w:szCs w:val="24"/>
          <w:shd w:val="clear" w:fill="FFFFFF"/>
        </w:rPr>
      </w:pPr>
      <w:r>
        <w:rPr>
          <w:rStyle w:val="14"/>
          <w:rFonts w:hint="eastAsia" w:ascii="宋体" w:hAnsi="宋体" w:eastAsia="宋体" w:cs="宋体"/>
          <w:b w:val="0"/>
          <w:shd w:val="clear" w:fill="FFFFFF"/>
        </w:rPr>
        <w:t>本单位对18个项目都完成了年度绩效目标</w:t>
      </w:r>
    </w:p>
    <w:p>
      <w:pPr>
        <w:pStyle w:val="13"/>
        <w:keepNext w:val="0"/>
        <w:keepLines w:val="0"/>
        <w:widowControl w:val="0"/>
        <w:suppressLineNumbers w:val="0"/>
        <w:shd w:val="clear" w:fill="FFFFFF"/>
        <w:autoSpaceDE w:val="0"/>
        <w:autoSpaceDN/>
        <w:ind w:left="0" w:leftChars="0" w:right="0" w:rightChars="0" w:firstLine="481" w:firstLineChars="20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 xml:space="preserve">  （三）重点绩效评价结果。</w:t>
      </w:r>
    </w:p>
    <w:p>
      <w:pPr>
        <w:pStyle w:val="13"/>
        <w:keepNext w:val="0"/>
        <w:keepLines w:val="0"/>
        <w:widowControl w:val="0"/>
        <w:suppressLineNumbers w:val="0"/>
        <w:shd w:val="clear" w:fill="FFFFFF"/>
        <w:autoSpaceDE w:val="0"/>
        <w:autoSpaceDN/>
        <w:ind w:left="0" w:leftChars="0" w:right="0" w:rightChars="0" w:firstLine="480" w:firstLineChars="20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本单位没有财政局委托第三方对单位政策或目标展开重点绩效平价的项目</w:t>
      </w:r>
    </w:p>
    <w:p>
      <w:pPr>
        <w:pStyle w:val="13"/>
        <w:keepNext w:val="0"/>
        <w:keepLines w:val="0"/>
        <w:widowControl w:val="0"/>
        <w:suppressLineNumbers w:val="0"/>
        <w:shd w:val="clear" w:fill="FFFFFF"/>
        <w:autoSpaceDE w:val="0"/>
        <w:autoSpaceDN/>
        <w:ind w:left="0" w:firstLine="481" w:firstLineChars="20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 xml:space="preserve">  六、专业名词解释</w:t>
      </w:r>
    </w:p>
    <w:p>
      <w:pPr>
        <w:pStyle w:val="13"/>
        <w:keepNext w:val="0"/>
        <w:keepLines w:val="0"/>
        <w:widowControl w:val="0"/>
        <w:suppressLineNumbers w:val="0"/>
        <w:shd w:val="clear" w:fill="FFFFFF"/>
        <w:autoSpaceDE w:val="0"/>
        <w:autoSpaceDN/>
        <w:ind w:left="0" w:firstLine="481" w:firstLineChars="20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（一）财政拨款收入</w:t>
      </w:r>
      <w:r>
        <w:rPr>
          <w:rFonts w:hint="eastAsia" w:ascii="宋体" w:hAnsi="宋体" w:eastAsia="宋体" w:cs="宋体"/>
          <w:kern w:val="0"/>
          <w:sz w:val="24"/>
          <w:szCs w:val="24"/>
          <w:shd w:val="clear" w:fill="FFFFFF"/>
        </w:rPr>
        <w:t>：指本年度从本级财政部门取得的财政拨款，包括一般公共预算财政拨款和政府性基金预算财政拨款。</w:t>
      </w:r>
    </w:p>
    <w:p>
      <w:pPr>
        <w:pStyle w:val="13"/>
        <w:keepNext w:val="0"/>
        <w:keepLines w:val="0"/>
        <w:widowControl w:val="0"/>
        <w:suppressLineNumbers w:val="0"/>
        <w:shd w:val="clear" w:fill="FFFFFF"/>
        <w:autoSpaceDE w:val="0"/>
        <w:autoSpaceDN/>
        <w:ind w:left="0" w:firstLine="481" w:firstLineChars="20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（二）其他收入</w:t>
      </w:r>
      <w:r>
        <w:rPr>
          <w:rFonts w:hint="eastAsia" w:ascii="宋体" w:hAnsi="宋体" w:eastAsia="宋体" w:cs="宋体"/>
          <w:kern w:val="0"/>
          <w:sz w:val="24"/>
          <w:szCs w:val="24"/>
          <w:shd w:val="clear" w:fill="FFFFFF"/>
        </w:rPr>
        <w:t>：</w:t>
      </w:r>
    </w:p>
    <w:p>
      <w:pPr>
        <w:pStyle w:val="13"/>
        <w:keepNext w:val="0"/>
        <w:keepLines w:val="0"/>
        <w:widowControl w:val="0"/>
        <w:suppressLineNumbers w:val="0"/>
        <w:shd w:val="clear" w:fill="FFFFFF"/>
        <w:autoSpaceDE w:val="0"/>
        <w:autoSpaceDN/>
        <w:ind w:left="0" w:firstLine="480" w:firstLineChars="20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本年重庆市社保局拨入本单位慰问经费15万元。</w:t>
      </w:r>
    </w:p>
    <w:p>
      <w:pPr>
        <w:pStyle w:val="13"/>
        <w:keepNext w:val="0"/>
        <w:keepLines w:val="0"/>
        <w:widowControl w:val="0"/>
        <w:suppressLineNumbers w:val="0"/>
        <w:shd w:val="clear" w:fill="FFFFFF"/>
        <w:autoSpaceDE w:val="0"/>
        <w:autoSpaceDN/>
        <w:ind w:leftChars="200" w:right="0" w:rightChars="0"/>
        <w:rPr>
          <w:rFonts w:hint="eastAsia" w:ascii="宋体" w:hAnsi="宋体" w:eastAsia="宋体" w:cs="宋体"/>
          <w:kern w:val="0"/>
          <w:sz w:val="24"/>
          <w:szCs w:val="24"/>
          <w:shd w:val="clear" w:fill="FFFFFF"/>
        </w:rPr>
      </w:pPr>
      <w:r>
        <w:rPr>
          <w:rStyle w:val="14"/>
          <w:rFonts w:hint="eastAsia" w:ascii="Times New Roman" w:hAnsi="Times New Roman" w:eastAsia="宋体" w:cs="宋体"/>
          <w:b/>
          <w:shd w:val="clear" w:fill="FFFFFF"/>
        </w:rPr>
        <w:t>（三）</w:t>
      </w:r>
      <w:r>
        <w:rPr>
          <w:rStyle w:val="14"/>
          <w:rFonts w:hint="eastAsia" w:ascii="宋体" w:hAnsi="宋体" w:eastAsia="宋体" w:cs="宋体"/>
          <w:b/>
          <w:shd w:val="clear" w:fill="FFFFFF"/>
        </w:rPr>
        <w:t>年初结转和结余</w:t>
      </w:r>
      <w:r>
        <w:rPr>
          <w:rFonts w:hint="eastAsia" w:ascii="宋体" w:hAnsi="宋体" w:eastAsia="宋体" w:cs="宋体"/>
          <w:kern w:val="0"/>
          <w:sz w:val="24"/>
          <w:szCs w:val="24"/>
          <w:shd w:val="clear" w:fill="FFFFFF"/>
        </w:rPr>
        <w:t>：指单位上年结转本年使用的项目支出结转和结余38.19万元。</w:t>
      </w:r>
    </w:p>
    <w:p>
      <w:pPr>
        <w:pStyle w:val="13"/>
        <w:keepNext w:val="0"/>
        <w:keepLines w:val="0"/>
        <w:widowControl w:val="0"/>
        <w:suppressLineNumbers w:val="0"/>
        <w:shd w:val="clear" w:fill="FFFFFF"/>
        <w:autoSpaceDE w:val="0"/>
        <w:autoSpaceDN/>
        <w:ind w:leftChars="200" w:right="0" w:rightChars="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（四）年末结转和结余</w:t>
      </w:r>
      <w:r>
        <w:rPr>
          <w:rFonts w:hint="eastAsia" w:ascii="宋体" w:hAnsi="宋体" w:eastAsia="宋体" w:cs="宋体"/>
          <w:kern w:val="0"/>
          <w:sz w:val="24"/>
          <w:szCs w:val="24"/>
          <w:shd w:val="clear" w:fill="FFFFFF"/>
        </w:rPr>
        <w:t>：指单位结转下年的基本支出结转、项目支出结转和结余。</w:t>
      </w:r>
    </w:p>
    <w:p>
      <w:pPr>
        <w:pStyle w:val="13"/>
        <w:keepNext w:val="0"/>
        <w:keepLines w:val="0"/>
        <w:widowControl w:val="0"/>
        <w:suppressLineNumbers w:val="0"/>
        <w:shd w:val="clear" w:fill="FFFFFF"/>
        <w:autoSpaceDE w:val="0"/>
        <w:autoSpaceDN/>
        <w:ind w:left="0" w:firstLine="481" w:firstLineChars="20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（五）基本支出</w:t>
      </w:r>
      <w:r>
        <w:rPr>
          <w:rFonts w:hint="eastAsia" w:ascii="宋体" w:hAnsi="宋体" w:eastAsia="宋体" w:cs="宋体"/>
          <w:kern w:val="0"/>
          <w:sz w:val="24"/>
          <w:szCs w:val="24"/>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3"/>
        <w:keepNext w:val="0"/>
        <w:keepLines w:val="0"/>
        <w:widowControl w:val="0"/>
        <w:suppressLineNumbers w:val="0"/>
        <w:shd w:val="clear" w:fill="FFFFFF"/>
        <w:autoSpaceDE w:val="0"/>
        <w:autoSpaceDN/>
        <w:ind w:left="0" w:firstLine="481" w:firstLineChars="20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（六）项目支出</w:t>
      </w:r>
      <w:r>
        <w:rPr>
          <w:rFonts w:hint="eastAsia" w:ascii="宋体" w:hAnsi="宋体" w:eastAsia="宋体" w:cs="宋体"/>
          <w:kern w:val="0"/>
          <w:sz w:val="24"/>
          <w:szCs w:val="24"/>
          <w:shd w:val="clear" w:fill="FFFFFF"/>
        </w:rPr>
        <w:t>：指在基本支出之外为完成特定行政任务和事业发展目标所发生的支出。</w:t>
      </w:r>
    </w:p>
    <w:p>
      <w:pPr>
        <w:pStyle w:val="13"/>
        <w:keepNext w:val="0"/>
        <w:keepLines w:val="0"/>
        <w:widowControl w:val="0"/>
        <w:suppressLineNumbers w:val="0"/>
        <w:shd w:val="clear" w:fill="FFFFFF"/>
        <w:autoSpaceDE w:val="0"/>
        <w:autoSpaceDN/>
        <w:ind w:left="0" w:firstLine="481" w:firstLineChars="20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（七）“三公”经费</w:t>
      </w:r>
      <w:r>
        <w:rPr>
          <w:rFonts w:hint="eastAsia" w:ascii="宋体" w:hAnsi="宋体" w:eastAsia="宋体" w:cs="宋体"/>
          <w:kern w:val="0"/>
          <w:sz w:val="24"/>
          <w:szCs w:val="24"/>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3"/>
        <w:keepNext w:val="0"/>
        <w:keepLines w:val="0"/>
        <w:widowControl w:val="0"/>
        <w:suppressLineNumbers w:val="0"/>
        <w:shd w:val="clear" w:fill="FFFFFF"/>
        <w:autoSpaceDE w:val="0"/>
        <w:autoSpaceDN/>
        <w:rPr>
          <w:rFonts w:hint="eastAsia" w:ascii="宋体" w:hAnsi="宋体" w:eastAsia="宋体" w:cs="宋体"/>
          <w:kern w:val="0"/>
          <w:sz w:val="24"/>
          <w:szCs w:val="24"/>
          <w:shd w:val="clear" w:fill="FFFFFF"/>
        </w:rPr>
      </w:pPr>
      <w:r>
        <w:rPr>
          <w:rStyle w:val="14"/>
          <w:rFonts w:hint="eastAsia" w:ascii="Times New Roman" w:hAnsi="Times New Roman" w:eastAsia="宋体" w:cs="宋体"/>
          <w:b/>
          <w:shd w:val="clear" w:fill="FFFFFF"/>
        </w:rPr>
        <w:t xml:space="preserve"> </w:t>
      </w:r>
      <w:r>
        <w:rPr>
          <w:rStyle w:val="14"/>
          <w:rFonts w:hint="eastAsia" w:ascii="宋体" w:hAnsi="宋体" w:eastAsia="宋体" w:cs="宋体"/>
          <w:b/>
          <w:shd w:val="clear" w:fill="FFFFFF"/>
        </w:rPr>
        <w:t xml:space="preserve">  （八）机关运行经费</w:t>
      </w:r>
      <w:r>
        <w:rPr>
          <w:rFonts w:hint="eastAsia" w:ascii="宋体" w:hAnsi="宋体" w:eastAsia="宋体" w:cs="宋体"/>
          <w:kern w:val="0"/>
          <w:sz w:val="24"/>
          <w:szCs w:val="24"/>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3"/>
        <w:keepNext w:val="0"/>
        <w:keepLines w:val="0"/>
        <w:widowControl w:val="0"/>
        <w:suppressLineNumbers w:val="0"/>
        <w:shd w:val="clear" w:fill="FFFFFF"/>
        <w:autoSpaceDE w:val="0"/>
        <w:autoSpaceDN/>
        <w:ind w:left="0" w:firstLine="481" w:firstLineChars="20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（九）工资福利支出（支出经济分类科目类级）</w:t>
      </w:r>
      <w:r>
        <w:rPr>
          <w:rFonts w:hint="eastAsia" w:ascii="宋体" w:hAnsi="宋体" w:eastAsia="宋体" w:cs="宋体"/>
          <w:kern w:val="0"/>
          <w:sz w:val="24"/>
          <w:szCs w:val="24"/>
          <w:shd w:val="clear" w:fill="FFFFFF"/>
        </w:rPr>
        <w:t>：反映单位开支的在职职工和编制外长期聘用人员的各类劳动报酬，以及为上述人员缴纳的各项社会保险费等。</w:t>
      </w:r>
    </w:p>
    <w:p>
      <w:pPr>
        <w:pStyle w:val="13"/>
        <w:keepNext w:val="0"/>
        <w:keepLines w:val="0"/>
        <w:widowControl w:val="0"/>
        <w:suppressLineNumbers w:val="0"/>
        <w:shd w:val="clear" w:fill="FFFFFF"/>
        <w:autoSpaceDE w:val="0"/>
        <w:autoSpaceDN/>
        <w:ind w:left="0" w:firstLine="481" w:firstLineChars="20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（十）商品和服务支出（支出经济分类科目类级）</w:t>
      </w:r>
      <w:r>
        <w:rPr>
          <w:rFonts w:hint="eastAsia" w:ascii="宋体" w:hAnsi="宋体" w:eastAsia="宋体" w:cs="宋体"/>
          <w:kern w:val="0"/>
          <w:sz w:val="24"/>
          <w:szCs w:val="24"/>
          <w:shd w:val="clear" w:fill="FFFFFF"/>
        </w:rPr>
        <w:t>：反映单位购买商品和服务的支出（不包括用于购置固定资产的支出、战略性和应急储备支出）。</w:t>
      </w:r>
    </w:p>
    <w:p>
      <w:pPr>
        <w:pStyle w:val="13"/>
        <w:keepNext w:val="0"/>
        <w:keepLines w:val="0"/>
        <w:widowControl w:val="0"/>
        <w:suppressLineNumbers w:val="0"/>
        <w:shd w:val="clear" w:fill="FFFFFF"/>
        <w:autoSpaceDE w:val="0"/>
        <w:autoSpaceDN/>
        <w:rPr>
          <w:rFonts w:hint="eastAsia" w:ascii="宋体" w:hAnsi="宋体" w:eastAsia="宋体" w:cs="宋体"/>
          <w:kern w:val="0"/>
          <w:sz w:val="24"/>
          <w:szCs w:val="24"/>
          <w:shd w:val="clear" w:fill="FFFFFF"/>
        </w:rPr>
      </w:pPr>
      <w:r>
        <w:rPr>
          <w:rStyle w:val="14"/>
          <w:rFonts w:hint="eastAsia" w:ascii="Times New Roman" w:hAnsi="Times New Roman" w:eastAsia="宋体" w:cs="宋体"/>
          <w:b/>
          <w:shd w:val="clear" w:fill="FFFFFF"/>
        </w:rPr>
        <w:t xml:space="preserve">  </w:t>
      </w:r>
      <w:r>
        <w:rPr>
          <w:rStyle w:val="14"/>
          <w:rFonts w:hint="eastAsia" w:ascii="宋体" w:hAnsi="宋体" w:eastAsia="宋体" w:cs="宋体"/>
          <w:b/>
          <w:shd w:val="clear" w:fill="FFFFFF"/>
        </w:rPr>
        <w:t>（十一）对个人和家庭的补助（支出经济分类科目类级）</w:t>
      </w:r>
      <w:r>
        <w:rPr>
          <w:rFonts w:hint="eastAsia" w:ascii="宋体" w:hAnsi="宋体" w:eastAsia="宋体" w:cs="宋体"/>
          <w:kern w:val="0"/>
          <w:sz w:val="24"/>
          <w:szCs w:val="24"/>
          <w:shd w:val="clear" w:fill="FFFFFF"/>
        </w:rPr>
        <w:t>：反映用于对个人和家庭的补助支出。</w:t>
      </w:r>
    </w:p>
    <w:p>
      <w:pPr>
        <w:pStyle w:val="13"/>
        <w:keepNext w:val="0"/>
        <w:keepLines w:val="0"/>
        <w:widowControl w:val="0"/>
        <w:suppressLineNumbers w:val="0"/>
        <w:shd w:val="clear" w:fill="FFFFFF"/>
        <w:autoSpaceDE w:val="0"/>
        <w:autoSpaceDN/>
        <w:rPr>
          <w:rFonts w:hint="eastAsia" w:ascii="宋体" w:hAnsi="宋体" w:eastAsia="宋体" w:cs="宋体"/>
          <w:kern w:val="0"/>
          <w:sz w:val="24"/>
          <w:szCs w:val="24"/>
          <w:shd w:val="clear" w:fill="FFFFFF"/>
        </w:rPr>
      </w:pPr>
      <w:r>
        <w:rPr>
          <w:rStyle w:val="14"/>
          <w:rFonts w:hint="eastAsia" w:ascii="Times New Roman" w:hAnsi="Times New Roman" w:eastAsia="宋体" w:cs="宋体"/>
          <w:b/>
          <w:shd w:val="clear" w:fill="FFFFFF"/>
        </w:rPr>
        <w:t xml:space="preserve">  </w:t>
      </w:r>
      <w:r>
        <w:rPr>
          <w:rStyle w:val="14"/>
          <w:rFonts w:hint="eastAsia" w:ascii="宋体" w:hAnsi="宋体" w:eastAsia="宋体" w:cs="宋体"/>
          <w:b/>
          <w:shd w:val="clear" w:fill="FFFFFF"/>
        </w:rPr>
        <w:t>（十二）其他资本性支出（支出经济分类科目类级）</w:t>
      </w:r>
      <w:r>
        <w:rPr>
          <w:rFonts w:hint="eastAsia" w:ascii="宋体" w:hAnsi="宋体" w:eastAsia="宋体" w:cs="宋体"/>
          <w:kern w:val="0"/>
          <w:sz w:val="24"/>
          <w:szCs w:val="24"/>
          <w:shd w:val="clear" w:fill="FFFFFF"/>
        </w:rPr>
        <w:t>：反映非各级发展与改革部门集中安排的用于购置固定资产、战略性和应急性储备、土地和无形资产，以及构建基础设施、大型修缮和财政支持企业更新改造所发生的支出。</w:t>
      </w:r>
    </w:p>
    <w:p>
      <w:pPr>
        <w:pStyle w:val="13"/>
        <w:keepNext w:val="0"/>
        <w:keepLines w:val="0"/>
        <w:widowControl w:val="0"/>
        <w:suppressLineNumbers w:val="0"/>
        <w:shd w:val="clear" w:fill="FFFFFF"/>
        <w:autoSpaceDE w:val="0"/>
        <w:autoSpaceDN/>
        <w:ind w:left="0" w:firstLine="481" w:firstLineChars="200"/>
        <w:rPr>
          <w:rFonts w:hint="eastAsia" w:ascii="宋体" w:hAnsi="宋体" w:eastAsia="宋体" w:cs="宋体"/>
          <w:kern w:val="0"/>
          <w:sz w:val="24"/>
          <w:szCs w:val="24"/>
          <w:shd w:val="clear" w:fill="FFFFFF"/>
        </w:rPr>
      </w:pPr>
      <w:r>
        <w:rPr>
          <w:rStyle w:val="14"/>
          <w:rFonts w:hint="eastAsia" w:ascii="宋体" w:hAnsi="宋体" w:eastAsia="宋体" w:cs="宋体"/>
          <w:b/>
          <w:shd w:val="clear" w:fill="FFFFFF"/>
        </w:rPr>
        <w:t xml:space="preserve">  七、决算公开联系方式及信息反馈渠道</w:t>
      </w:r>
    </w:p>
    <w:p>
      <w:pPr>
        <w:pStyle w:val="13"/>
        <w:keepNext w:val="0"/>
        <w:keepLines w:val="0"/>
        <w:widowControl w:val="0"/>
        <w:suppressLineNumbers w:val="0"/>
        <w:shd w:val="clear" w:fill="FFFFFF"/>
        <w:autoSpaceDE w:val="0"/>
        <w:autoSpaceDN/>
        <w:ind w:left="0" w:firstLine="480" w:firstLineChars="20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本单位决算公开信息反馈和联系方式：023-70702186</w:t>
      </w:r>
    </w:p>
    <w:p>
      <w:pPr>
        <w:pStyle w:val="13"/>
        <w:keepNext w:val="0"/>
        <w:keepLines w:val="0"/>
        <w:widowControl w:val="0"/>
        <w:suppressLineNumbers w:val="0"/>
        <w:shd w:val="clear" w:fill="FFFFFF"/>
        <w:autoSpaceDE w:val="0"/>
        <w:autoSpaceDN/>
        <w:ind w:left="0" w:firstLine="480" w:firstLineChars="200"/>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sectPr>
      <w:pgSz w:w="11915" w:h="16840"/>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D20B5"/>
    <w:multiLevelType w:val="multilevel"/>
    <w:tmpl w:val="B96D20B5"/>
    <w:lvl w:ilvl="0" w:tentative="0">
      <w:start w:val="1"/>
      <w:numFmt w:val="decimal"/>
      <w:lvlText w:val="%1."/>
      <w:lvlJc w:val="left"/>
      <w:pPr>
        <w:tabs>
          <w:tab w:val="left" w:pos="0"/>
        </w:tabs>
        <w:ind w:left="840" w:firstLine="0"/>
      </w:pPr>
      <w:rPr>
        <w:rFonts w:hint="default" w:ascii="Times New Roman" w:hAnsi="Times New Roman" w:cs="Times New Roman"/>
        <w:b/>
      </w:rPr>
    </w:lvl>
    <w:lvl w:ilvl="1" w:tentative="0">
      <w:start w:val="1"/>
      <w:numFmt w:val="decimal"/>
      <w:lvlText w:val="%2."/>
      <w:lvlJc w:val="left"/>
      <w:pPr>
        <w:tabs>
          <w:tab w:val="left" w:pos="1440"/>
        </w:tabs>
        <w:ind w:left="1440" w:firstLine="0"/>
      </w:pPr>
      <w:rPr>
        <w:rFonts w:hint="default" w:ascii="Times New Roman" w:hAnsi="Times New Roman" w:cs="Times New Roman"/>
      </w:rPr>
    </w:lvl>
    <w:lvl w:ilvl="2" w:tentative="0">
      <w:start w:val="1"/>
      <w:numFmt w:val="decimal"/>
      <w:lvlText w:val="%3."/>
      <w:lvlJc w:val="left"/>
      <w:pPr>
        <w:tabs>
          <w:tab w:val="left" w:pos="2160"/>
        </w:tabs>
        <w:ind w:left="2160" w:firstLine="0"/>
      </w:pPr>
      <w:rPr>
        <w:rFonts w:hint="default" w:ascii="Times New Roman" w:hAnsi="Times New Roman" w:cs="Times New Roman"/>
      </w:rPr>
    </w:lvl>
    <w:lvl w:ilvl="3" w:tentative="0">
      <w:start w:val="1"/>
      <w:numFmt w:val="decimal"/>
      <w:lvlText w:val="%4."/>
      <w:lvlJc w:val="left"/>
      <w:pPr>
        <w:tabs>
          <w:tab w:val="left" w:pos="2880"/>
        </w:tabs>
        <w:ind w:left="2880" w:firstLine="0"/>
      </w:pPr>
      <w:rPr>
        <w:rFonts w:hint="default" w:ascii="Times New Roman" w:hAnsi="Times New Roman" w:cs="Times New Roman"/>
      </w:rPr>
    </w:lvl>
    <w:lvl w:ilvl="4" w:tentative="0">
      <w:start w:val="1"/>
      <w:numFmt w:val="decimal"/>
      <w:lvlText w:val="%5."/>
      <w:lvlJc w:val="left"/>
      <w:pPr>
        <w:tabs>
          <w:tab w:val="left" w:pos="3600"/>
        </w:tabs>
        <w:ind w:left="3600" w:firstLine="0"/>
      </w:pPr>
      <w:rPr>
        <w:rFonts w:hint="default" w:ascii="Times New Roman" w:hAnsi="Times New Roman" w:cs="Times New Roman"/>
      </w:rPr>
    </w:lvl>
    <w:lvl w:ilvl="5" w:tentative="0">
      <w:start w:val="1"/>
      <w:numFmt w:val="decimal"/>
      <w:lvlText w:val="%6."/>
      <w:lvlJc w:val="left"/>
      <w:pPr>
        <w:tabs>
          <w:tab w:val="left" w:pos="4320"/>
        </w:tabs>
        <w:ind w:left="4320" w:firstLine="0"/>
      </w:pPr>
      <w:rPr>
        <w:rFonts w:hint="default" w:ascii="Times New Roman" w:hAnsi="Times New Roman" w:cs="Times New Roman"/>
      </w:rPr>
    </w:lvl>
    <w:lvl w:ilvl="6" w:tentative="0">
      <w:start w:val="1"/>
      <w:numFmt w:val="decimal"/>
      <w:lvlText w:val="%7."/>
      <w:lvlJc w:val="left"/>
      <w:pPr>
        <w:tabs>
          <w:tab w:val="left" w:pos="5040"/>
        </w:tabs>
        <w:ind w:left="5040" w:firstLine="0"/>
      </w:pPr>
      <w:rPr>
        <w:rFonts w:hint="default" w:ascii="Times New Roman" w:hAnsi="Times New Roman" w:cs="Times New Roman"/>
      </w:rPr>
    </w:lvl>
    <w:lvl w:ilvl="7" w:tentative="0">
      <w:start w:val="1"/>
      <w:numFmt w:val="decimal"/>
      <w:lvlText w:val="%8."/>
      <w:lvlJc w:val="left"/>
      <w:pPr>
        <w:tabs>
          <w:tab w:val="left" w:pos="5760"/>
        </w:tabs>
        <w:ind w:left="5760" w:firstLine="0"/>
      </w:pPr>
      <w:rPr>
        <w:rFonts w:hint="default" w:ascii="Times New Roman" w:hAnsi="Times New Roman" w:cs="Times New Roman"/>
      </w:rPr>
    </w:lvl>
    <w:lvl w:ilvl="8" w:tentative="0">
      <w:start w:val="1"/>
      <w:numFmt w:val="decimal"/>
      <w:lvlText w:val="%9."/>
      <w:lvlJc w:val="left"/>
      <w:pPr>
        <w:tabs>
          <w:tab w:val="left" w:pos="6480"/>
        </w:tabs>
        <w:ind w:left="6480" w:firstLine="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7"/>
  <w:displayHorizontalDrawingGridEvery w:val="0"/>
  <w:displayVerticalDrawingGridEvery w:val="2"/>
  <w:noPunctuationKerning w:val="true"/>
  <w:characterSpacingControl w:val="doNotCompress"/>
  <w:compat>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mMDI0Y2Q2MDZmYmJiODIyYzdjZjJiM2ZmMDI5NDAifQ=="/>
  </w:docVars>
  <w:rsids>
    <w:rsidRoot w:val="00000000"/>
    <w:rsid w:val="301F5508"/>
    <w:rsid w:val="9FFF7C08"/>
    <w:rsid w:val="CBEE24D7"/>
    <w:rsid w:val="DFD69033"/>
    <w:rsid w:val="FDF3BE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qFormat="1" w:unhideWhenUsed="0" w:uiPriority="35"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qFormat="1" w:uiPriority="99"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11"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qFormat="1"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paragraph" w:styleId="2">
    <w:name w:val="heading 1"/>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36"/>
      <w:szCs w:val="36"/>
      <w:lang w:val="en-US" w:eastAsia="zh-CN" w:bidi="ar"/>
    </w:rPr>
  </w:style>
  <w:style w:type="paragraph" w:styleId="4">
    <w:name w:val="heading 3"/>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27"/>
      <w:szCs w:val="27"/>
      <w:lang w:val="en-US" w:eastAsia="zh-CN" w:bidi="ar"/>
    </w:rPr>
  </w:style>
  <w:style w:type="paragraph" w:styleId="5">
    <w:name w:val="heading 4"/>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24"/>
      <w:szCs w:val="24"/>
      <w:lang w:val="en-US" w:eastAsia="zh-CN" w:bidi="ar"/>
    </w:rPr>
  </w:style>
  <w:style w:type="paragraph" w:styleId="6">
    <w:name w:val="heading 5"/>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20"/>
      <w:szCs w:val="20"/>
      <w:lang w:val="en-US" w:eastAsia="zh-CN" w:bidi="ar"/>
    </w:rPr>
  </w:style>
  <w:style w:type="paragraph" w:styleId="7">
    <w:name w:val="heading 6"/>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kern w:val="0"/>
      <w:sz w:val="15"/>
      <w:szCs w:val="15"/>
      <w:lang w:val="en-US" w:eastAsia="zh-CN" w:bidi="ar"/>
    </w:rPr>
  </w:style>
  <w:style w:type="character" w:default="1" w:styleId="11">
    <w:name w:val="Default Paragraph Font"/>
    <w:semiHidden/>
    <w:unhideWhenUsed/>
    <w:qFormat/>
    <w:uiPriority w:val="99"/>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qFormat/>
    <w:uiPriority w:val="99"/>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default" w:ascii="Courier New" w:hAnsi="Courier New" w:eastAsia="宋体" w:cs="Courier New"/>
      <w:kern w:val="0"/>
      <w:sz w:val="20"/>
      <w:szCs w:val="20"/>
      <w:lang w:val="en-US" w:eastAsia="zh-CN" w:bidi="ar"/>
    </w:rPr>
  </w:style>
  <w:style w:type="paragraph" w:styleId="9">
    <w:name w:val="Normal (Web)"/>
    <w:basedOn w:val="1"/>
    <w:qFormat/>
    <w:uiPriority w:val="99"/>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10"/>
    <w:basedOn w:val="11"/>
    <w:qFormat/>
    <w:uiPriority w:val="0"/>
    <w:rPr>
      <w:rFonts w:hint="default" w:ascii="Times New Roman" w:hAnsi="Times New Roman" w:cs="Times New Roman"/>
    </w:rPr>
  </w:style>
  <w:style w:type="paragraph" w:customStyle="1" w:styleId="13">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17"/>
    <w:basedOn w:val="11"/>
    <w:qFormat/>
    <w:uiPriority w:val="0"/>
    <w:rPr>
      <w:rFonts w:hint="default" w:ascii="Times New Roman" w:hAnsi="Times New Roman" w:cs="Times New Roman"/>
      <w:b/>
    </w:rPr>
  </w:style>
  <w:style w:type="paragraph" w:customStyle="1" w:styleId="15">
    <w:name w:val="HTML 预设格式 Char"/>
    <w:basedOn w:val="1"/>
    <w:qFormat/>
    <w:uiPriority w:val="0"/>
    <w:pPr>
      <w:keepNext w:val="0"/>
      <w:keepLines w:val="0"/>
      <w:widowControl/>
      <w:suppressLineNumbers w:val="0"/>
      <w:spacing w:before="0" w:beforeAutospacing="0" w:after="0" w:afterAutospacing="0"/>
      <w:ind w:left="0" w:right="0"/>
      <w:jc w:val="left"/>
    </w:pPr>
    <w:rPr>
      <w:rFonts w:hint="default" w:ascii="Courier New" w:hAnsi="Courier New" w:eastAsia="宋体" w:cs="Courier New"/>
      <w:kern w:val="0"/>
      <w:sz w:val="20"/>
      <w:szCs w:val="20"/>
      <w:lang w:val="en-US" w:eastAsia="zh-CN" w:bidi="ar"/>
    </w:rPr>
  </w:style>
  <w:style w:type="character" w:customStyle="1" w:styleId="16">
    <w:name w:val="16"/>
    <w:basedOn w:val="11"/>
    <w:qFormat/>
    <w:uiPriority w:val="0"/>
    <w:rPr>
      <w:rFonts w:hint="default" w:ascii="Times New Roman" w:hAnsi="Times New Roman" w:cs="Times New Roman"/>
    </w:rPr>
  </w:style>
  <w:style w:type="character" w:customStyle="1" w:styleId="17">
    <w:name w:val="15"/>
    <w:basedOn w:val="11"/>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6009</Words>
  <Characters>6802</Characters>
  <Lines>1</Lines>
  <Paragraphs>1</Paragraphs>
  <TotalTime>1</TotalTime>
  <ScaleCrop>false</ScaleCrop>
  <LinksUpToDate>false</LinksUpToDate>
  <CharactersWithSpaces>6906</CharactersWithSpaces>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2022-10-12T08:04:00Z</dcterms:created>
  <dc:creator>Administrator</dc:creator>
  <cp:lastModifiedBy>fengdu</cp:lastModifiedBy>
  <dcterms:modified xsi:type="dcterms:W3CDTF">2023-08-01T14:57:19Z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A05DE419B50A4E69B67D615F2D8FCD9B</vt:lpwstr>
  </property>
</Properties>
</file>