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pPr>
      <w:r>
        <w:rPr>
          <w:sz w:val="54"/>
          <w:szCs w:val="54"/>
        </w:rPr>
        <w:t>重庆市丰都县人力资源考试测评服务中心</w:t>
      </w:r>
    </w:p>
    <w:p>
      <w:pPr>
        <w:pStyle w:val="4"/>
        <w:shd w:val="clear" w:color="auto" w:fill="FFFFFF"/>
        <w:jc w:val="center"/>
      </w:pPr>
      <w:r>
        <w:rPr>
          <w:sz w:val="54"/>
          <w:szCs w:val="54"/>
        </w:rPr>
        <w:t>2021年度部门决算情况说明</w:t>
      </w:r>
    </w:p>
    <w:p>
      <w:pPr>
        <w:pStyle w:val="4"/>
        <w:shd w:val="clear" w:color="auto" w:fill="FFFFFF"/>
      </w:pPr>
      <w:r>
        <w:rPr>
          <w:rStyle w:val="7"/>
          <w:sz w:val="33"/>
          <w:szCs w:val="33"/>
        </w:rPr>
        <w:t>  一、部门基本情况</w:t>
      </w:r>
    </w:p>
    <w:p>
      <w:pPr>
        <w:pStyle w:val="4"/>
        <w:shd w:val="clear" w:color="auto" w:fill="FFFFFF"/>
      </w:pPr>
      <w:r>
        <w:rPr>
          <w:rStyle w:val="7"/>
          <w:sz w:val="27"/>
          <w:szCs w:val="27"/>
        </w:rPr>
        <w:t>  （一）职能职责。</w:t>
      </w:r>
    </w:p>
    <w:p>
      <w:pPr>
        <w:pStyle w:val="4"/>
        <w:shd w:val="clear" w:color="auto" w:fill="FFFFFF"/>
      </w:pPr>
      <w:r>
        <w:rPr>
          <w:color w:val="FF0000"/>
          <w:sz w:val="27"/>
          <w:szCs w:val="27"/>
        </w:rPr>
        <w:t> </w:t>
      </w:r>
      <w:r>
        <w:rPr>
          <w:rStyle w:val="7"/>
          <w:rFonts w:hint="eastAsia"/>
          <w:b w:val="0"/>
          <w:bCs w:val="0"/>
          <w:sz w:val="27"/>
          <w:szCs w:val="27"/>
        </w:rPr>
        <w:t>承担全县人事考试、机关事业单位技术工人等级（岗位）培训考试、职业技能鉴定的咨询、考试、评审等的服务性工作；承办县人力资源和社会保障局交办的其他事项。</w:t>
      </w:r>
    </w:p>
    <w:p>
      <w:pPr>
        <w:pStyle w:val="4"/>
        <w:shd w:val="clear" w:color="auto" w:fill="FFFFFF"/>
      </w:pPr>
      <w:r>
        <w:rPr>
          <w:rStyle w:val="7"/>
          <w:sz w:val="27"/>
          <w:szCs w:val="27"/>
        </w:rPr>
        <w:t>  （二）机构设置。</w:t>
      </w:r>
    </w:p>
    <w:p>
      <w:pPr>
        <w:pStyle w:val="4"/>
        <w:shd w:val="clear" w:color="auto" w:fill="FFFFFF"/>
      </w:pPr>
      <w:r>
        <w:rPr>
          <w:color w:val="FF0000"/>
          <w:sz w:val="27"/>
          <w:szCs w:val="27"/>
        </w:rPr>
        <w:t> </w:t>
      </w:r>
      <w:r>
        <w:rPr>
          <w:rStyle w:val="7"/>
          <w:rFonts w:hint="eastAsia"/>
          <w:b w:val="0"/>
          <w:bCs w:val="0"/>
          <w:sz w:val="27"/>
          <w:szCs w:val="27"/>
        </w:rPr>
        <w:t>本单位无内设职能科室，2021年12月，编制数7人，实有人数6人。</w:t>
      </w:r>
    </w:p>
    <w:p>
      <w:pPr>
        <w:pStyle w:val="4"/>
        <w:shd w:val="clear" w:color="auto" w:fill="FFFFFF"/>
      </w:pPr>
      <w:r>
        <w:rPr>
          <w:rStyle w:val="7"/>
          <w:sz w:val="27"/>
          <w:szCs w:val="27"/>
        </w:rPr>
        <w:t>  （三）单位构成。</w:t>
      </w:r>
    </w:p>
    <w:p>
      <w:pPr>
        <w:pStyle w:val="4"/>
        <w:shd w:val="clear" w:color="auto" w:fill="FFFFFF"/>
        <w:ind w:firstLine="529" w:firstLineChars="196"/>
        <w:rPr>
          <w:rFonts w:ascii="Times New Roman" w:hAnsi="Times New Roman" w:cs="Times New Roman"/>
        </w:rPr>
      </w:pPr>
      <w:r>
        <w:rPr>
          <w:sz w:val="27"/>
          <w:szCs w:val="27"/>
        </w:rPr>
        <w:t> </w:t>
      </w:r>
      <w:r>
        <w:rPr>
          <w:rFonts w:hint="eastAsia" w:ascii="Times New Roman" w:cs="Times New Roman"/>
          <w:sz w:val="27"/>
          <w:szCs w:val="27"/>
        </w:rPr>
        <w:t>本单位无下级预算单位</w:t>
      </w:r>
    </w:p>
    <w:p>
      <w:pPr>
        <w:pStyle w:val="4"/>
        <w:shd w:val="clear" w:color="auto" w:fill="FFFFFF"/>
      </w:pPr>
      <w:r>
        <w:rPr>
          <w:rStyle w:val="7"/>
          <w:sz w:val="33"/>
          <w:szCs w:val="33"/>
        </w:rPr>
        <w:t>  二、部门决算情况说明</w:t>
      </w:r>
    </w:p>
    <w:p>
      <w:pPr>
        <w:pStyle w:val="4"/>
        <w:shd w:val="clear" w:color="auto" w:fill="FFFFFF"/>
      </w:pPr>
      <w:r>
        <w:rPr>
          <w:rStyle w:val="7"/>
          <w:sz w:val="27"/>
          <w:szCs w:val="27"/>
        </w:rPr>
        <w:t>  （一）收入支出决算总体情况说明。</w:t>
      </w:r>
    </w:p>
    <w:p>
      <w:pPr>
        <w:pStyle w:val="4"/>
        <w:shd w:val="clear" w:color="auto" w:fill="FFFFFF"/>
      </w:pPr>
      <w:r>
        <w:rPr>
          <w:rStyle w:val="7"/>
          <w:sz w:val="27"/>
          <w:szCs w:val="27"/>
        </w:rPr>
        <w:t>  1.总体情况。</w:t>
      </w:r>
      <w:r>
        <w:rPr>
          <w:sz w:val="27"/>
          <w:szCs w:val="27"/>
        </w:rPr>
        <w:t>2021年度收入总计215.90万元，支出总计215.90万元。收支较上年决算数减少94.95万元、下降30.5%，主要原因是</w:t>
      </w:r>
      <w:r>
        <w:rPr>
          <w:rFonts w:hint="eastAsia"/>
          <w:sz w:val="27"/>
          <w:szCs w:val="27"/>
        </w:rPr>
        <w:t>2020年有县级标准化考场建设项目100万元属于一次性支出，2021年无此项收入。</w:t>
      </w:r>
    </w:p>
    <w:p>
      <w:pPr>
        <w:pStyle w:val="4"/>
        <w:shd w:val="clear" w:color="auto" w:fill="FFFFFF"/>
        <w:rPr>
          <w:color w:val="FF0000"/>
          <w:sz w:val="27"/>
          <w:szCs w:val="27"/>
          <w:shd w:val="clear" w:color="auto" w:fill="FFFF00"/>
        </w:rPr>
      </w:pPr>
      <w:r>
        <w:rPr>
          <w:rStyle w:val="7"/>
          <w:sz w:val="27"/>
          <w:szCs w:val="27"/>
        </w:rPr>
        <w:t>  2.收入情况。</w:t>
      </w:r>
      <w:r>
        <w:rPr>
          <w:sz w:val="27"/>
          <w:szCs w:val="27"/>
        </w:rPr>
        <w:t>2021年度收入合计182.96万元，较上年决算数减少125.54万元，下降40.7%，主要原因是</w:t>
      </w:r>
      <w:r>
        <w:rPr>
          <w:rFonts w:hint="eastAsia"/>
          <w:sz w:val="27"/>
          <w:szCs w:val="27"/>
        </w:rPr>
        <w:t>2020年有县级标准化考场建设项目100万元属于一次性支出，2021年无此项收入。</w:t>
      </w:r>
      <w:r>
        <w:rPr>
          <w:sz w:val="27"/>
          <w:szCs w:val="27"/>
        </w:rPr>
        <w:t>其中：财政拨款收入164.29万元，占89.8%；其他收入18.67万元，占10.2%。此外，使用非财政拨款结余0.00万元，年初结转和结余32.94万元。</w:t>
      </w:r>
    </w:p>
    <w:p>
      <w:pPr>
        <w:pStyle w:val="4"/>
        <w:shd w:val="clear" w:color="auto" w:fill="FFFFFF"/>
        <w:rPr>
          <w:color w:val="FF0000"/>
          <w:sz w:val="27"/>
          <w:szCs w:val="27"/>
          <w:shd w:val="clear" w:color="auto" w:fill="FFFF00"/>
        </w:rPr>
      </w:pPr>
      <w:r>
        <w:rPr>
          <w:rStyle w:val="7"/>
          <w:sz w:val="27"/>
          <w:szCs w:val="27"/>
        </w:rPr>
        <w:t>  3.支出情况。</w:t>
      </w:r>
      <w:r>
        <w:rPr>
          <w:sz w:val="27"/>
          <w:szCs w:val="27"/>
        </w:rPr>
        <w:t>2021年度支出合计200.42万元，较上年决算数减少81.56万元，下降28.9%，主要原因是</w:t>
      </w:r>
      <w:r>
        <w:rPr>
          <w:rFonts w:hint="eastAsia"/>
          <w:sz w:val="27"/>
          <w:szCs w:val="27"/>
        </w:rPr>
        <w:t>2020年有县级标准化考场建设项目100万元属于一次性支出，2021年无此项支出。</w:t>
      </w:r>
      <w:r>
        <w:rPr>
          <w:sz w:val="27"/>
          <w:szCs w:val="27"/>
        </w:rPr>
        <w:t>其中：基本支出145.65万元，占72.7%；项目支出54.77万元，占27.3%。此外，结余分配0.00万元。</w:t>
      </w:r>
    </w:p>
    <w:p>
      <w:pPr>
        <w:pStyle w:val="4"/>
        <w:shd w:val="clear" w:color="auto" w:fill="FFFFFF"/>
        <w:rPr>
          <w:sz w:val="27"/>
          <w:szCs w:val="27"/>
        </w:rPr>
      </w:pPr>
      <w:r>
        <w:rPr>
          <w:rStyle w:val="7"/>
          <w:sz w:val="27"/>
          <w:szCs w:val="27"/>
        </w:rPr>
        <w:t>  4.结转结余情况。</w:t>
      </w:r>
      <w:r>
        <w:rPr>
          <w:sz w:val="27"/>
          <w:szCs w:val="27"/>
        </w:rPr>
        <w:t>2021年度年末结转和结余15.48万元，较上年决算数减少13.38万元，下降46.4%，主要原因是</w:t>
      </w:r>
      <w:r>
        <w:rPr>
          <w:rFonts w:hint="eastAsia"/>
          <w:sz w:val="27"/>
          <w:szCs w:val="27"/>
        </w:rPr>
        <w:t>代管资金使用，用于职业能力鉴定费用。</w:t>
      </w:r>
    </w:p>
    <w:p>
      <w:pPr>
        <w:pStyle w:val="4"/>
        <w:shd w:val="clear" w:color="auto" w:fill="FFFFFF"/>
      </w:pPr>
      <w:r>
        <w:rPr>
          <w:rStyle w:val="7"/>
          <w:sz w:val="27"/>
          <w:szCs w:val="27"/>
        </w:rPr>
        <w:t>  （二）财政拨款收入支出决算总体情况说明。</w:t>
      </w:r>
    </w:p>
    <w:p>
      <w:pPr>
        <w:pStyle w:val="4"/>
        <w:shd w:val="clear" w:color="auto" w:fill="FFFFFF"/>
      </w:pPr>
      <w:r>
        <w:rPr>
          <w:sz w:val="27"/>
          <w:szCs w:val="27"/>
        </w:rPr>
        <w:t>2021年度财政拨款收、支总计168.57万元。与2020年相比，财政拨款收、支总计各减少106.72万元，下降38.8%。主要原因是</w:t>
      </w:r>
      <w:r>
        <w:rPr>
          <w:rFonts w:hint="eastAsia"/>
          <w:sz w:val="27"/>
          <w:szCs w:val="27"/>
        </w:rPr>
        <w:t>2020年有县级标准化考场建设项目100万元属于一次性支出，2021年无此项支出。</w:t>
      </w:r>
    </w:p>
    <w:p>
      <w:pPr>
        <w:pStyle w:val="4"/>
        <w:shd w:val="clear" w:color="auto" w:fill="FFFFFF"/>
      </w:pPr>
      <w:r>
        <w:rPr>
          <w:rStyle w:val="7"/>
          <w:sz w:val="27"/>
          <w:szCs w:val="27"/>
        </w:rPr>
        <w:t>  （三）一般公共预算财政拨款收入支出决算情况说明。</w:t>
      </w:r>
    </w:p>
    <w:p>
      <w:pPr>
        <w:pStyle w:val="4"/>
        <w:shd w:val="clear" w:color="auto" w:fill="FFFFFF"/>
      </w:pPr>
      <w:r>
        <w:rPr>
          <w:rStyle w:val="7"/>
          <w:sz w:val="27"/>
          <w:szCs w:val="27"/>
        </w:rPr>
        <w:t>  1.收入情况。</w:t>
      </w:r>
      <w:r>
        <w:rPr>
          <w:sz w:val="27"/>
          <w:szCs w:val="27"/>
        </w:rPr>
        <w:t>2021年度一般公共预算财政拨款收入164.29万元，较上年决算数减少109.32万元，下降40%。主要原因是</w:t>
      </w:r>
      <w:r>
        <w:rPr>
          <w:rFonts w:hint="eastAsia"/>
          <w:sz w:val="27"/>
          <w:szCs w:val="27"/>
        </w:rPr>
        <w:t>2020年有县级标准化考场建设项目100万元属于一次性支出，2021年无此项支出。</w:t>
      </w:r>
      <w:r>
        <w:rPr>
          <w:sz w:val="27"/>
          <w:szCs w:val="27"/>
        </w:rPr>
        <w:t>较年初预算数增加20.43万元，增长14.2%。主要原因是</w:t>
      </w:r>
      <w:r>
        <w:rPr>
          <w:rFonts w:hint="eastAsia"/>
          <w:sz w:val="27"/>
          <w:szCs w:val="27"/>
        </w:rPr>
        <w:t>代管资金使用22.6万元，用于职业能力鉴定费用，年初未纳入预算。</w:t>
      </w:r>
      <w:r>
        <w:rPr>
          <w:sz w:val="27"/>
          <w:szCs w:val="27"/>
        </w:rPr>
        <w:t>此外，年初财政拨款结转和结余4.28万元。</w:t>
      </w:r>
    </w:p>
    <w:p>
      <w:pPr>
        <w:pStyle w:val="4"/>
        <w:shd w:val="clear" w:color="auto" w:fill="FFFFFF"/>
      </w:pPr>
      <w:r>
        <w:rPr>
          <w:rStyle w:val="7"/>
          <w:sz w:val="27"/>
          <w:szCs w:val="27"/>
        </w:rPr>
        <w:t>  2.支出情况。</w:t>
      </w:r>
      <w:r>
        <w:rPr>
          <w:sz w:val="27"/>
          <w:szCs w:val="27"/>
        </w:rPr>
        <w:t>2021年度一般公共预算财政拨款支出168.30万元，较上年决算数减少106.80万元，下降38.8%。主要原因是</w:t>
      </w:r>
      <w:r>
        <w:rPr>
          <w:rFonts w:hint="eastAsia"/>
          <w:sz w:val="27"/>
          <w:szCs w:val="27"/>
        </w:rPr>
        <w:t>2020年有县级标准化考场建设项目100万元属于一次性支出，2021年无此项支出。</w:t>
      </w:r>
      <w:r>
        <w:rPr>
          <w:sz w:val="27"/>
          <w:szCs w:val="27"/>
        </w:rPr>
        <w:t>较年初预算数增加24.44万元，增长17%。主要原因是</w:t>
      </w:r>
      <w:r>
        <w:rPr>
          <w:rFonts w:hint="eastAsia"/>
          <w:sz w:val="27"/>
          <w:szCs w:val="27"/>
        </w:rPr>
        <w:t>代管资金使用22.6万元，用于职业能力鉴定费用，年初未纳入预算。</w:t>
      </w:r>
    </w:p>
    <w:p>
      <w:pPr>
        <w:pStyle w:val="4"/>
        <w:shd w:val="clear" w:color="auto" w:fill="FFFFFF"/>
      </w:pPr>
      <w:r>
        <w:rPr>
          <w:rStyle w:val="7"/>
          <w:sz w:val="27"/>
          <w:szCs w:val="27"/>
        </w:rPr>
        <w:t>  3.结转结余情况。</w:t>
      </w:r>
      <w:r>
        <w:rPr>
          <w:sz w:val="27"/>
          <w:szCs w:val="27"/>
        </w:rPr>
        <w:t>2021年度年末一般公共预算财政拨款结转和结余0.26万元，较上年决算数增加0.06万元，增长30%，主要原因是</w:t>
      </w:r>
      <w:r>
        <w:rPr>
          <w:rFonts w:hint="eastAsia"/>
          <w:sz w:val="27"/>
          <w:szCs w:val="27"/>
        </w:rPr>
        <w:t>从</w:t>
      </w:r>
      <w:r>
        <w:rPr>
          <w:sz w:val="27"/>
          <w:szCs w:val="27"/>
        </w:rPr>
        <w:t>一般公共预算财政拨款</w:t>
      </w:r>
      <w:r>
        <w:rPr>
          <w:rFonts w:hint="eastAsia"/>
          <w:sz w:val="27"/>
          <w:szCs w:val="27"/>
        </w:rPr>
        <w:t>资金中取得现金600元未及时支出。</w:t>
      </w:r>
    </w:p>
    <w:p>
      <w:pPr>
        <w:pStyle w:val="4"/>
        <w:shd w:val="clear" w:color="auto" w:fill="FFFFFF"/>
      </w:pPr>
      <w:r>
        <w:rPr>
          <w:rStyle w:val="7"/>
          <w:sz w:val="27"/>
          <w:szCs w:val="27"/>
        </w:rPr>
        <w:t>  4.比较情况。</w:t>
      </w:r>
      <w:r>
        <w:rPr>
          <w:sz w:val="27"/>
          <w:szCs w:val="27"/>
        </w:rPr>
        <w:t>本部门2021年度一般公共预算财政拨款支出主要用于以下几个方面：</w:t>
      </w:r>
      <w:r>
        <w:t xml:space="preserve"> </w:t>
      </w:r>
    </w:p>
    <w:p>
      <w:pPr>
        <w:pStyle w:val="4"/>
        <w:shd w:val="clear" w:color="auto" w:fill="FFFFFF"/>
      </w:pPr>
      <w:r>
        <w:rPr>
          <w:sz w:val="27"/>
          <w:szCs w:val="27"/>
        </w:rPr>
        <w:t>   （</w:t>
      </w:r>
      <w:r>
        <w:rPr>
          <w:rFonts w:hint="eastAsia"/>
          <w:sz w:val="27"/>
          <w:szCs w:val="27"/>
        </w:rPr>
        <w:t>1</w:t>
      </w:r>
      <w:r>
        <w:rPr>
          <w:sz w:val="27"/>
          <w:szCs w:val="27"/>
        </w:rPr>
        <w:t>）社会保障与就业支出154.55万元，占91.8%，较年初预算数增加25.43万元，增长19.7%，主要原因是</w:t>
      </w:r>
      <w:r>
        <w:rPr>
          <w:rFonts w:hint="eastAsia"/>
          <w:sz w:val="27"/>
          <w:szCs w:val="27"/>
        </w:rPr>
        <w:t>职业能力鉴定费用增加。</w:t>
      </w:r>
    </w:p>
    <w:p>
      <w:pPr>
        <w:pStyle w:val="4"/>
        <w:shd w:val="clear" w:color="auto" w:fill="FFFFFF"/>
      </w:pPr>
      <w:r>
        <w:rPr>
          <w:sz w:val="27"/>
          <w:szCs w:val="27"/>
        </w:rPr>
        <w:t>  （</w:t>
      </w:r>
      <w:r>
        <w:rPr>
          <w:rFonts w:hint="eastAsia"/>
          <w:sz w:val="27"/>
          <w:szCs w:val="27"/>
        </w:rPr>
        <w:t>2</w:t>
      </w:r>
      <w:r>
        <w:rPr>
          <w:sz w:val="27"/>
          <w:szCs w:val="27"/>
        </w:rPr>
        <w:t>）卫生健康支出7.35万元，占4.4%，较年初预算数减少0.57万元，下降7.2%，主要原因是</w:t>
      </w:r>
      <w:r>
        <w:rPr>
          <w:rFonts w:hint="eastAsia"/>
          <w:sz w:val="27"/>
          <w:szCs w:val="27"/>
        </w:rPr>
        <w:t>人员减少。</w:t>
      </w:r>
    </w:p>
    <w:p>
      <w:pPr>
        <w:pStyle w:val="4"/>
        <w:shd w:val="clear" w:color="auto" w:fill="FFFFFF"/>
      </w:pPr>
      <w:r>
        <w:rPr>
          <w:sz w:val="27"/>
          <w:szCs w:val="27"/>
        </w:rPr>
        <w:t>  （</w:t>
      </w:r>
      <w:r>
        <w:rPr>
          <w:rFonts w:hint="eastAsia"/>
          <w:sz w:val="27"/>
          <w:szCs w:val="27"/>
        </w:rPr>
        <w:t>3</w:t>
      </w:r>
      <w:r>
        <w:rPr>
          <w:sz w:val="27"/>
          <w:szCs w:val="27"/>
        </w:rPr>
        <w:t>）住房保障支出6.40万元，占3.8%，较年初预算数减少0.42万元，下降6.2%，主要原因是</w:t>
      </w:r>
      <w:r>
        <w:rPr>
          <w:rFonts w:hint="eastAsia"/>
          <w:sz w:val="27"/>
          <w:szCs w:val="27"/>
        </w:rPr>
        <w:t>人员减少。</w:t>
      </w:r>
    </w:p>
    <w:p>
      <w:pPr>
        <w:pStyle w:val="4"/>
        <w:shd w:val="clear" w:color="auto" w:fill="FFFFFF"/>
      </w:pPr>
      <w:r>
        <w:rPr>
          <w:sz w:val="27"/>
          <w:szCs w:val="27"/>
        </w:rPr>
        <w:t> </w:t>
      </w:r>
      <w:r>
        <w:rPr>
          <w:rStyle w:val="7"/>
          <w:sz w:val="27"/>
          <w:szCs w:val="27"/>
        </w:rPr>
        <w:t>  （四）一般公共预算财政拨款基本支出决算情况说明。</w:t>
      </w:r>
    </w:p>
    <w:p>
      <w:pPr>
        <w:pStyle w:val="4"/>
        <w:shd w:val="clear" w:color="auto" w:fill="FFFFFF"/>
      </w:pPr>
      <w:r>
        <w:rPr>
          <w:sz w:val="27"/>
          <w:szCs w:val="27"/>
        </w:rPr>
        <w:t>  2021年度一般公共财政拨款基本支出145.65万元。其中：人员经费114.75万元，较上年决算数减少14.20万元，下降11%，主要原因是</w:t>
      </w:r>
      <w:r>
        <w:rPr>
          <w:rFonts w:hint="eastAsia"/>
          <w:sz w:val="27"/>
          <w:szCs w:val="27"/>
        </w:rPr>
        <w:t>人员减少。</w:t>
      </w:r>
      <w:r>
        <w:rPr>
          <w:sz w:val="27"/>
          <w:szCs w:val="27"/>
        </w:rPr>
        <w:t>人员经费用途主要包括</w:t>
      </w:r>
      <w:r>
        <w:rPr>
          <w:rFonts w:hint="eastAsia"/>
          <w:sz w:val="27"/>
          <w:szCs w:val="27"/>
        </w:rPr>
        <w:t>基本工资、津贴补贴、奖金、社会保障缴费、公积金缴费、超额绩效等。</w:t>
      </w:r>
      <w:r>
        <w:rPr>
          <w:sz w:val="27"/>
          <w:szCs w:val="27"/>
        </w:rPr>
        <w:t>公用经费30.91万元，较上年决算数增加5.51万元，增长21.7%，主要原因是</w:t>
      </w:r>
      <w:r>
        <w:rPr>
          <w:rFonts w:hint="eastAsia"/>
          <w:sz w:val="27"/>
          <w:szCs w:val="27"/>
        </w:rPr>
        <w:t>职业技能鉴定增多。公用经费用途主要包括办公费、印刷费、差旅费、食堂用餐伙食费、委托业务费等。</w:t>
      </w:r>
    </w:p>
    <w:p>
      <w:pPr>
        <w:pStyle w:val="4"/>
        <w:shd w:val="clear" w:color="auto" w:fill="FFFFFF"/>
      </w:pPr>
      <w:r>
        <w:rPr>
          <w:rStyle w:val="7"/>
          <w:sz w:val="27"/>
          <w:szCs w:val="27"/>
        </w:rPr>
        <w:t>  （五）政府性基金预算收支决算情况说明。</w:t>
      </w:r>
    </w:p>
    <w:p>
      <w:pPr>
        <w:pStyle w:val="4"/>
        <w:shd w:val="clear" w:color="auto" w:fill="FFFFFF"/>
      </w:pPr>
      <w:r>
        <w:rPr>
          <w:sz w:val="27"/>
          <w:szCs w:val="27"/>
        </w:rPr>
        <w:t> </w:t>
      </w:r>
      <w:r>
        <w:rPr>
          <w:rFonts w:ascii="Times New Roman" w:hAnsi="Times New Roman" w:cs="Times New Roman"/>
          <w:sz w:val="27"/>
          <w:szCs w:val="27"/>
        </w:rPr>
        <w:t> </w:t>
      </w:r>
      <w:r>
        <w:rPr>
          <w:rFonts w:hint="eastAsia" w:ascii="Times New Roman" w:cs="Times New Roman"/>
          <w:sz w:val="27"/>
          <w:szCs w:val="27"/>
        </w:rPr>
        <w:t>本单位</w:t>
      </w:r>
      <w:r>
        <w:rPr>
          <w:rFonts w:ascii="Times New Roman" w:hAnsi="Times New Roman" w:cs="Times New Roman"/>
          <w:sz w:val="27"/>
          <w:szCs w:val="27"/>
        </w:rPr>
        <w:t>202</w:t>
      </w:r>
      <w:r>
        <w:rPr>
          <w:rFonts w:hint="eastAsia" w:ascii="Times New Roman" w:hAnsi="Times New Roman" w:cs="Times New Roman"/>
          <w:sz w:val="27"/>
          <w:szCs w:val="27"/>
        </w:rPr>
        <w:t>1</w:t>
      </w:r>
      <w:r>
        <w:rPr>
          <w:rFonts w:hint="eastAsia" w:ascii="Times New Roman" w:cs="Times New Roman"/>
          <w:sz w:val="27"/>
          <w:szCs w:val="27"/>
        </w:rPr>
        <w:t>年度无政府性基金预算财政拨款收支。</w:t>
      </w:r>
    </w:p>
    <w:p>
      <w:pPr>
        <w:pStyle w:val="4"/>
        <w:shd w:val="clear" w:color="auto" w:fill="FFFFFF"/>
      </w:pPr>
      <w:r>
        <w:rPr>
          <w:rStyle w:val="7"/>
          <w:sz w:val="27"/>
          <w:szCs w:val="27"/>
        </w:rPr>
        <w:t>  （六）国有资本经营预算财政拨款支出决算情况说明。</w:t>
      </w:r>
    </w:p>
    <w:p>
      <w:pPr>
        <w:pStyle w:val="4"/>
        <w:shd w:val="clear" w:color="auto" w:fill="FFFFFF"/>
        <w:rPr>
          <w:rFonts w:ascii="Times New Roman" w:cs="Times New Roman"/>
          <w:sz w:val="27"/>
          <w:szCs w:val="27"/>
        </w:rPr>
      </w:pPr>
      <w:r>
        <w:rPr>
          <w:sz w:val="27"/>
          <w:szCs w:val="27"/>
        </w:rPr>
        <w:t> </w:t>
      </w:r>
      <w:r>
        <w:rPr>
          <w:rFonts w:hint="eastAsia" w:ascii="Times New Roman" w:cs="Times New Roman"/>
          <w:sz w:val="27"/>
          <w:szCs w:val="27"/>
        </w:rPr>
        <w:t>本单位</w:t>
      </w:r>
      <w:r>
        <w:rPr>
          <w:rFonts w:ascii="Times New Roman" w:hAnsi="Times New Roman" w:cs="Times New Roman"/>
          <w:sz w:val="27"/>
          <w:szCs w:val="27"/>
        </w:rPr>
        <w:t>202</w:t>
      </w:r>
      <w:r>
        <w:rPr>
          <w:rFonts w:hint="eastAsia" w:ascii="Times New Roman" w:hAnsi="Times New Roman" w:cs="Times New Roman"/>
          <w:sz w:val="27"/>
          <w:szCs w:val="27"/>
        </w:rPr>
        <w:t>1</w:t>
      </w:r>
      <w:r>
        <w:rPr>
          <w:rFonts w:hint="eastAsia" w:ascii="Times New Roman" w:cs="Times New Roman"/>
          <w:sz w:val="27"/>
          <w:szCs w:val="27"/>
        </w:rPr>
        <w:t>年度无国有资本经营预算财政拨款支出。</w:t>
      </w:r>
    </w:p>
    <w:p>
      <w:pPr>
        <w:pStyle w:val="4"/>
        <w:shd w:val="clear" w:color="auto" w:fill="FFFFFF"/>
      </w:pPr>
      <w:r>
        <w:rPr>
          <w:rStyle w:val="7"/>
          <w:sz w:val="27"/>
          <w:szCs w:val="27"/>
        </w:rPr>
        <w:t>  三、“三公”经费情况说明</w:t>
      </w:r>
    </w:p>
    <w:p>
      <w:pPr>
        <w:pStyle w:val="4"/>
        <w:shd w:val="clear" w:color="auto" w:fill="FFFFFF"/>
      </w:pPr>
      <w:r>
        <w:rPr>
          <w:rStyle w:val="7"/>
          <w:sz w:val="27"/>
          <w:szCs w:val="27"/>
        </w:rPr>
        <w:t>  （一）“三公”经费支出总体情况说明。</w:t>
      </w:r>
    </w:p>
    <w:p>
      <w:pPr>
        <w:pStyle w:val="4"/>
        <w:shd w:val="clear" w:color="auto" w:fill="FFFFFF"/>
        <w:rPr>
          <w:sz w:val="27"/>
          <w:szCs w:val="27"/>
        </w:rPr>
      </w:pPr>
      <w:r>
        <w:rPr>
          <w:sz w:val="27"/>
          <w:szCs w:val="27"/>
        </w:rPr>
        <w:t>  2021年度“三公”经费支出共计3.09万元，较年初预算数减少1.66万元，下降34.9%，主要原因是</w:t>
      </w:r>
      <w:r>
        <w:rPr>
          <w:rFonts w:hint="eastAsia"/>
          <w:sz w:val="27"/>
          <w:szCs w:val="27"/>
        </w:rPr>
        <w:t>认真贯彻落实中央八项规定精神和厉行节约要求，严格落实公车使用规定，严禁公车私用。</w:t>
      </w:r>
      <w:r>
        <w:rPr>
          <w:sz w:val="27"/>
          <w:szCs w:val="27"/>
        </w:rPr>
        <w:t>较上年支出数减少0.90万元，下降22.6%，主要原因是</w:t>
      </w:r>
      <w:r>
        <w:rPr>
          <w:rFonts w:hint="eastAsia"/>
          <w:sz w:val="27"/>
          <w:szCs w:val="27"/>
        </w:rPr>
        <w:t>2021年12月份的加油支出未能及时支付。</w:t>
      </w:r>
    </w:p>
    <w:p>
      <w:pPr>
        <w:pStyle w:val="4"/>
        <w:shd w:val="clear" w:color="auto" w:fill="FFFFFF"/>
      </w:pPr>
      <w:r>
        <w:rPr>
          <w:rStyle w:val="7"/>
          <w:sz w:val="27"/>
          <w:szCs w:val="27"/>
        </w:rPr>
        <w:t>  （二）“三公”经费分项支出情况。</w:t>
      </w:r>
    </w:p>
    <w:p>
      <w:pPr>
        <w:pStyle w:val="4"/>
        <w:shd w:val="clear" w:color="auto" w:fill="FFFFFF"/>
      </w:pPr>
      <w:r>
        <w:rPr>
          <w:sz w:val="27"/>
          <w:szCs w:val="27"/>
        </w:rPr>
        <w:t> </w:t>
      </w:r>
      <w:r>
        <w:rPr>
          <w:rFonts w:hint="eastAsia"/>
          <w:sz w:val="27"/>
          <w:szCs w:val="27"/>
        </w:rPr>
        <w:t xml:space="preserve">  2021年度本单位未发生因公出国（境）费用。</w:t>
      </w:r>
    </w:p>
    <w:p>
      <w:pPr>
        <w:pStyle w:val="4"/>
        <w:shd w:val="clear" w:color="auto" w:fill="FFFFFF"/>
        <w:ind w:firstLine="540" w:firstLineChars="200"/>
        <w:rPr>
          <w:sz w:val="27"/>
          <w:szCs w:val="27"/>
        </w:rPr>
      </w:pPr>
      <w:r>
        <w:rPr>
          <w:rFonts w:hint="eastAsia"/>
          <w:sz w:val="27"/>
          <w:szCs w:val="27"/>
        </w:rPr>
        <w:t>2021年度本单位未发生公务车购置费。</w:t>
      </w:r>
    </w:p>
    <w:p>
      <w:pPr>
        <w:pStyle w:val="4"/>
        <w:shd w:val="clear" w:color="auto" w:fill="FFFFFF"/>
      </w:pPr>
      <w:r>
        <w:rPr>
          <w:sz w:val="27"/>
          <w:szCs w:val="27"/>
        </w:rPr>
        <w:t xml:space="preserve">  </w:t>
      </w:r>
      <w:r>
        <w:rPr>
          <w:rFonts w:hint="eastAsia"/>
          <w:sz w:val="27"/>
          <w:szCs w:val="27"/>
        </w:rPr>
        <w:t xml:space="preserve"> </w:t>
      </w:r>
      <w:r>
        <w:rPr>
          <w:sz w:val="27"/>
          <w:szCs w:val="27"/>
        </w:rPr>
        <w:t>公务车运行维护费3.09万元，主要用于</w:t>
      </w:r>
      <w:r>
        <w:rPr>
          <w:rFonts w:hint="eastAsia"/>
          <w:sz w:val="27"/>
          <w:szCs w:val="27"/>
        </w:rPr>
        <w:t>机要文件交换、市内因公出行、社会保障业务检查等工作所需车辆的燃料费、维修费、过桥过路费、保险费等。</w:t>
      </w:r>
      <w:r>
        <w:rPr>
          <w:sz w:val="27"/>
          <w:szCs w:val="27"/>
        </w:rPr>
        <w:t>费用支出较年初预算数减少0.91万元，下降22.8%，主要原因是</w:t>
      </w:r>
      <w:r>
        <w:rPr>
          <w:rFonts w:hint="eastAsia"/>
          <w:sz w:val="27"/>
          <w:szCs w:val="27"/>
        </w:rPr>
        <w:t>2021年12月份的加油支出未能及时支付。</w:t>
      </w:r>
      <w:r>
        <w:rPr>
          <w:sz w:val="27"/>
          <w:szCs w:val="27"/>
        </w:rPr>
        <w:t>较上年支出数减少0.85万元，下降21.6%，主要原因是</w:t>
      </w:r>
      <w:r>
        <w:rPr>
          <w:rFonts w:hint="eastAsia"/>
          <w:sz w:val="27"/>
          <w:szCs w:val="27"/>
        </w:rPr>
        <w:t>2021年12月份的加油支出未能及时支付。</w:t>
      </w:r>
    </w:p>
    <w:p>
      <w:pPr>
        <w:pStyle w:val="4"/>
        <w:shd w:val="clear" w:color="auto" w:fill="FFFFFF"/>
        <w:ind w:firstLine="270" w:firstLineChars="100"/>
      </w:pPr>
      <w:r>
        <w:rPr>
          <w:sz w:val="27"/>
          <w:szCs w:val="27"/>
        </w:rPr>
        <w:t> </w:t>
      </w:r>
      <w:r>
        <w:rPr>
          <w:rFonts w:hint="eastAsia"/>
          <w:sz w:val="27"/>
          <w:szCs w:val="27"/>
        </w:rPr>
        <w:t>2021年度本单位未发生</w:t>
      </w:r>
      <w:r>
        <w:rPr>
          <w:sz w:val="27"/>
          <w:szCs w:val="27"/>
        </w:rPr>
        <w:t>公务接待费</w:t>
      </w:r>
    </w:p>
    <w:p>
      <w:pPr>
        <w:pStyle w:val="4"/>
        <w:shd w:val="clear" w:color="auto" w:fill="FFFFFF"/>
      </w:pPr>
      <w:r>
        <w:rPr>
          <w:rStyle w:val="7"/>
          <w:sz w:val="27"/>
          <w:szCs w:val="27"/>
        </w:rPr>
        <w:t>  （三）“三公”经费实物量情况。</w:t>
      </w:r>
    </w:p>
    <w:p>
      <w:pPr>
        <w:pStyle w:val="4"/>
        <w:shd w:val="clear" w:color="auto" w:fill="FFFFFF"/>
      </w:pPr>
      <w:r>
        <w:rPr>
          <w:sz w:val="27"/>
          <w:szCs w:val="27"/>
        </w:rPr>
        <w:t>  2021年度本部门因公出国（境）共计0个团组，0人；公务用车购置0辆，公务车保有量为1辆；国内公务接待0批次0人，其中：国内外事接待0批次，0人；国（境）外公务接待0批次，0人。2021年本部门人均接待费0.00元，车均购置费0.00万元，车均维护费3.09万元。</w:t>
      </w:r>
    </w:p>
    <w:p>
      <w:pPr>
        <w:pStyle w:val="4"/>
        <w:shd w:val="clear" w:color="auto" w:fill="FFFFFF"/>
      </w:pPr>
      <w:r>
        <w:rPr>
          <w:rStyle w:val="7"/>
          <w:sz w:val="27"/>
          <w:szCs w:val="27"/>
        </w:rPr>
        <w:t>  四、其他需要说明的事项</w:t>
      </w:r>
    </w:p>
    <w:p>
      <w:pPr>
        <w:pStyle w:val="4"/>
        <w:shd w:val="clear" w:color="auto" w:fill="FFFFFF"/>
      </w:pPr>
      <w:r>
        <w:rPr>
          <w:rStyle w:val="7"/>
          <w:sz w:val="27"/>
          <w:szCs w:val="27"/>
        </w:rPr>
        <w:t>  （一）一般公共预算财政拨款会议费和培训费情况说明。</w:t>
      </w:r>
    </w:p>
    <w:p>
      <w:pPr>
        <w:pStyle w:val="4"/>
        <w:shd w:val="clear" w:color="auto" w:fill="FFFFFF"/>
        <w:rPr>
          <w:sz w:val="27"/>
          <w:szCs w:val="27"/>
        </w:rPr>
      </w:pPr>
      <w:r>
        <w:rPr>
          <w:sz w:val="27"/>
          <w:szCs w:val="27"/>
        </w:rPr>
        <w:t> </w:t>
      </w:r>
      <w:r>
        <w:rPr>
          <w:rFonts w:hint="eastAsia"/>
          <w:sz w:val="27"/>
          <w:szCs w:val="27"/>
        </w:rPr>
        <w:t>本单位2021年度未发生会议费和培训费支出。</w:t>
      </w:r>
    </w:p>
    <w:p>
      <w:pPr>
        <w:pStyle w:val="4"/>
        <w:shd w:val="clear" w:color="auto" w:fill="FFFFFF"/>
      </w:pPr>
      <w:r>
        <w:rPr>
          <w:rStyle w:val="7"/>
          <w:sz w:val="27"/>
          <w:szCs w:val="27"/>
        </w:rPr>
        <w:t>  （二）机关运行经费情况说明。</w:t>
      </w:r>
    </w:p>
    <w:p>
      <w:pPr>
        <w:pStyle w:val="4"/>
        <w:shd w:val="clear" w:color="auto" w:fill="FFFFFF"/>
        <w:rPr>
          <w:sz w:val="27"/>
          <w:szCs w:val="27"/>
        </w:rPr>
      </w:pPr>
      <w:r>
        <w:rPr>
          <w:sz w:val="27"/>
          <w:szCs w:val="27"/>
        </w:rPr>
        <w:t> </w:t>
      </w:r>
      <w:r>
        <w:rPr>
          <w:rFonts w:hint="eastAsia"/>
          <w:sz w:val="27"/>
          <w:szCs w:val="27"/>
        </w:rPr>
        <w:t>按照部门决算列报口径，我单位不在机关运行经费统计范围之内。</w:t>
      </w:r>
    </w:p>
    <w:p>
      <w:pPr>
        <w:pStyle w:val="4"/>
        <w:shd w:val="clear" w:color="auto" w:fill="FFFFFF"/>
      </w:pPr>
      <w:r>
        <w:rPr>
          <w:rStyle w:val="7"/>
          <w:sz w:val="27"/>
          <w:szCs w:val="27"/>
        </w:rPr>
        <w:t>  （三）国有资产占用情况说明。</w:t>
      </w:r>
    </w:p>
    <w:p>
      <w:pPr>
        <w:pStyle w:val="4"/>
        <w:shd w:val="clear" w:color="auto" w:fill="FFFFFF"/>
      </w:pPr>
      <w:r>
        <w:rPr>
          <w:sz w:val="27"/>
          <w:szCs w:val="27"/>
        </w:rPr>
        <w:t>  截至2021年12月31日，本部门共有车辆1辆，其中，副部（省）级及以上领导用车0辆、主要领导干部用车0辆、机要通信用车0辆、应急保障用车1辆、执法执勤用车0辆，特种专业技术用车0辆，离退休干部用车0辆，其他用车0辆</w:t>
      </w:r>
      <w:r>
        <w:rPr>
          <w:rFonts w:hint="eastAsia"/>
          <w:sz w:val="27"/>
          <w:szCs w:val="27"/>
        </w:rPr>
        <w:t>。</w:t>
      </w:r>
      <w:r>
        <w:rPr>
          <w:sz w:val="27"/>
          <w:szCs w:val="27"/>
        </w:rPr>
        <w:t>单价50万元（含）以上通用设备0台（套），单价100万元（含）以上专用设备0台（套）。</w:t>
      </w:r>
    </w:p>
    <w:p>
      <w:pPr>
        <w:pStyle w:val="4"/>
        <w:shd w:val="clear" w:color="auto" w:fill="FFFFFF"/>
        <w:ind w:firstLine="407" w:firstLineChars="150"/>
      </w:pPr>
      <w:r>
        <w:rPr>
          <w:rStyle w:val="7"/>
          <w:sz w:val="27"/>
          <w:szCs w:val="27"/>
        </w:rPr>
        <w:t>（四）政府采购支出情况说明。</w:t>
      </w:r>
    </w:p>
    <w:p>
      <w:pPr>
        <w:pStyle w:val="4"/>
        <w:shd w:val="clear" w:color="auto" w:fill="FFFFFF"/>
        <w:rPr>
          <w:rFonts w:ascii="Times New Roman" w:cs="Times New Roman"/>
          <w:sz w:val="27"/>
          <w:szCs w:val="27"/>
        </w:rPr>
      </w:pPr>
      <w:r>
        <w:rPr>
          <w:sz w:val="27"/>
          <w:szCs w:val="27"/>
        </w:rPr>
        <w:t> </w:t>
      </w:r>
      <w:r>
        <w:rPr>
          <w:rFonts w:hint="eastAsia"/>
          <w:sz w:val="27"/>
          <w:szCs w:val="27"/>
        </w:rPr>
        <w:t xml:space="preserve">  </w:t>
      </w:r>
      <w:r>
        <w:rPr>
          <w:rFonts w:ascii="Times New Roman" w:cs="Times New Roman"/>
          <w:sz w:val="27"/>
          <w:szCs w:val="27"/>
        </w:rPr>
        <w:t>202</w:t>
      </w:r>
      <w:r>
        <w:rPr>
          <w:rFonts w:hint="eastAsia" w:ascii="Times New Roman" w:cs="Times New Roman"/>
          <w:sz w:val="27"/>
          <w:szCs w:val="27"/>
        </w:rPr>
        <w:t>1年度我单位未发生政府采购事项，无相关经费支出。</w:t>
      </w:r>
    </w:p>
    <w:p>
      <w:pPr>
        <w:pStyle w:val="4"/>
        <w:shd w:val="clear" w:color="auto" w:fill="FFFFFF"/>
      </w:pPr>
      <w:r>
        <w:rPr>
          <w:rStyle w:val="7"/>
          <w:sz w:val="27"/>
          <w:szCs w:val="27"/>
        </w:rPr>
        <w:t>  五、预算绩效管理情况说明</w:t>
      </w:r>
    </w:p>
    <w:p>
      <w:pPr>
        <w:pStyle w:val="4"/>
        <w:shd w:val="clear" w:color="auto" w:fill="FFFFFF"/>
      </w:pPr>
      <w:r>
        <w:rPr>
          <w:rStyle w:val="7"/>
          <w:sz w:val="27"/>
          <w:szCs w:val="27"/>
        </w:rPr>
        <w:t>  （一）预算绩效管理工作开展情况。</w:t>
      </w:r>
    </w:p>
    <w:p>
      <w:pPr>
        <w:pStyle w:val="4"/>
        <w:shd w:val="clear" w:color="auto" w:fill="FFFFFF"/>
        <w:ind w:firstLine="540" w:firstLineChars="200"/>
      </w:pPr>
      <w:r>
        <w:rPr>
          <w:rFonts w:hint="eastAsia"/>
          <w:sz w:val="27"/>
          <w:szCs w:val="27"/>
        </w:rPr>
        <w:t>根据预算绩效管理要求，本单位对1个项目开展了绩效自评，其中，以填报目标自评表形式开展自评1项，涉及资金32.12万元；从评价情况来看，项目立项较为规范，绩效目标明确，预算编制合理，管理科学规范，资金到位及时，整体完成情况较好，有力保障了我县职业能力鉴定工作，各项目基本达到预期绩效目标。</w:t>
      </w:r>
    </w:p>
    <w:p>
      <w:pPr>
        <w:pStyle w:val="4"/>
        <w:shd w:val="clear" w:color="auto" w:fill="FFFFFF"/>
      </w:pPr>
      <w:r>
        <w:rPr>
          <w:rStyle w:val="7"/>
          <w:sz w:val="27"/>
          <w:szCs w:val="27"/>
        </w:rPr>
        <w:t>  （二）绩效自评结果。</w:t>
      </w:r>
    </w:p>
    <w:p>
      <w:pPr>
        <w:pStyle w:val="4"/>
        <w:numPr>
          <w:ilvl w:val="0"/>
          <w:numId w:val="1"/>
        </w:numPr>
        <w:shd w:val="clear" w:color="auto" w:fill="FFFFFF"/>
        <w:rPr>
          <w:rStyle w:val="7"/>
          <w:sz w:val="27"/>
          <w:szCs w:val="27"/>
        </w:rPr>
      </w:pPr>
      <w:r>
        <w:rPr>
          <w:rStyle w:val="7"/>
          <w:sz w:val="27"/>
          <w:szCs w:val="27"/>
        </w:rPr>
        <w:t>绩效目标自评表。</w:t>
      </w:r>
    </w:p>
    <w:p>
      <w:pPr>
        <w:widowControl/>
        <w:spacing w:line="594" w:lineRule="exact"/>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202</w:t>
      </w:r>
      <w:r>
        <w:rPr>
          <w:rFonts w:hint="eastAsia" w:ascii="Times New Roman" w:hAnsi="Times New Roman" w:eastAsia="方正小标宋_GBK"/>
          <w:color w:val="000000"/>
          <w:kern w:val="0"/>
          <w:sz w:val="36"/>
          <w:szCs w:val="36"/>
        </w:rPr>
        <w:t>1</w:t>
      </w:r>
      <w:r>
        <w:rPr>
          <w:rFonts w:ascii="Times New Roman" w:hAnsi="Times New Roman" w:eastAsia="方正小标宋_GBK"/>
          <w:color w:val="000000"/>
          <w:kern w:val="0"/>
          <w:sz w:val="36"/>
          <w:szCs w:val="36"/>
        </w:rPr>
        <w:t>年度项目绩效自评表</w:t>
      </w:r>
    </w:p>
    <w:p>
      <w:pPr>
        <w:widowControl/>
        <w:spacing w:line="594" w:lineRule="exact"/>
        <w:jc w:val="center"/>
        <w:rPr>
          <w:rFonts w:hint="eastAsia" w:ascii="Times New Roman" w:hAnsi="Times New Roman" w:eastAsia="方正小标宋_GBK"/>
          <w:color w:val="000000"/>
          <w:kern w:val="0"/>
          <w:sz w:val="36"/>
          <w:szCs w:val="36"/>
        </w:rPr>
      </w:pPr>
    </w:p>
    <w:tbl>
      <w:tblPr>
        <w:tblStyle w:val="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项目</w:t>
            </w:r>
            <w:r>
              <w:rPr>
                <w:rFonts w:hint="eastAsia" w:ascii="宋体" w:hAnsi="宋体" w:eastAsia="等线" w:cs="宋体"/>
                <w:kern w:val="0"/>
                <w:sz w:val="20"/>
                <w:szCs w:val="20"/>
              </w:rPr>
              <w:t>名称</w:t>
            </w: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职业能力鉴定费用</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自评总分</w:t>
            </w:r>
          </w:p>
        </w:tc>
        <w:tc>
          <w:tcPr>
            <w:tcW w:w="2225"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主管部门</w:t>
            </w: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丰都县人力资源和社会保障局</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实施单位</w:t>
            </w:r>
          </w:p>
        </w:tc>
        <w:tc>
          <w:tcPr>
            <w:tcW w:w="2225" w:type="dxa"/>
            <w:gridSpan w:val="2"/>
            <w:shd w:val="clear" w:color="auto" w:fill="auto"/>
            <w:noWrap w:val="0"/>
            <w:vAlign w:val="center"/>
          </w:tcPr>
          <w:p>
            <w:pPr>
              <w:widowControl/>
              <w:jc w:val="center"/>
              <w:rPr>
                <w:rFonts w:hint="eastAsia" w:ascii="宋体" w:hAnsi="宋体" w:eastAsia="等线" w:cs="宋体"/>
                <w:kern w:val="0"/>
                <w:sz w:val="20"/>
                <w:szCs w:val="20"/>
                <w:lang w:eastAsia="zh-CN"/>
              </w:rPr>
            </w:pPr>
            <w:r>
              <w:rPr>
                <w:rFonts w:hint="eastAsia" w:eastAsia="等线"/>
                <w:bCs/>
                <w:color w:val="000000"/>
              </w:rPr>
              <w:t>丰都县人力资源考试测评服务中心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项目资金（万元）</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30</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年初预算数</w:t>
            </w: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全年预算数</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全年执行数</w:t>
            </w:r>
          </w:p>
        </w:tc>
        <w:tc>
          <w:tcPr>
            <w:tcW w:w="2225" w:type="dxa"/>
            <w:gridSpan w:val="2"/>
            <w:shd w:val="clear" w:color="auto" w:fill="auto"/>
            <w:noWrap w:val="0"/>
            <w:vAlign w:val="center"/>
          </w:tcPr>
          <w:p>
            <w:pPr>
              <w:widowControl/>
              <w:jc w:val="center"/>
              <w:rPr>
                <w:rFonts w:hint="eastAsia" w:ascii="宋体" w:hAnsi="宋体" w:eastAsia="等线" w:cs="宋体"/>
                <w:kern w:val="0"/>
                <w:sz w:val="20"/>
                <w:szCs w:val="20"/>
              </w:rPr>
            </w:pPr>
            <w:r>
              <w:rPr>
                <w:rFonts w:hint="eastAsia" w:ascii="宋体" w:hAnsi="宋体" w:eastAsia="等线" w:cs="宋体"/>
                <w:kern w:val="0"/>
                <w:sz w:val="20"/>
                <w:szCs w:val="20"/>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年度总金额</w:t>
            </w:r>
          </w:p>
        </w:tc>
        <w:tc>
          <w:tcPr>
            <w:tcW w:w="1300" w:type="dxa"/>
            <w:shd w:val="clear" w:color="auto" w:fill="auto"/>
            <w:noWrap w:val="0"/>
            <w:vAlign w:val="center"/>
          </w:tcPr>
          <w:p>
            <w:pPr>
              <w:jc w:val="center"/>
              <w:rPr>
                <w:rFonts w:hint="default" w:ascii="宋体" w:hAnsi="宋体" w:eastAsia="等线" w:cs="宋体"/>
                <w:bCs/>
                <w:color w:val="000000"/>
                <w:sz w:val="24"/>
                <w:szCs w:val="24"/>
                <w:lang w:val="en-US" w:eastAsia="zh-CN" w:bidi="ar-SA"/>
              </w:rPr>
            </w:pPr>
            <w:r>
              <w:rPr>
                <w:rFonts w:hint="eastAsia" w:eastAsia="等线"/>
                <w:bCs/>
                <w:color w:val="000000"/>
              </w:rPr>
              <w:t>32.12</w:t>
            </w:r>
          </w:p>
        </w:tc>
        <w:tc>
          <w:tcPr>
            <w:tcW w:w="2600" w:type="dxa"/>
            <w:gridSpan w:val="2"/>
            <w:shd w:val="clear" w:color="auto" w:fill="auto"/>
            <w:noWrap w:val="0"/>
            <w:vAlign w:val="center"/>
          </w:tcPr>
          <w:p>
            <w:pPr>
              <w:jc w:val="center"/>
              <w:rPr>
                <w:rFonts w:hint="default" w:ascii="宋体" w:hAnsi="宋体" w:eastAsia="等线" w:cs="宋体"/>
                <w:bCs/>
                <w:color w:val="000000"/>
                <w:sz w:val="24"/>
                <w:szCs w:val="24"/>
                <w:lang w:val="en-US" w:eastAsia="zh-CN" w:bidi="ar-SA"/>
              </w:rPr>
            </w:pPr>
            <w:r>
              <w:rPr>
                <w:rFonts w:hint="eastAsia" w:eastAsia="等线"/>
                <w:bCs/>
                <w:color w:val="000000"/>
              </w:rPr>
              <w:t>32.12</w:t>
            </w:r>
          </w:p>
        </w:tc>
        <w:tc>
          <w:tcPr>
            <w:tcW w:w="1300" w:type="dxa"/>
            <w:shd w:val="clear" w:color="auto" w:fill="auto"/>
            <w:noWrap w:val="0"/>
            <w:vAlign w:val="center"/>
          </w:tcPr>
          <w:p>
            <w:pPr>
              <w:jc w:val="center"/>
              <w:rPr>
                <w:rFonts w:hint="default" w:ascii="宋体" w:hAnsi="宋体" w:eastAsia="等线" w:cs="宋体"/>
                <w:bCs/>
                <w:color w:val="000000"/>
                <w:sz w:val="24"/>
                <w:szCs w:val="24"/>
                <w:lang w:val="en-US" w:eastAsia="zh-CN" w:bidi="ar-SA"/>
              </w:rPr>
            </w:pPr>
            <w:r>
              <w:rPr>
                <w:rFonts w:hint="eastAsia" w:eastAsia="等线"/>
                <w:bCs/>
                <w:color w:val="000000"/>
                <w:lang w:val="en-US" w:eastAsia="zh-CN"/>
              </w:rPr>
              <w:t>32.12</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100%</w:t>
            </w: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其中：财政拨款</w:t>
            </w:r>
          </w:p>
        </w:tc>
        <w:tc>
          <w:tcPr>
            <w:tcW w:w="1300" w:type="dxa"/>
            <w:shd w:val="clear" w:color="auto" w:fill="auto"/>
            <w:noWrap w:val="0"/>
            <w:vAlign w:val="center"/>
          </w:tcPr>
          <w:p>
            <w:pPr>
              <w:jc w:val="center"/>
              <w:rPr>
                <w:rFonts w:hint="default" w:ascii="宋体" w:hAnsi="宋体" w:eastAsia="等线" w:cs="宋体"/>
                <w:bCs/>
                <w:color w:val="000000"/>
                <w:sz w:val="24"/>
                <w:szCs w:val="24"/>
                <w:lang w:val="en-US" w:eastAsia="zh-CN" w:bidi="ar-SA"/>
              </w:rPr>
            </w:pPr>
            <w:r>
              <w:rPr>
                <w:rFonts w:hint="eastAsia" w:eastAsia="等线"/>
                <w:bCs/>
                <w:color w:val="000000"/>
              </w:rPr>
              <w:t>32.12</w:t>
            </w:r>
          </w:p>
        </w:tc>
        <w:tc>
          <w:tcPr>
            <w:tcW w:w="2600" w:type="dxa"/>
            <w:gridSpan w:val="2"/>
            <w:shd w:val="clear" w:color="auto" w:fill="auto"/>
            <w:noWrap w:val="0"/>
            <w:vAlign w:val="center"/>
          </w:tcPr>
          <w:p>
            <w:pPr>
              <w:jc w:val="center"/>
              <w:rPr>
                <w:rFonts w:hint="default" w:ascii="宋体" w:hAnsi="宋体" w:eastAsia="等线" w:cs="宋体"/>
                <w:bCs/>
                <w:color w:val="000000"/>
                <w:sz w:val="24"/>
                <w:szCs w:val="24"/>
                <w:lang w:val="en-US" w:eastAsia="zh-CN" w:bidi="ar-SA"/>
              </w:rPr>
            </w:pPr>
            <w:r>
              <w:rPr>
                <w:rFonts w:hint="eastAsia" w:eastAsia="等线"/>
                <w:bCs/>
                <w:color w:val="000000"/>
              </w:rPr>
              <w:t>32.12</w:t>
            </w:r>
          </w:p>
        </w:tc>
        <w:tc>
          <w:tcPr>
            <w:tcW w:w="1300" w:type="dxa"/>
            <w:shd w:val="clear" w:color="auto" w:fill="auto"/>
            <w:noWrap w:val="0"/>
            <w:vAlign w:val="center"/>
          </w:tcPr>
          <w:p>
            <w:pPr>
              <w:jc w:val="center"/>
              <w:rPr>
                <w:rFonts w:hint="default" w:ascii="宋体" w:hAnsi="宋体" w:eastAsia="等线" w:cs="宋体"/>
                <w:bCs/>
                <w:color w:val="000000"/>
                <w:sz w:val="24"/>
                <w:szCs w:val="24"/>
                <w:lang w:val="en-US" w:eastAsia="zh-CN" w:bidi="ar-SA"/>
              </w:rPr>
            </w:pPr>
            <w:r>
              <w:rPr>
                <w:rFonts w:hint="eastAsia" w:eastAsia="等线"/>
                <w:bCs/>
                <w:color w:val="000000"/>
                <w:lang w:val="en-US" w:eastAsia="zh-CN"/>
              </w:rPr>
              <w:t>32.12</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bidi="ar-SA"/>
              </w:rPr>
            </w:pPr>
            <w:r>
              <w:rPr>
                <w:rFonts w:hint="eastAsia" w:ascii="宋体" w:hAnsi="宋体" w:eastAsia="等线" w:cs="宋体"/>
                <w:kern w:val="0"/>
                <w:sz w:val="20"/>
                <w:szCs w:val="20"/>
                <w:lang w:val="en-US" w:eastAsia="zh-CN"/>
              </w:rPr>
              <w:t>100%</w:t>
            </w: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上年结转结余</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其他资金</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年度总体目标</w:t>
            </w: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预期目标</w:t>
            </w:r>
          </w:p>
        </w:tc>
        <w:tc>
          <w:tcPr>
            <w:tcW w:w="3525" w:type="dxa"/>
            <w:gridSpan w:val="3"/>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ascii="宋体" w:hAnsi="宋体" w:eastAsia="等线" w:cs="宋体"/>
                <w:kern w:val="0"/>
                <w:sz w:val="20"/>
                <w:szCs w:val="20"/>
              </w:rPr>
            </w:pP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提升我县劳动力职业技能水平</w:t>
            </w:r>
          </w:p>
        </w:tc>
        <w:tc>
          <w:tcPr>
            <w:tcW w:w="3525" w:type="dxa"/>
            <w:gridSpan w:val="3"/>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全年共鉴定了3400余人，我县劳动力职业技能水平有所提高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绩效指标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一级指标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二级指标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三级指标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年度指标值</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实际完成值</w:t>
            </w:r>
          </w:p>
        </w:tc>
        <w:tc>
          <w:tcPr>
            <w:tcW w:w="808"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分值</w:t>
            </w:r>
          </w:p>
        </w:tc>
        <w:tc>
          <w:tcPr>
            <w:tcW w:w="1417"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noWrap w:val="0"/>
            <w:vAlign w:val="center"/>
          </w:tcPr>
          <w:p>
            <w:pPr>
              <w:widowControl/>
              <w:jc w:val="center"/>
              <w:rPr>
                <w:rFonts w:ascii="宋体" w:hAnsi="宋体" w:eastAsia="等线" w:cs="宋体"/>
                <w:kern w:val="0"/>
                <w:sz w:val="20"/>
                <w:szCs w:val="20"/>
              </w:rPr>
            </w:pPr>
          </w:p>
        </w:tc>
        <w:tc>
          <w:tcPr>
            <w:tcW w:w="1300" w:type="dxa"/>
            <w:vMerge w:val="restart"/>
            <w:shd w:val="clear" w:color="auto" w:fill="auto"/>
            <w:noWrap w:val="0"/>
            <w:vAlign w:val="center"/>
          </w:tcPr>
          <w:p>
            <w:pPr>
              <w:widowControl/>
              <w:rPr>
                <w:rFonts w:hint="eastAsia" w:ascii="宋体" w:hAnsi="宋体" w:eastAsia="等线" w:cs="宋体"/>
                <w:kern w:val="0"/>
                <w:sz w:val="20"/>
                <w:szCs w:val="20"/>
              </w:rPr>
            </w:pPr>
            <w:r>
              <w:rPr>
                <w:rFonts w:ascii="宋体" w:hAnsi="宋体" w:eastAsia="等线" w:cs="宋体"/>
                <w:kern w:val="0"/>
                <w:sz w:val="20"/>
                <w:szCs w:val="20"/>
              </w:rPr>
              <w:t>产出指标</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数量指标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组织职业技能鉴定</w:t>
            </w:r>
          </w:p>
        </w:tc>
        <w:tc>
          <w:tcPr>
            <w:tcW w:w="1300" w:type="dxa"/>
            <w:shd w:val="clear" w:color="auto" w:fill="auto"/>
            <w:noWrap w:val="0"/>
            <w:vAlign w:val="center"/>
          </w:tcPr>
          <w:p>
            <w:pPr>
              <w:jc w:val="center"/>
              <w:rPr>
                <w:rFonts w:hint="eastAsia" w:ascii="宋体" w:hAnsi="宋体" w:eastAsia="等线" w:cs="宋体"/>
                <w:bCs/>
                <w:color w:val="000000"/>
                <w:sz w:val="24"/>
                <w:szCs w:val="24"/>
                <w:lang w:val="en-US" w:eastAsia="zh-CN" w:bidi="ar-SA"/>
              </w:rPr>
            </w:pPr>
            <w:r>
              <w:rPr>
                <w:rFonts w:hint="eastAsia" w:eastAsia="等线"/>
                <w:bCs/>
                <w:color w:val="000000"/>
              </w:rPr>
              <w:t>≥60场次</w:t>
            </w:r>
          </w:p>
        </w:tc>
        <w:tc>
          <w:tcPr>
            <w:tcW w:w="1300" w:type="dxa"/>
            <w:shd w:val="clear" w:color="auto" w:fill="auto"/>
            <w:noWrap w:val="0"/>
            <w:vAlign w:val="center"/>
          </w:tcPr>
          <w:p>
            <w:pPr>
              <w:jc w:val="center"/>
              <w:rPr>
                <w:rFonts w:hint="eastAsia" w:ascii="宋体" w:hAnsi="宋体" w:eastAsia="等线" w:cs="宋体"/>
                <w:bCs/>
                <w:color w:val="000000"/>
                <w:sz w:val="24"/>
                <w:szCs w:val="24"/>
                <w:lang w:val="en-US" w:eastAsia="zh-CN" w:bidi="ar-SA"/>
              </w:rPr>
            </w:pPr>
            <w:r>
              <w:rPr>
                <w:rFonts w:hint="eastAsia" w:eastAsia="等线"/>
                <w:bCs/>
                <w:color w:val="000000"/>
              </w:rPr>
              <w:t>69场次</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eastAsia="等线" w:cs="宋体"/>
                <w:kern w:val="0"/>
                <w:sz w:val="20"/>
                <w:szCs w:val="20"/>
                <w:lang w:val="en-US" w:eastAsia="zh-CN"/>
              </w:rPr>
              <w:t>30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eastAsia="等线" w:cs="宋体"/>
                <w:kern w:val="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ascii="宋体" w:hAnsi="宋体" w:eastAsia="等线" w:cs="宋体"/>
                <w:kern w:val="0"/>
                <w:sz w:val="20"/>
                <w:szCs w:val="20"/>
                <w:lang w:val="en-US" w:eastAsia="zh-CN"/>
              </w:rPr>
              <w:t>数量指标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组织职业技能鉴定</w:t>
            </w:r>
          </w:p>
        </w:tc>
        <w:tc>
          <w:tcPr>
            <w:tcW w:w="1300" w:type="dxa"/>
            <w:shd w:val="clear" w:color="auto" w:fill="auto"/>
            <w:noWrap w:val="0"/>
            <w:vAlign w:val="center"/>
          </w:tcPr>
          <w:p>
            <w:pPr>
              <w:jc w:val="center"/>
              <w:rPr>
                <w:rFonts w:hint="eastAsia" w:ascii="宋体" w:hAnsi="宋体" w:eastAsia="等线" w:cs="宋体"/>
                <w:bCs/>
                <w:color w:val="000000"/>
                <w:sz w:val="24"/>
                <w:szCs w:val="24"/>
                <w:lang w:val="en-US" w:eastAsia="zh-CN" w:bidi="ar-SA"/>
              </w:rPr>
            </w:pPr>
            <w:r>
              <w:rPr>
                <w:rFonts w:hint="eastAsia" w:eastAsia="等线"/>
                <w:bCs/>
                <w:color w:val="000000"/>
              </w:rPr>
              <w:t>≥3000人次</w:t>
            </w:r>
          </w:p>
        </w:tc>
        <w:tc>
          <w:tcPr>
            <w:tcW w:w="1300" w:type="dxa"/>
            <w:shd w:val="clear" w:color="auto" w:fill="auto"/>
            <w:noWrap w:val="0"/>
            <w:vAlign w:val="center"/>
          </w:tcPr>
          <w:p>
            <w:pPr>
              <w:jc w:val="center"/>
              <w:rPr>
                <w:rFonts w:hint="eastAsia" w:ascii="宋体" w:hAnsi="宋体" w:eastAsia="等线" w:cs="宋体"/>
                <w:bCs/>
                <w:color w:val="000000"/>
                <w:sz w:val="24"/>
                <w:szCs w:val="24"/>
                <w:lang w:val="en-US" w:eastAsia="zh-CN" w:bidi="ar-SA"/>
              </w:rPr>
            </w:pPr>
            <w:r>
              <w:rPr>
                <w:rFonts w:hint="eastAsia" w:eastAsia="等线"/>
                <w:bCs/>
                <w:color w:val="000000"/>
              </w:rPr>
              <w:t>3458人次</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eastAsia="等线" w:cs="宋体"/>
                <w:kern w:val="0"/>
                <w:sz w:val="20"/>
                <w:szCs w:val="20"/>
                <w:lang w:val="en-US" w:eastAsia="zh-CN"/>
              </w:rPr>
              <w:t>30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eastAsia="等线" w:cs="宋体"/>
                <w:kern w:val="0"/>
                <w:sz w:val="20"/>
                <w:szCs w:val="20"/>
                <w:lang w:val="en-US" w:eastAsia="zh-CN"/>
              </w:rPr>
              <w:t>3</w:t>
            </w:r>
            <w:r>
              <w:rPr>
                <w:rFonts w:hint="eastAsia" w:ascii="宋体" w:hAnsi="宋体" w:eastAsia="等线"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lang w:val="en-US" w:eastAsia="zh-CN" w:bidi="ar-SA"/>
              </w:rPr>
            </w:pPr>
            <w:r>
              <w:rPr>
                <w:rFonts w:hint="eastAsia" w:eastAsia="等线"/>
                <w:sz w:val="20"/>
                <w:szCs w:val="20"/>
              </w:rPr>
              <w:t>质量指标</w:t>
            </w:r>
          </w:p>
        </w:tc>
        <w:tc>
          <w:tcPr>
            <w:tcW w:w="1300" w:type="dxa"/>
            <w:shd w:val="clear" w:color="auto" w:fill="auto"/>
            <w:noWrap w:val="0"/>
            <w:vAlign w:val="center"/>
          </w:tcPr>
          <w:p>
            <w:pPr>
              <w:widowControl/>
              <w:jc w:val="center"/>
              <w:rPr>
                <w:rFonts w:hint="eastAsia" w:ascii="宋体" w:hAnsi="宋体" w:eastAsia="等线" w:cs="宋体"/>
                <w:kern w:val="0"/>
                <w:sz w:val="20"/>
                <w:szCs w:val="20"/>
                <w:lang w:val="en-US" w:eastAsia="zh-CN" w:bidi="ar-SA"/>
              </w:rPr>
            </w:pPr>
            <w:r>
              <w:rPr>
                <w:rFonts w:hint="eastAsia" w:eastAsia="等线"/>
                <w:bCs/>
                <w:color w:val="000000"/>
              </w:rPr>
              <w:t>确保职业能力鉴定公平公正</w:t>
            </w:r>
          </w:p>
        </w:tc>
        <w:tc>
          <w:tcPr>
            <w:tcW w:w="1300" w:type="dxa"/>
            <w:shd w:val="clear" w:color="auto" w:fill="auto"/>
            <w:noWrap w:val="0"/>
            <w:vAlign w:val="center"/>
          </w:tcPr>
          <w:p>
            <w:pPr>
              <w:widowControl/>
              <w:jc w:val="center"/>
              <w:rPr>
                <w:rFonts w:hint="eastAsia" w:ascii="宋体" w:hAnsi="宋体" w:eastAsia="等线" w:cs="宋体"/>
                <w:kern w:val="0"/>
                <w:sz w:val="20"/>
                <w:szCs w:val="20"/>
                <w:lang w:val="en-US" w:eastAsia="zh-CN" w:bidi="ar-SA"/>
              </w:rPr>
            </w:pPr>
            <w:r>
              <w:rPr>
                <w:rFonts w:hint="eastAsia" w:eastAsia="等线"/>
                <w:bCs/>
                <w:color w:val="000000"/>
                <w:lang w:val="en-US" w:eastAsia="zh-CN"/>
              </w:rPr>
              <w:t>好</w:t>
            </w:r>
          </w:p>
        </w:tc>
        <w:tc>
          <w:tcPr>
            <w:tcW w:w="1300" w:type="dxa"/>
            <w:shd w:val="clear" w:color="auto" w:fill="auto"/>
            <w:noWrap w:val="0"/>
            <w:vAlign w:val="center"/>
          </w:tcPr>
          <w:p>
            <w:pPr>
              <w:widowControl/>
              <w:jc w:val="center"/>
              <w:rPr>
                <w:rFonts w:hint="eastAsia" w:ascii="宋体" w:hAnsi="宋体" w:eastAsia="等线" w:cs="宋体"/>
                <w:kern w:val="0"/>
                <w:sz w:val="20"/>
                <w:szCs w:val="20"/>
                <w:lang w:val="en-US" w:eastAsia="zh-CN" w:bidi="ar-SA"/>
              </w:rPr>
            </w:pPr>
            <w:r>
              <w:rPr>
                <w:rFonts w:hint="eastAsia" w:eastAsia="等线"/>
                <w:bCs/>
                <w:color w:val="000000"/>
                <w:lang w:val="en-US" w:eastAsia="zh-CN"/>
              </w:rPr>
              <w:t>好</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bidi="ar-SA"/>
              </w:rPr>
            </w:pPr>
            <w:r>
              <w:rPr>
                <w:rFonts w:hint="eastAsia" w:eastAsia="等线" w:cs="宋体"/>
                <w:kern w:val="0"/>
                <w:sz w:val="20"/>
                <w:szCs w:val="20"/>
                <w:lang w:val="en-US" w:eastAsia="zh-CN"/>
              </w:rPr>
              <w:t>20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bidi="ar-SA"/>
              </w:rPr>
            </w:pPr>
            <w:r>
              <w:rPr>
                <w:rFonts w:hint="eastAsia" w:eastAsia="等线" w:cs="宋体"/>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lang w:eastAsia="zh-CN"/>
              </w:rPr>
            </w:pPr>
          </w:p>
        </w:tc>
        <w:tc>
          <w:tcPr>
            <w:tcW w:w="1300" w:type="dxa"/>
            <w:shd w:val="clear" w:color="auto" w:fill="auto"/>
            <w:noWrap w:val="0"/>
            <w:vAlign w:val="center"/>
          </w:tcPr>
          <w:p>
            <w:pPr>
              <w:widowControl/>
              <w:jc w:val="center"/>
              <w:rPr>
                <w:rFonts w:hint="eastAsia" w:ascii="宋体" w:hAnsi="宋体" w:eastAsia="等线" w:cs="宋体"/>
                <w:kern w:val="0"/>
                <w:sz w:val="20"/>
                <w:szCs w:val="20"/>
                <w:lang w:eastAsia="zh-CN"/>
              </w:rPr>
            </w:pP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restart"/>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效益指标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sz w:val="20"/>
                <w:szCs w:val="20"/>
              </w:rPr>
              <w:t>社会效益指标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树立鉴定考试良好形象</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好</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好</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widowControl/>
              <w:jc w:val="center"/>
              <w:rPr>
                <w:rFonts w:hint="eastAsia"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p>
        </w:tc>
        <w:tc>
          <w:tcPr>
            <w:tcW w:w="1417" w:type="dxa"/>
            <w:shd w:val="clear" w:color="auto" w:fill="auto"/>
            <w:noWrap w:val="0"/>
            <w:vAlign w:val="center"/>
          </w:tcPr>
          <w:p>
            <w:pPr>
              <w:widowControl/>
              <w:jc w:val="center"/>
              <w:rPr>
                <w:rFonts w:hint="eastAsia" w:ascii="宋体" w:hAnsi="宋体" w:eastAsia="等线"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restart"/>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满意度指标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sz w:val="20"/>
                <w:szCs w:val="20"/>
              </w:rPr>
              <w:t>服务对象满意度指标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服务对象满意度</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≥90%</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93%</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eastAsia="等线"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说明</w:t>
            </w:r>
          </w:p>
        </w:tc>
        <w:tc>
          <w:tcPr>
            <w:tcW w:w="8725" w:type="dxa"/>
            <w:gridSpan w:val="7"/>
            <w:shd w:val="clear" w:color="auto" w:fill="auto"/>
            <w:noWrap w:val="0"/>
            <w:vAlign w:val="center"/>
          </w:tcPr>
          <w:p>
            <w:pPr>
              <w:widowControl/>
              <w:jc w:val="center"/>
              <w:rPr>
                <w:rFonts w:hint="eastAsia" w:ascii="宋体" w:hAnsi="宋体" w:eastAsia="等线" w:cs="宋体"/>
                <w:kern w:val="0"/>
                <w:sz w:val="20"/>
                <w:szCs w:val="20"/>
                <w:lang w:val="en-US" w:eastAsia="zh-CN"/>
              </w:rPr>
            </w:pPr>
            <w:r>
              <w:rPr>
                <w:rFonts w:hint="eastAsia" w:eastAsia="等线" w:cs="宋体"/>
                <w:kern w:val="0"/>
                <w:sz w:val="20"/>
                <w:szCs w:val="20"/>
                <w:lang w:val="en-US" w:eastAsia="zh-CN"/>
              </w:rPr>
              <w:t>无</w:t>
            </w:r>
          </w:p>
        </w:tc>
      </w:tr>
    </w:tbl>
    <w:p>
      <w:pPr>
        <w:pStyle w:val="4"/>
        <w:shd w:val="clear" w:color="auto" w:fill="FFFFFF"/>
        <w:rPr>
          <w:sz w:val="27"/>
          <w:szCs w:val="27"/>
          <w:shd w:val="clear" w:color="auto" w:fill="FFFF00"/>
        </w:rPr>
      </w:pPr>
      <w:r>
        <w:rPr>
          <w:rStyle w:val="7"/>
          <w:sz w:val="27"/>
          <w:szCs w:val="27"/>
        </w:rPr>
        <w:t>  2.绩效自评报告或案例。</w:t>
      </w:r>
    </w:p>
    <w:p>
      <w:pPr>
        <w:pStyle w:val="4"/>
        <w:shd w:val="clear" w:color="auto" w:fill="FFFFFF"/>
        <w:ind w:firstLine="405" w:firstLineChars="150"/>
        <w:rPr>
          <w:sz w:val="27"/>
          <w:szCs w:val="27"/>
        </w:rPr>
      </w:pPr>
      <w:r>
        <w:rPr>
          <w:rFonts w:hint="eastAsia"/>
          <w:sz w:val="27"/>
          <w:szCs w:val="27"/>
        </w:rPr>
        <w:t>我单位未委托第三方开展绩效自评。</w:t>
      </w:r>
    </w:p>
    <w:p>
      <w:pPr>
        <w:pStyle w:val="4"/>
        <w:shd w:val="clear" w:color="auto" w:fill="FFFFFF"/>
      </w:pPr>
      <w:r>
        <w:rPr>
          <w:rStyle w:val="7"/>
          <w:sz w:val="27"/>
          <w:szCs w:val="27"/>
        </w:rPr>
        <w:t>   （三）重点绩效评价结果。</w:t>
      </w:r>
    </w:p>
    <w:p>
      <w:pPr>
        <w:pStyle w:val="4"/>
        <w:shd w:val="clear" w:color="auto" w:fill="FFFFFF"/>
        <w:ind w:firstLine="405" w:firstLineChars="150"/>
        <w:rPr>
          <w:sz w:val="27"/>
          <w:szCs w:val="27"/>
        </w:rPr>
      </w:pPr>
      <w:r>
        <w:rPr>
          <w:rFonts w:hint="eastAsia"/>
          <w:sz w:val="27"/>
          <w:szCs w:val="27"/>
        </w:rPr>
        <w:t>我单位未委托第三方开展重点绩效评价。</w:t>
      </w:r>
    </w:p>
    <w:p>
      <w:pPr>
        <w:pStyle w:val="4"/>
        <w:shd w:val="clear" w:color="auto" w:fill="FFFFFF"/>
      </w:pPr>
      <w:r>
        <w:rPr>
          <w:rStyle w:val="7"/>
          <w:sz w:val="27"/>
          <w:szCs w:val="27"/>
        </w:rPr>
        <w:t>  六、专业名词解释</w:t>
      </w:r>
    </w:p>
    <w:p>
      <w:pPr>
        <w:pStyle w:val="4"/>
        <w:shd w:val="clear" w:color="auto" w:fill="FFFFFF"/>
      </w:pPr>
      <w:r>
        <w:rPr>
          <w:rStyle w:val="7"/>
          <w:sz w:val="27"/>
          <w:szCs w:val="27"/>
        </w:rPr>
        <w:t>  （一）财政拨款收入</w:t>
      </w:r>
      <w:r>
        <w:rPr>
          <w:sz w:val="27"/>
          <w:szCs w:val="27"/>
        </w:rPr>
        <w:t>：指本年度从本级财政部门取得的财政拨款，包括一般公共预算财政拨款和政府性基金预算财政拨款。</w:t>
      </w:r>
    </w:p>
    <w:p>
      <w:pPr>
        <w:pStyle w:val="4"/>
        <w:shd w:val="clear" w:color="auto" w:fill="FFFFFF"/>
      </w:pPr>
      <w:r>
        <w:rPr>
          <w:rStyle w:val="7"/>
          <w:sz w:val="27"/>
          <w:szCs w:val="27"/>
        </w:rPr>
        <w:t>  （二）事业收入</w:t>
      </w:r>
      <w:r>
        <w:rPr>
          <w:sz w:val="27"/>
          <w:szCs w:val="27"/>
        </w:rPr>
        <w:t>：指事业单位开展专业业务活动及其辅助活动取得的现金流入；事业单位收到的财政专户实际核拨的教育收费等资金在此反映。</w:t>
      </w:r>
    </w:p>
    <w:p>
      <w:pPr>
        <w:pStyle w:val="4"/>
        <w:shd w:val="clear" w:color="auto" w:fill="FFFFFF"/>
      </w:pPr>
      <w:r>
        <w:rPr>
          <w:rStyle w:val="7"/>
          <w:sz w:val="27"/>
          <w:szCs w:val="27"/>
        </w:rPr>
        <w:t>  （三）经营收入</w:t>
      </w:r>
      <w:r>
        <w:rPr>
          <w:sz w:val="27"/>
          <w:szCs w:val="27"/>
        </w:rPr>
        <w:t>：指事业单位在专业业务活动及其辅助活动之外开展非独立核算经营活动取得的现金流入。</w:t>
      </w:r>
    </w:p>
    <w:p>
      <w:pPr>
        <w:pStyle w:val="4"/>
        <w:shd w:val="clear" w:color="auto" w:fill="FFFFFF"/>
      </w:pPr>
      <w:r>
        <w:rPr>
          <w:rStyle w:val="7"/>
          <w:sz w:val="27"/>
          <w:szCs w:val="27"/>
        </w:rPr>
        <w:t>  （四）其他收入</w:t>
      </w:r>
      <w:r>
        <w:rPr>
          <w:sz w:val="27"/>
          <w:szCs w:val="27"/>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pPr>
      <w:r>
        <w:rPr>
          <w:rStyle w:val="7"/>
          <w:sz w:val="27"/>
          <w:szCs w:val="27"/>
        </w:rPr>
        <w:t>  （五）使用非财政拨款结余</w:t>
      </w:r>
      <w:r>
        <w:rPr>
          <w:sz w:val="27"/>
          <w:szCs w:val="27"/>
        </w:rPr>
        <w:t>：指单位在当年的“财政拨款收入”、“事业收入”、“经营收入”、“其他收入”等不足以安排当年支出的情况下，使用以前年度积累的非财政拨款结余弥补本年度收支缺口的资金。</w:t>
      </w:r>
    </w:p>
    <w:p>
      <w:pPr>
        <w:pStyle w:val="4"/>
        <w:shd w:val="clear" w:color="auto" w:fill="FFFFFF"/>
      </w:pPr>
      <w:r>
        <w:rPr>
          <w:rStyle w:val="7"/>
          <w:sz w:val="27"/>
          <w:szCs w:val="27"/>
        </w:rPr>
        <w:t>  （六）年初结转和结余</w:t>
      </w:r>
      <w:r>
        <w:rPr>
          <w:sz w:val="27"/>
          <w:szCs w:val="27"/>
        </w:rPr>
        <w:t>：指单位上年结转本年使用的基本支出结转、项目支出结转和结余、经营结余。</w:t>
      </w:r>
    </w:p>
    <w:p>
      <w:pPr>
        <w:pStyle w:val="4"/>
        <w:shd w:val="clear" w:color="auto" w:fill="FFFFFF"/>
      </w:pPr>
      <w:r>
        <w:rPr>
          <w:rStyle w:val="7"/>
          <w:sz w:val="27"/>
          <w:szCs w:val="27"/>
        </w:rPr>
        <w:t>  （七）结余分配</w:t>
      </w:r>
      <w:r>
        <w:rPr>
          <w:sz w:val="27"/>
          <w:szCs w:val="27"/>
        </w:rPr>
        <w:t>：指单位按照国家有关规定，缴纳所得税、提取专用基金、转入非财政拨款结余等当年结余的分配情况。</w:t>
      </w:r>
    </w:p>
    <w:p>
      <w:pPr>
        <w:pStyle w:val="4"/>
        <w:shd w:val="clear" w:color="auto" w:fill="FFFFFF"/>
      </w:pPr>
      <w:r>
        <w:rPr>
          <w:rStyle w:val="7"/>
          <w:sz w:val="27"/>
          <w:szCs w:val="27"/>
        </w:rPr>
        <w:t>  （八）年末结转和结余</w:t>
      </w:r>
      <w:r>
        <w:rPr>
          <w:sz w:val="27"/>
          <w:szCs w:val="27"/>
        </w:rPr>
        <w:t>：指单位结转下年的基本支出结转、项目支出结转和结余、经营结余。</w:t>
      </w:r>
    </w:p>
    <w:p>
      <w:pPr>
        <w:pStyle w:val="4"/>
        <w:shd w:val="clear" w:color="auto" w:fill="FFFFFF"/>
      </w:pPr>
      <w:r>
        <w:rPr>
          <w:rStyle w:val="7"/>
          <w:sz w:val="27"/>
          <w:szCs w:val="27"/>
        </w:rPr>
        <w:t>  （九）基本支出</w:t>
      </w:r>
      <w:r>
        <w:rPr>
          <w:sz w:val="27"/>
          <w:szCs w:val="27"/>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pPr>
      <w:r>
        <w:rPr>
          <w:rStyle w:val="7"/>
          <w:sz w:val="27"/>
          <w:szCs w:val="27"/>
        </w:rPr>
        <w:t>  （十）项目支出</w:t>
      </w:r>
      <w:r>
        <w:rPr>
          <w:sz w:val="27"/>
          <w:szCs w:val="27"/>
        </w:rPr>
        <w:t>：指在基本支出之外为完成特定行政任务和事业发展目标所发生的支出。</w:t>
      </w:r>
    </w:p>
    <w:p>
      <w:pPr>
        <w:pStyle w:val="4"/>
        <w:shd w:val="clear" w:color="auto" w:fill="FFFFFF"/>
      </w:pPr>
      <w:r>
        <w:rPr>
          <w:rStyle w:val="7"/>
          <w:sz w:val="27"/>
          <w:szCs w:val="27"/>
        </w:rPr>
        <w:t>  （十一）经营支出</w:t>
      </w:r>
      <w:r>
        <w:rPr>
          <w:sz w:val="27"/>
          <w:szCs w:val="27"/>
        </w:rPr>
        <w:t>：指事业单位在专业业务活动及其辅助活动之外开展非独立核算经营活动发生的支出。</w:t>
      </w:r>
    </w:p>
    <w:p>
      <w:pPr>
        <w:pStyle w:val="4"/>
        <w:shd w:val="clear" w:color="auto" w:fill="FFFFFF"/>
      </w:pPr>
      <w:r>
        <w:rPr>
          <w:rStyle w:val="7"/>
          <w:sz w:val="27"/>
          <w:szCs w:val="27"/>
        </w:rPr>
        <w:t>  （十二）“三公”经费</w:t>
      </w:r>
      <w:r>
        <w:rPr>
          <w:sz w:val="27"/>
          <w:szCs w:val="27"/>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pPr>
      <w:r>
        <w:rPr>
          <w:rStyle w:val="7"/>
          <w:sz w:val="27"/>
          <w:szCs w:val="27"/>
        </w:rPr>
        <w:t>  （十三）机关运行经费</w:t>
      </w:r>
      <w:r>
        <w:rPr>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pPr>
      <w:r>
        <w:rPr>
          <w:rStyle w:val="7"/>
          <w:sz w:val="27"/>
          <w:szCs w:val="27"/>
        </w:rPr>
        <w:t>  （十四）工资福利支出（支出经济分类科目类级）</w:t>
      </w:r>
      <w:r>
        <w:rPr>
          <w:sz w:val="27"/>
          <w:szCs w:val="27"/>
        </w:rPr>
        <w:t>：反映单位开支的在职职工和编制外长期聘用人员的各类劳动报酬，以及为上述人员缴纳的各项社会保险费等。</w:t>
      </w:r>
    </w:p>
    <w:p>
      <w:pPr>
        <w:pStyle w:val="4"/>
        <w:shd w:val="clear" w:color="auto" w:fill="FFFFFF"/>
      </w:pPr>
      <w:r>
        <w:rPr>
          <w:rStyle w:val="7"/>
          <w:sz w:val="27"/>
          <w:szCs w:val="27"/>
        </w:rPr>
        <w:t>  （十五）商品和服务支出（支出经济分类科目类级）</w:t>
      </w:r>
      <w:r>
        <w:rPr>
          <w:sz w:val="27"/>
          <w:szCs w:val="27"/>
        </w:rPr>
        <w:t>：反映单位购买商品和服务的支出（不包括用于购置固定资产的支出、战略性和应急储备支出）。</w:t>
      </w:r>
    </w:p>
    <w:p>
      <w:pPr>
        <w:pStyle w:val="4"/>
        <w:shd w:val="clear" w:color="auto" w:fill="FFFFFF"/>
      </w:pPr>
      <w:r>
        <w:rPr>
          <w:rStyle w:val="7"/>
          <w:sz w:val="27"/>
          <w:szCs w:val="27"/>
        </w:rPr>
        <w:t>  （十六）对个人和家庭的补助（支出经济分类科目类级）</w:t>
      </w:r>
      <w:r>
        <w:rPr>
          <w:sz w:val="27"/>
          <w:szCs w:val="27"/>
        </w:rPr>
        <w:t>：反映用于对个人和家庭的补助支出。</w:t>
      </w:r>
    </w:p>
    <w:p>
      <w:pPr>
        <w:pStyle w:val="4"/>
        <w:shd w:val="clear" w:color="auto" w:fill="FFFFFF"/>
      </w:pPr>
      <w:r>
        <w:rPr>
          <w:rStyle w:val="7"/>
          <w:sz w:val="27"/>
          <w:szCs w:val="27"/>
        </w:rPr>
        <w:t>  （十七）其他资本性支出（支出经济分类科目类级）</w:t>
      </w:r>
      <w:r>
        <w:rPr>
          <w:sz w:val="27"/>
          <w:szCs w:val="27"/>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pPr>
      <w:r>
        <w:rPr>
          <w:rStyle w:val="7"/>
          <w:sz w:val="27"/>
          <w:szCs w:val="27"/>
        </w:rPr>
        <w:t>  七、决算公开联系方式及信息反馈渠道</w:t>
      </w:r>
    </w:p>
    <w:p>
      <w:pPr>
        <w:pStyle w:val="4"/>
        <w:shd w:val="clear" w:color="auto" w:fill="FFFFFF"/>
      </w:pPr>
      <w:r>
        <w:rPr>
          <w:sz w:val="27"/>
          <w:szCs w:val="27"/>
        </w:rPr>
        <w:t>  本单位决算公开信息反馈和联系方式：</w:t>
      </w:r>
      <w:r>
        <w:rPr>
          <w:rFonts w:hint="eastAsia"/>
          <w:sz w:val="27"/>
          <w:szCs w:val="27"/>
        </w:rPr>
        <w:t>023-70605558</w:t>
      </w:r>
      <w:r>
        <w:t xml:space="preserve"> </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90401"/>
    <w:multiLevelType w:val="multilevel"/>
    <w:tmpl w:val="64A90401"/>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docVars>
    <w:docVar w:name="commondata" w:val="eyJoZGlkIjoiODhmNTc2OGY1YWM3ZTM5MTYwYTcwNWI1NGE0NTY1NzEifQ=="/>
  </w:docVars>
  <w:rsids>
    <w:rsidRoot w:val="004F6BE8"/>
    <w:rsid w:val="00016683"/>
    <w:rsid w:val="001A6B4E"/>
    <w:rsid w:val="00244851"/>
    <w:rsid w:val="002C3A71"/>
    <w:rsid w:val="00301B45"/>
    <w:rsid w:val="00395CB5"/>
    <w:rsid w:val="004F6BE8"/>
    <w:rsid w:val="0055053D"/>
    <w:rsid w:val="00801063"/>
    <w:rsid w:val="008032C5"/>
    <w:rsid w:val="00C4259B"/>
    <w:rsid w:val="00CE3B1D"/>
    <w:rsid w:val="3584632B"/>
    <w:rsid w:val="7BBF8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宋体" w:hAnsi="宋体" w:eastAsia="宋体" w:cs="宋体"/>
      <w:sz w:val="18"/>
      <w:szCs w:val="18"/>
    </w:rPr>
  </w:style>
  <w:style w:type="character" w:customStyle="1" w:styleId="9">
    <w:name w:val="页脚 Char"/>
    <w:basedOn w:val="6"/>
    <w:link w:val="2"/>
    <w:semiHidden/>
    <w:qFormat/>
    <w:uiPriority w:val="99"/>
    <w:rPr>
      <w:rFonts w:ascii="宋体" w:hAnsi="宋体" w:eastAsia="宋体" w:cs="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11</Pages>
  <Words>4410</Words>
  <Characters>4903</Characters>
  <Lines>38</Lines>
  <Paragraphs>10</Paragraphs>
  <TotalTime>1</TotalTime>
  <ScaleCrop>false</ScaleCrop>
  <LinksUpToDate>false</LinksUpToDate>
  <CharactersWithSpaces>5044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2022-10-09T16:53:00Z</dcterms:created>
  <dc:creator>Micorosoft</dc:creator>
  <cp:lastModifiedBy>Administrator</cp:lastModifiedBy>
  <dcterms:modified xsi:type="dcterms:W3CDTF">2022-10-13T07:18:45Z</dcterms:modified>
  <dc:title>公开报告模板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D4039276A70B4799B282254A9B98C426</vt:lpwstr>
  </property>
</Properties>
</file>